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Teriparatide Injection (VA-26-00049896)</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60141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36E79726R0020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05-19-2026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2:30PM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6505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325412</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OPAL / National Acquisition Center</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37, NCS (003B6C3)</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1st Avenue, One Block North of Cermak</w:t>
            </w:r>
          </w:p>
          <w:p w:rsidR="00761C04" w:rsidRPr="00EE5B77" w:rsidP="00761C04">
            <w:pPr>
              <w:spacing w:before="0"/>
              <w:rPr>
                <w:rFonts w:asciiTheme="minorHAnsi" w:hAnsiTheme="minorHAnsi" w:cstheme="minorHAnsi"/>
              </w:rPr>
            </w:pP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Billy Fong</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billy.fong@va.gov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708-786-4992</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billy.fong@va.gov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Agency POC email</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19521C" w:rsidP="0019521C">
      <w:pPr>
        <w:pageBreakBefore/>
        <w:rPr>
          <w:rFonts w:ascii="Times New Roman" w:eastAsia="Times New Roman" w:hAnsi="Times New Roman" w:cs="Times New Roman"/>
          <w:sz w:val="24"/>
          <w:szCs w:val="24"/>
        </w:rPr>
      </w:pPr>
      <w:r>
        <w:rPr>
          <w:noProof/>
        </w:rPr>
        <w:pict>
          <v:shapetype id="_x0000_t202" coordsize="21600,21600" o:spt="202" path="m,l,21600r21600,l21600,xe">
            <v:stroke joinstyle="miter"/>
            <v:path gradientshapeok="t" o:connecttype="rect"/>
          </v:shapetype>
          <v:shape id="Text Box 108" o:spid="_x0000_s1025" type="#_x0000_t202" style="height:50pt;margin-left:0;margin-top:0;mso-height-percent:0;mso-height-relative:page;mso-width-percent:0;mso-width-relative:page;mso-wrap-distance-bottom:0;mso-wrap-distance-left:9pt;mso-wrap-distance-right:9pt;mso-wrap-distance-top:0;mso-wrap-style:square;position:absolute;v-text-anchor:top;visibility:hidden;width:50pt;z-index:251658240" filled="f"/>
        </w:pict>
      </w:r>
      <w:r w:rsidRPr="3D7CF60A">
        <w:rPr>
          <w:rFonts w:ascii="Times New Roman" w:eastAsia="Times New Roman" w:hAnsi="Times New Roman" w:cs="Times New Roman"/>
          <w:b/>
          <w:bCs/>
          <w:sz w:val="24"/>
          <w:szCs w:val="24"/>
        </w:rPr>
        <w:t xml:space="preserve">PRE-SOLICITATION NOTICE:  </w:t>
      </w:r>
      <w:r>
        <w:rPr>
          <w:rFonts w:ascii="Times New Roman" w:eastAsia="Times New Roman" w:hAnsi="Times New Roman" w:cs="Times New Roman"/>
          <w:sz w:val="24"/>
          <w:szCs w:val="24"/>
        </w:rPr>
        <w:t xml:space="preserve">The VA National Acquisition Center intends to issue Request for Proposal (RFP) </w:t>
      </w:r>
      <w:r w:rsidRPr="0019521C">
        <w:rPr>
          <w:rFonts w:ascii="Times New Roman" w:eastAsia="Times New Roman" w:hAnsi="Times New Roman" w:cs="Times New Roman"/>
          <w:sz w:val="24"/>
          <w:szCs w:val="24"/>
        </w:rPr>
        <w:t>36E79726R0020</w:t>
      </w:r>
      <w:r>
        <w:rPr>
          <w:rFonts w:ascii="Times New Roman" w:eastAsia="Times New Roman" w:hAnsi="Times New Roman" w:cs="Times New Roman"/>
          <w:sz w:val="24"/>
          <w:szCs w:val="24"/>
        </w:rPr>
        <w:t xml:space="preserve"> for an unrestrictive procu</w:t>
      </w:r>
      <w:r w:rsidRPr="0019521C">
        <w:rPr>
          <w:rFonts w:ascii="Times New Roman" w:eastAsia="Times New Roman" w:hAnsi="Times New Roman" w:cs="Times New Roman"/>
          <w:sz w:val="24"/>
          <w:szCs w:val="24"/>
        </w:rPr>
        <w:t>rement for Teriparatide Injection, for</w:t>
      </w:r>
      <w:r>
        <w:rPr>
          <w:rFonts w:ascii="Times New Roman" w:eastAsia="Times New Roman" w:hAnsi="Times New Roman" w:cs="Times New Roman"/>
          <w:sz w:val="24"/>
          <w:szCs w:val="24"/>
        </w:rPr>
        <w:t xml:space="preserve"> the Department of Veterans Affairs (VA), Department of Defense (DOD), Bureau of Prisons (BOP), and Indian Health Service (IHS).  The VA will award one contract to the </w:t>
      </w:r>
      <w:r>
        <w:rPr>
          <w:rFonts w:ascii="Times New Roman" w:eastAsia="Times New Roman" w:hAnsi="Times New Roman" w:cs="Times New Roman"/>
          <w:sz w:val="24"/>
          <w:szCs w:val="24"/>
        </w:rPr>
        <w:t>responsible offeror</w:t>
      </w:r>
      <w:r>
        <w:rPr>
          <w:rFonts w:ascii="Times New Roman" w:eastAsia="Times New Roman" w:hAnsi="Times New Roman" w:cs="Times New Roman"/>
          <w:sz w:val="24"/>
          <w:szCs w:val="24"/>
        </w:rPr>
        <w:t xml:space="preserve"> who will be able to provide an uninterrupted source of supply for the contracted items.  The contract period will be for one year plus four pre-priced one-year option periods. The contract items will be distributed through the VA’s and DOD’s respective Pharmaceutical Prime Vendor Programs.  Offerors must state the exact name (name that appears on label) by which the drug will be supplied and have an NDC number that is unique to the offeror.  Solicitation # </w:t>
      </w:r>
      <w:r w:rsidRPr="0019521C">
        <w:rPr>
          <w:rFonts w:ascii="Times New Roman" w:eastAsia="Times New Roman" w:hAnsi="Times New Roman" w:cs="Times New Roman"/>
          <w:sz w:val="24"/>
          <w:szCs w:val="24"/>
        </w:rPr>
        <w:t>36E79726R0020</w:t>
      </w:r>
      <w:r>
        <w:rPr>
          <w:rFonts w:ascii="Times New Roman" w:eastAsia="Times New Roman" w:hAnsi="Times New Roman" w:cs="Times New Roman"/>
          <w:sz w:val="24"/>
          <w:szCs w:val="24"/>
        </w:rPr>
        <w:t xml:space="preserve"> will be electronically issued in commercial item format in accordance with FAR Part 12 on or </w:t>
      </w:r>
      <w:r w:rsidRPr="0019521C">
        <w:rPr>
          <w:rFonts w:ascii="Times New Roman" w:eastAsia="Times New Roman" w:hAnsi="Times New Roman" w:cs="Times New Roman"/>
          <w:sz w:val="24"/>
          <w:szCs w:val="24"/>
        </w:rPr>
        <w:t xml:space="preserve">about </w:t>
      </w:r>
      <w:r w:rsidRPr="0019521C">
        <w:rPr>
          <w:rFonts w:ascii="Times New Roman" w:eastAsia="Times New Roman" w:hAnsi="Times New Roman" w:cs="Times New Roman"/>
          <w:sz w:val="24"/>
          <w:szCs w:val="24"/>
        </w:rPr>
        <w:t>May</w:t>
      </w:r>
      <w:r w:rsidRPr="0019521C">
        <w:rPr>
          <w:rFonts w:ascii="Times New Roman" w:eastAsia="Times New Roman" w:hAnsi="Times New Roman" w:cs="Times New Roman"/>
          <w:sz w:val="24"/>
          <w:szCs w:val="24"/>
        </w:rPr>
        <w:t xml:space="preserve"> </w:t>
      </w:r>
      <w:r w:rsidRPr="0019521C">
        <w:rPr>
          <w:rFonts w:ascii="Times New Roman" w:eastAsia="Times New Roman" w:hAnsi="Times New Roman" w:cs="Times New Roman"/>
          <w:sz w:val="24"/>
          <w:szCs w:val="24"/>
        </w:rPr>
        <w:t>1</w:t>
      </w:r>
      <w:r w:rsidRPr="0019521C">
        <w:rPr>
          <w:rFonts w:ascii="Times New Roman" w:eastAsia="Times New Roman" w:hAnsi="Times New Roman" w:cs="Times New Roman"/>
          <w:sz w:val="24"/>
          <w:szCs w:val="24"/>
        </w:rPr>
        <w:t>, 202</w:t>
      </w:r>
      <w:r w:rsidRPr="0019521C">
        <w:rPr>
          <w:rFonts w:ascii="Times New Roman" w:eastAsia="Times New Roman" w:hAnsi="Times New Roman" w:cs="Times New Roman"/>
          <w:sz w:val="24"/>
          <w:szCs w:val="24"/>
        </w:rPr>
        <w:t>6</w:t>
      </w:r>
      <w:r w:rsidRPr="0019521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with a tentative closing </w:t>
      </w:r>
      <w:r w:rsidRPr="0019521C">
        <w:rPr>
          <w:rFonts w:ascii="Times New Roman" w:eastAsia="Times New Roman" w:hAnsi="Times New Roman" w:cs="Times New Roman"/>
          <w:sz w:val="24"/>
          <w:szCs w:val="24"/>
        </w:rPr>
        <w:t xml:space="preserve">date of </w:t>
      </w:r>
      <w:r w:rsidRPr="0019521C">
        <w:rPr>
          <w:rFonts w:ascii="Times New Roman" w:eastAsia="Times New Roman" w:hAnsi="Times New Roman" w:cs="Times New Roman"/>
          <w:sz w:val="24"/>
          <w:szCs w:val="24"/>
        </w:rPr>
        <w:t>May</w:t>
      </w:r>
      <w:r w:rsidRPr="0019521C">
        <w:rPr>
          <w:rFonts w:ascii="Times New Roman" w:eastAsia="Times New Roman" w:hAnsi="Times New Roman" w:cs="Times New Roman"/>
          <w:sz w:val="24"/>
          <w:szCs w:val="24"/>
        </w:rPr>
        <w:t xml:space="preserve"> 1</w:t>
      </w:r>
      <w:r>
        <w:rPr>
          <w:rFonts w:ascii="Times New Roman" w:eastAsia="Times New Roman" w:hAnsi="Times New Roman" w:cs="Times New Roman"/>
          <w:sz w:val="24"/>
          <w:szCs w:val="24"/>
        </w:rPr>
        <w:t>9</w:t>
      </w:r>
      <w:r w:rsidRPr="0019521C">
        <w:rPr>
          <w:rFonts w:ascii="Times New Roman" w:eastAsia="Times New Roman" w:hAnsi="Times New Roman" w:cs="Times New Roman"/>
          <w:sz w:val="24"/>
          <w:szCs w:val="24"/>
        </w:rPr>
        <w:t>, 202</w:t>
      </w:r>
      <w:r w:rsidRPr="0019521C">
        <w:rPr>
          <w:rFonts w:ascii="Times New Roman" w:eastAsia="Times New Roman" w:hAnsi="Times New Roman" w:cs="Times New Roman"/>
          <w:sz w:val="24"/>
          <w:szCs w:val="24"/>
        </w:rPr>
        <w:t>6</w:t>
      </w:r>
      <w:r w:rsidRPr="0019521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 NAICS code for this procurement is 325412.  Any future amendments and other miscellaneous documents will be available electronically for download at the following </w:t>
      </w:r>
      <w:r w:rsidRPr="004918B6">
        <w:rPr>
          <w:rFonts w:ascii="Times New Roman" w:eastAsia="Times New Roman" w:hAnsi="Times New Roman" w:cs="Times New Roman"/>
          <w:sz w:val="24"/>
          <w:szCs w:val="24"/>
        </w:rPr>
        <w:t xml:space="preserve">URL: </w:t>
      </w:r>
      <w:r w:rsidRPr="004918B6">
        <w:rPr>
          <w:rFonts w:ascii="Times New Roman" w:hAnsi="Times New Roman" w:cs="Times New Roman"/>
          <w:sz w:val="24"/>
          <w:szCs w:val="24"/>
        </w:rPr>
        <w:t>https://sam.gov/</w:t>
      </w:r>
      <w:r w:rsidRPr="004918B6">
        <w:rPr>
          <w:rFonts w:ascii="Times New Roman" w:eastAsia="Times New Roman" w:hAnsi="Times New Roman" w:cs="Times New Roman"/>
          <w:sz w:val="24"/>
          <w:szCs w:val="24"/>
        </w:rPr>
        <w:t>. No paper</w:t>
      </w:r>
      <w:r>
        <w:rPr>
          <w:rFonts w:ascii="Times New Roman" w:eastAsia="Times New Roman" w:hAnsi="Times New Roman" w:cs="Times New Roman"/>
          <w:sz w:val="24"/>
          <w:szCs w:val="24"/>
        </w:rPr>
        <w:t xml:space="preserve"> copies of the solicitation will be available, and no telephone requests for paper copies of the solicitation will be accepted. Interested offerors are advised to </w:t>
      </w:r>
      <w:r w:rsidRPr="0019521C">
        <w:rPr>
          <w:rFonts w:ascii="Times New Roman" w:eastAsia="Times New Roman" w:hAnsi="Times New Roman" w:cs="Times New Roman"/>
          <w:sz w:val="24"/>
          <w:szCs w:val="24"/>
        </w:rPr>
        <w:t>continuously check this URL for any changes to this solicitation.  All responsible sources may submit an offer that if timely received, will be considered.  The point of contact for this procurement is Billy Fong.</w:t>
      </w:r>
      <w:r>
        <w:rPr>
          <w:rFonts w:ascii="Times New Roman" w:eastAsia="Times New Roman" w:hAnsi="Times New Roman" w:cs="Times New Roman"/>
          <w:sz w:val="24"/>
          <w:szCs w:val="24"/>
        </w:rPr>
        <w:t xml:space="preserve"> </w:t>
      </w:r>
      <w:r w:rsidRPr="0019521C">
        <w:rPr>
          <w:rFonts w:ascii="Times New Roman" w:eastAsia="Times New Roman" w:hAnsi="Times New Roman" w:cs="Times New Roman"/>
          <w:sz w:val="24"/>
          <w:szCs w:val="24"/>
        </w:rPr>
        <w:t>Questions can be e-mailed to: Billy.Fong@va.gov.</w:t>
      </w:r>
      <w:r>
        <w:rPr>
          <w:rFonts w:ascii="Times New Roman" w:eastAsia="Times New Roman" w:hAnsi="Times New Roman" w:cs="Times New Roman"/>
          <w:sz w:val="24"/>
          <w:szCs w:val="24"/>
        </w:rPr>
        <w:t xml:space="preserve"> </w:t>
      </w:r>
    </w:p>
    <w:p w:rsidR="0019521C" w:rsidP="0019521C">
      <w:pPr>
        <w:widowControl w:val="0"/>
        <w:snapToGrid w:val="0"/>
        <w:spacing w:after="0" w:line="240" w:lineRule="auto"/>
        <w:ind w:left="-576"/>
        <w:rPr>
          <w:rFonts w:ascii="Times New Roman" w:eastAsia="Times New Roman" w:hAnsi="Times New Roman" w:cs="Times New Roman"/>
          <w:sz w:val="20"/>
          <w:szCs w:val="20"/>
        </w:rPr>
      </w:pPr>
      <w:r>
        <w:rPr>
          <w:rFonts w:ascii="Times New Roman" w:eastAsia="Times New Roman" w:hAnsi="Times New Roman" w:cs="Times New Roman"/>
          <w:sz w:val="20"/>
          <w:szCs w:val="20"/>
        </w:rPr>
        <w:tab/>
      </w:r>
    </w:p>
    <w:p w:rsidR="0019521C" w:rsidP="0019521C">
      <w:pPr>
        <w:widowControl w:val="0"/>
        <w:tabs>
          <w:tab w:val="left" w:pos="-96"/>
          <w:tab w:val="left" w:pos="384"/>
          <w:tab w:val="left" w:pos="1003"/>
          <w:tab w:val="left" w:pos="1603"/>
          <w:tab w:val="left" w:pos="2203"/>
          <w:tab w:val="left" w:pos="2803"/>
        </w:tabs>
        <w:snapToGrid w:val="0"/>
        <w:spacing w:after="0" w:line="240" w:lineRule="auto"/>
        <w:ind w:left="90" w:hanging="90"/>
        <w:rPr>
          <w:rFonts w:ascii="Times New Roman" w:eastAsia="Times New Roman" w:hAnsi="Times New Roman" w:cs="Times New Roman"/>
          <w:sz w:val="24"/>
          <w:szCs w:val="24"/>
        </w:rPr>
      </w:pPr>
      <w:r>
        <w:rPr>
          <w:rFonts w:ascii="Times New Roman" w:eastAsia="Times New Roman" w:hAnsi="Times New Roman" w:cs="Times New Roman"/>
          <w:sz w:val="24"/>
          <w:szCs w:val="24"/>
        </w:rPr>
        <w:t>The estimated annual requirements are as follows:</w:t>
      </w:r>
    </w:p>
    <w:p w:rsidR="0019521C" w:rsidP="0019521C">
      <w:pPr>
        <w:widowControl w:val="0"/>
        <w:tabs>
          <w:tab w:val="left" w:pos="-96"/>
          <w:tab w:val="left" w:pos="384"/>
          <w:tab w:val="left" w:pos="1003"/>
          <w:tab w:val="left" w:pos="1603"/>
          <w:tab w:val="left" w:pos="2203"/>
          <w:tab w:val="left" w:pos="2803"/>
        </w:tabs>
        <w:snapToGrid w:val="0"/>
        <w:spacing w:after="0" w:line="240" w:lineRule="auto"/>
        <w:ind w:left="-576"/>
        <w:rPr>
          <w:rFonts w:ascii="Courier New" w:eastAsia="Times New Roman" w:hAnsi="Courier New" w:cs="Times New Roman"/>
          <w:sz w:val="20"/>
          <w:szCs w:val="20"/>
        </w:rPr>
      </w:pPr>
    </w:p>
    <w:tbl>
      <w:tblPr>
        <w:tblStyle w:val="TableGrid1"/>
        <w:tblpPr w:leftFromText="180" w:rightFromText="180" w:vertAnchor="text" w:tblpY="1"/>
        <w:tblW w:w="9335" w:type="dxa"/>
        <w:tblLook w:val="04A0"/>
      </w:tblPr>
      <w:tblGrid>
        <w:gridCol w:w="1246"/>
        <w:gridCol w:w="4959"/>
        <w:gridCol w:w="1620"/>
        <w:gridCol w:w="1510"/>
      </w:tblGrid>
      <w:tr w:rsidTr="00715D3F">
        <w:tblPrEx>
          <w:tblW w:w="9335" w:type="dxa"/>
          <w:tblLook w:val="04A0"/>
        </w:tblPrEx>
        <w:trPr>
          <w:trHeight w:val="1074"/>
        </w:trPr>
        <w:tc>
          <w:tcPr>
            <w:tcW w:w="1246" w:type="dxa"/>
            <w:noWrap/>
          </w:tcPr>
          <w:p w:rsidR="0019521C" w:rsidRPr="0093073A" w:rsidP="00715D3F">
            <w:pPr>
              <w:rPr>
                <w:rFonts w:ascii="Times New Roman" w:eastAsia="Times New Roman" w:hAnsi="Times New Roman"/>
              </w:rPr>
            </w:pPr>
            <w:r>
              <w:rPr>
                <w:rFonts w:ascii="Times New Roman" w:eastAsia="Times New Roman" w:hAnsi="Times New Roman"/>
              </w:rPr>
              <w:t>Item</w:t>
            </w:r>
          </w:p>
        </w:tc>
        <w:tc>
          <w:tcPr>
            <w:tcW w:w="4959" w:type="dxa"/>
          </w:tcPr>
          <w:p w:rsidR="0019521C" w:rsidRPr="0093073A" w:rsidP="00715D3F">
            <w:pPr>
              <w:rPr>
                <w:rFonts w:ascii="Times New Roman" w:eastAsia="Times New Roman" w:hAnsi="Times New Roman"/>
              </w:rPr>
            </w:pPr>
            <w:r w:rsidRPr="007D06B1">
              <w:rPr>
                <w:rFonts w:ascii="Times New Roman" w:eastAsia="Times New Roman" w:hAnsi="Times New Roman"/>
              </w:rPr>
              <w:t xml:space="preserve">Description Requirements                                </w:t>
            </w:r>
          </w:p>
        </w:tc>
        <w:tc>
          <w:tcPr>
            <w:tcW w:w="1620" w:type="dxa"/>
          </w:tcPr>
          <w:p w:rsidR="0019521C" w:rsidRPr="0093073A" w:rsidP="00715D3F">
            <w:pPr>
              <w:rPr>
                <w:rFonts w:ascii="Times New Roman" w:eastAsia="Times New Roman" w:hAnsi="Times New Roman"/>
              </w:rPr>
            </w:pPr>
            <w:r w:rsidRPr="007D06B1">
              <w:rPr>
                <w:rFonts w:ascii="Times New Roman" w:eastAsia="Times New Roman" w:hAnsi="Times New Roman"/>
              </w:rPr>
              <w:t>PACKAGE SIZE (</w:t>
            </w:r>
            <w:r>
              <w:rPr>
                <w:rFonts w:ascii="Times New Roman" w:eastAsia="Times New Roman" w:hAnsi="Times New Roman"/>
              </w:rPr>
              <w:t>PEN)</w:t>
            </w:r>
          </w:p>
        </w:tc>
        <w:tc>
          <w:tcPr>
            <w:tcW w:w="1510" w:type="dxa"/>
          </w:tcPr>
          <w:p w:rsidR="0019521C" w:rsidRPr="0093073A" w:rsidP="00715D3F">
            <w:pPr>
              <w:rPr>
                <w:rFonts w:ascii="Times New Roman" w:eastAsia="Times New Roman" w:hAnsi="Times New Roman"/>
              </w:rPr>
            </w:pPr>
            <w:r>
              <w:rPr>
                <w:rFonts w:ascii="Times New Roman" w:eastAsia="Times New Roman" w:hAnsi="Times New Roman"/>
              </w:rPr>
              <w:t>Total Estimated Annual usage (</w:t>
            </w:r>
            <w:r>
              <w:rPr>
                <w:rFonts w:ascii="Times New Roman" w:eastAsia="Times New Roman" w:hAnsi="Times New Roman"/>
              </w:rPr>
              <w:t>PEN</w:t>
            </w:r>
            <w:r>
              <w:rPr>
                <w:rFonts w:ascii="Times New Roman" w:eastAsia="Times New Roman" w:hAnsi="Times New Roman"/>
              </w:rPr>
              <w:t xml:space="preserve">) </w:t>
            </w:r>
          </w:p>
        </w:tc>
      </w:tr>
      <w:tr w:rsidTr="00715D3F">
        <w:tblPrEx>
          <w:tblW w:w="9335" w:type="dxa"/>
          <w:tblLook w:val="04A0"/>
        </w:tblPrEx>
        <w:trPr>
          <w:trHeight w:val="296"/>
        </w:trPr>
        <w:tc>
          <w:tcPr>
            <w:tcW w:w="1246" w:type="dxa"/>
            <w:noWrap/>
          </w:tcPr>
          <w:p w:rsidR="0019521C" w:rsidRPr="0093073A" w:rsidP="00715D3F">
            <w:pPr>
              <w:rPr>
                <w:rFonts w:ascii="Times New Roman" w:eastAsia="Times New Roman" w:hAnsi="Times New Roman"/>
              </w:rPr>
            </w:pPr>
            <w:r w:rsidRPr="0093073A">
              <w:rPr>
                <w:rFonts w:ascii="Times New Roman" w:eastAsia="Times New Roman" w:hAnsi="Times New Roman"/>
              </w:rPr>
              <w:t>1</w:t>
            </w:r>
          </w:p>
        </w:tc>
        <w:tc>
          <w:tcPr>
            <w:tcW w:w="4959" w:type="dxa"/>
          </w:tcPr>
          <w:p w:rsidR="0019521C" w:rsidRPr="0093073A" w:rsidP="00715D3F">
            <w:pPr>
              <w:rPr>
                <w:rFonts w:ascii="Times New Roman" w:hAnsi="Times New Roman"/>
              </w:rPr>
            </w:pPr>
            <w:r w:rsidRPr="0019521C">
              <w:rPr>
                <w:rFonts w:ascii="Arial" w:hAnsi="Arial" w:cs="Arial"/>
                <w:sz w:val="20"/>
                <w:szCs w:val="20"/>
              </w:rPr>
              <w:t xml:space="preserve">TERIPARATIDE 250MCG/ML (560MCG) </w:t>
            </w:r>
            <w:r w:rsidRPr="0019521C">
              <w:rPr>
                <w:rFonts w:ascii="Arial" w:hAnsi="Arial" w:cs="Arial"/>
                <w:sz w:val="20"/>
                <w:szCs w:val="20"/>
              </w:rPr>
              <w:t>INJ,PEN</w:t>
            </w:r>
            <w:r w:rsidRPr="0019521C">
              <w:rPr>
                <w:rFonts w:ascii="Arial" w:hAnsi="Arial" w:cs="Arial"/>
                <w:sz w:val="20"/>
                <w:szCs w:val="20"/>
              </w:rPr>
              <w:t>,2.24ML</w:t>
            </w:r>
          </w:p>
        </w:tc>
        <w:tc>
          <w:tcPr>
            <w:tcW w:w="1620" w:type="dxa"/>
          </w:tcPr>
          <w:p w:rsidR="0019521C" w:rsidRPr="0093073A" w:rsidP="00715D3F">
            <w:pPr>
              <w:rPr>
                <w:rFonts w:ascii="Times New Roman" w:hAnsi="Times New Roman"/>
              </w:rPr>
            </w:pPr>
            <w:r>
              <w:rPr>
                <w:rFonts w:ascii="Arial" w:hAnsi="Arial" w:cs="Arial"/>
                <w:sz w:val="20"/>
                <w:szCs w:val="20"/>
              </w:rPr>
              <w:t>1</w:t>
            </w:r>
          </w:p>
        </w:tc>
        <w:tc>
          <w:tcPr>
            <w:tcW w:w="1510" w:type="dxa"/>
          </w:tcPr>
          <w:p w:rsidR="0019521C" w:rsidRPr="0093073A" w:rsidP="00715D3F">
            <w:pPr>
              <w:rPr>
                <w:rFonts w:ascii="Times New Roman" w:hAnsi="Times New Roman"/>
              </w:rPr>
            </w:pPr>
            <w:r w:rsidRPr="0019521C">
              <w:rPr>
                <w:rFonts w:ascii="Arial" w:hAnsi="Arial" w:cs="Arial"/>
                <w:sz w:val="20"/>
                <w:szCs w:val="20"/>
              </w:rPr>
              <w:t>39,038</w:t>
            </w:r>
          </w:p>
        </w:tc>
      </w:tr>
    </w:tbl>
    <w:p w:rsidR="00BE6D27"/>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A253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A253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A253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A253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A25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5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5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537"/>
    <w:rPr>
      <w:rFonts w:eastAsiaTheme="majorEastAsia" w:cstheme="majorBidi"/>
      <w:color w:val="272727" w:themeColor="text1" w:themeTint="D8"/>
    </w:rPr>
  </w:style>
  <w:style w:type="paragraph" w:styleId="Quote">
    <w:name w:val="Quote"/>
    <w:basedOn w:val="Normal"/>
    <w:next w:val="Normal"/>
    <w:link w:val="QuoteChar"/>
    <w:uiPriority w:val="29"/>
    <w:qFormat/>
    <w:rsid w:val="00EA2537"/>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A2537"/>
    <w:rPr>
      <w:i/>
      <w:iCs/>
      <w:color w:val="404040" w:themeColor="text1" w:themeTint="BF"/>
    </w:rPr>
  </w:style>
  <w:style w:type="paragraph" w:styleId="IntenseQuote">
    <w:name w:val="Intense Quote"/>
    <w:basedOn w:val="Normal"/>
    <w:next w:val="Normal"/>
    <w:link w:val="IntenseQuoteChar"/>
    <w:uiPriority w:val="30"/>
    <w:qFormat/>
    <w:rsid w:val="00EA253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A2537"/>
    <w:rPr>
      <w:i/>
      <w:iCs/>
      <w:color w:val="366092" w:themeColor="accent1" w:themeShade="BF"/>
    </w:rPr>
  </w:style>
  <w:style w:type="character" w:styleId="IntenseReference">
    <w:name w:val="Intense Reference"/>
    <w:basedOn w:val="DefaultParagraphFont"/>
    <w:uiPriority w:val="32"/>
    <w:qFormat/>
    <w:rsid w:val="00EA2537"/>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2026-04-20T13:57:03Z</dcterms:created>
  <dcterms:modified xsi:type="dcterms:W3CDTF">2026-04-20T13:57:03Z</dcterms:modified>
</cp:coreProperties>
</file>