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WAVE – Workforce Analysis for VA OIT Excellence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(VA-26-00041415)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36C10B26Q0198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R405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Andrea Caltabilota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Andrea.Caltabilota@va.gov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848-377-5189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67E87">
      <w:r w:rsidRPr="006C299D">
        <w:t>At this time, an acquisition strategy has not been determined on RFI 36C10B2</w:t>
      </w:r>
      <w:r>
        <w:t>6</w:t>
      </w:r>
      <w:r w:rsidRPr="006C299D">
        <w:t>Q01</w:t>
      </w:r>
      <w:r>
        <w:t>98</w:t>
      </w:r>
      <w:r w:rsidRPr="006C299D">
        <w:t xml:space="preserve">.  Once a strategy has been determined an announcement will be made on sam.gov.  Please continue </w:t>
      </w:r>
      <w:r w:rsidRPr="006C299D">
        <w:t>monitoring the</w:t>
      </w:r>
      <w:r w:rsidRPr="006C299D">
        <w:t xml:space="preserve"> </w:t>
      </w:r>
      <w:r w:rsidRPr="006C299D">
        <w:t>sam.gov</w:t>
      </w:r>
      <w:r w:rsidRPr="006C299D">
        <w:t xml:space="preserve"> posting for any updates or additional information.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B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2C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B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2C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2C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C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2026-04-20T12:22:37Z</dcterms:created>
  <dcterms:modified xsi:type="dcterms:W3CDTF">2026-04-20T12:22:37Z</dcterms:modified>
</cp:coreProperties>
</file>