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Healthcare Provider Credentialing and Privileging</w:t>
            </w:r>
            <w:r w:rsidR="003A2EE7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Software-as-a-Service (SaaS) and Credentialing-as-a-Service</w:t>
            </w:r>
            <w:r w:rsidR="003A2EE7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(CaaS) (VA-26-00054853)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36C10B26Q0275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04-03-2026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12:00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DA10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541512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096A3A">
      <w:r>
        <w:t>The purpose of this amendment is to clarify that d</w:t>
      </w:r>
      <w:r>
        <w:t xml:space="preserve">ue to a transmittal issue with the initial posting, the </w:t>
      </w:r>
      <w:r>
        <w:t xml:space="preserve">Request for Information (RFI) </w:t>
      </w:r>
      <w:r>
        <w:t>Description was not easily readable</w:t>
      </w:r>
      <w:r>
        <w:t>. As such, this amendment is to guide potential respondents to review the two documents attached to this notice, which clearly articulate the Government’s intent and ask to Industry to provide information</w:t>
      </w:r>
      <w:r>
        <w:t xml:space="preserve">.  </w:t>
      </w:r>
      <w:r>
        <w:t>All other terms and conditions of this RFI remain unchanged and in full force and effect</w:t>
      </w:r>
      <w:r>
        <w:t xml:space="preserve">.  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124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99A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124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99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99A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99A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2026-03-23T15:22:36Z</dcterms:created>
  <dcterms:modified xsi:type="dcterms:W3CDTF">2026-03-23T15:22:36Z</dcterms:modified>
</cp:coreProperties>
</file>