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 xml:space="preserve"> Denosumab Injections</w:t>
            </w:r>
            <w:r>
              <w:rPr>
                <w:rStyle w:val="AAMSKBFill-InHighlight"/>
              </w:rPr>
              <w:t xml:space="preserve"> </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60141</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36E79726R0018</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05-05-2026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2:30 PM</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CENTRAL TIME, CHICAGO,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99</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6505</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325412</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sidRPr="00EE5B77">
              <w:rPr>
                <w:rFonts w:asciiTheme="minorHAnsi" w:hAnsiTheme="minorHAnsi" w:cstheme="minorHAnsi"/>
                <w:szCs w:val="20"/>
              </w:rPr>
              <w:t xml:space="preserve"> </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OPAL/National Acquisition Center</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Building 37</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1st Avenue, One Block North of Cermak</w:t>
            </w:r>
          </w:p>
          <w:p w:rsidR="00761C04" w:rsidRPr="00EE5B77" w:rsidP="00761C04">
            <w:pPr>
              <w:spacing w:before="0"/>
              <w:rPr>
                <w:rFonts w:asciiTheme="minorHAnsi" w:hAnsiTheme="minorHAnsi" w:cstheme="minorHAnsi"/>
              </w:rPr>
            </w:pPr>
            <w:r>
              <w:rPr>
                <w:rFonts w:asciiTheme="minorHAnsi" w:hAnsiTheme="minorHAnsi" w:cstheme="minorHAnsi"/>
              </w:rPr>
              <w:t>Hines, IL 60141</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Ray Roldan</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Raymond.Roldan@va.gov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708-786-4930</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Raymond.Roldan@va.gov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Agency POC Email</w:t>
            </w: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sidRPr="00AF196F">
        <w:rPr>
          <w:rFonts w:cstheme="minorHAnsi"/>
          <w:b/>
          <w:color w:val="4F81BD" w:themeColor="accent1"/>
          <w:sz w:val="28"/>
          <w:szCs w:val="28"/>
          <w:bdr w:val="none" w:sz="0" w:space="0" w:color="auto" w:frame="1"/>
        </w:rPr>
        <w:t>DESCRIPTION</w:t>
      </w:r>
    </w:p>
    <w:p w:rsidR="00120D16" w:rsidRPr="00120D16" w:rsidP="00120D16">
      <w:pPr>
        <w:spacing w:after="0" w:line="240" w:lineRule="auto"/>
        <w:textAlignment w:val="baseline"/>
        <w:rPr>
          <w:rFonts w:ascii="Arial" w:eastAsia="Times New Roman" w:hAnsi="Arial" w:cs="Arial"/>
          <w:kern w:val="0"/>
          <w:sz w:val="22"/>
          <w:szCs w:val="22"/>
          <w14:ligatures w14:val="none"/>
        </w:rPr>
      </w:pPr>
      <w:r w:rsidRPr="00120D16">
        <w:rPr>
          <w:rFonts w:ascii="Arial" w:eastAsia="Times New Roman" w:hAnsi="Arial" w:cs="Arial"/>
          <w:b/>
          <w:bCs/>
          <w:kern w:val="0"/>
          <w:sz w:val="22"/>
          <w:szCs w:val="22"/>
          <w14:ligatures w14:val="none"/>
        </w:rPr>
        <w:t>PRE-SOLICITATION NOTICE</w:t>
      </w:r>
      <w:r w:rsidRPr="00120D16">
        <w:rPr>
          <w:rFonts w:ascii="Arial" w:eastAsia="Times New Roman" w:hAnsi="Arial" w:cs="Arial"/>
          <w:kern w:val="0"/>
          <w:sz w:val="22"/>
          <w:szCs w:val="22"/>
          <w14:ligatures w14:val="none"/>
        </w:rPr>
        <w:t>:  The VA National Acquisition Center intends to issue Request for Proposal (RFP) 36E79726R00</w:t>
      </w:r>
      <w:r w:rsidR="004A3309">
        <w:rPr>
          <w:rFonts w:ascii="Arial" w:eastAsia="Times New Roman" w:hAnsi="Arial" w:cs="Arial"/>
          <w:kern w:val="0"/>
          <w:sz w:val="22"/>
          <w:szCs w:val="22"/>
          <w14:ligatures w14:val="none"/>
        </w:rPr>
        <w:t>1</w:t>
      </w:r>
      <w:r w:rsidRPr="00120D16">
        <w:rPr>
          <w:rFonts w:ascii="Arial" w:eastAsia="Times New Roman" w:hAnsi="Arial" w:cs="Arial"/>
          <w:kern w:val="0"/>
          <w:sz w:val="22"/>
          <w:szCs w:val="22"/>
          <w14:ligatures w14:val="none"/>
        </w:rPr>
        <w:t xml:space="preserve">8 for an unrestricted procurement for </w:t>
      </w:r>
      <w:r w:rsidRPr="004A3309" w:rsidR="004A3309">
        <w:rPr>
          <w:rFonts w:ascii="Arial" w:eastAsia="Times New Roman" w:hAnsi="Arial" w:cs="Arial"/>
          <w:kern w:val="0"/>
          <w:sz w:val="22"/>
          <w:szCs w:val="22"/>
          <w14:ligatures w14:val="none"/>
        </w:rPr>
        <w:t>Denosumab</w:t>
      </w:r>
      <w:r w:rsidR="004A3309">
        <w:rPr>
          <w:rFonts w:ascii="Arial" w:eastAsia="Times New Roman" w:hAnsi="Arial" w:cs="Arial"/>
          <w:kern w:val="0"/>
          <w:sz w:val="22"/>
          <w:szCs w:val="22"/>
          <w14:ligatures w14:val="none"/>
        </w:rPr>
        <w:t xml:space="preserve"> Injection</w:t>
      </w:r>
      <w:r w:rsidRPr="00120D16">
        <w:rPr>
          <w:rFonts w:ascii="Arial" w:eastAsia="Times New Roman" w:hAnsi="Arial" w:cs="Arial"/>
          <w:kern w:val="0"/>
          <w:sz w:val="22"/>
          <w:szCs w:val="22"/>
          <w14:ligatures w14:val="none"/>
        </w:rPr>
        <w:t>, for the Department of Veterans Affairs (VA) (inclusive of Consolidated Mail Order Pharmacies (CMOPs) and Option 2 State Veterans Homes (SVH)), Department of Defense (DoD), Bureau of Prisons (BOP), Indian Health Service (IHS), and Federal Health Care Center (FHCC).</w:t>
      </w:r>
    </w:p>
    <w:p w:rsidR="00120D16" w:rsidRPr="00120D16" w:rsidP="00120D16">
      <w:pPr>
        <w:spacing w:after="0" w:line="240" w:lineRule="auto"/>
        <w:textAlignment w:val="baseline"/>
        <w:rPr>
          <w:rFonts w:ascii="Arial" w:eastAsia="Times New Roman" w:hAnsi="Arial" w:cs="Arial"/>
          <w:kern w:val="0"/>
          <w:sz w:val="22"/>
          <w:szCs w:val="22"/>
          <w14:ligatures w14:val="none"/>
        </w:rPr>
      </w:pPr>
    </w:p>
    <w:p w:rsidR="00120D16" w:rsidRPr="00120D16" w:rsidP="00120D16">
      <w:pPr>
        <w:spacing w:after="0" w:line="240" w:lineRule="auto"/>
        <w:textAlignment w:val="baseline"/>
        <w:rPr>
          <w:rFonts w:ascii="Arial" w:eastAsia="Times New Roman" w:hAnsi="Arial" w:cs="Arial"/>
          <w:kern w:val="0"/>
          <w:sz w:val="22"/>
          <w:szCs w:val="22"/>
          <w14:ligatures w14:val="none"/>
        </w:rPr>
      </w:pPr>
      <w:r w:rsidRPr="00120D16">
        <w:rPr>
          <w:rFonts w:ascii="Arial" w:eastAsia="Times New Roman" w:hAnsi="Arial" w:cs="Arial"/>
          <w:kern w:val="0"/>
          <w:sz w:val="22"/>
          <w:szCs w:val="22"/>
          <w14:ligatures w14:val="none"/>
        </w:rPr>
        <w:t>VA will award one contract to the responsible offeror who will be able to provide an uninterrupted source of supply for the contracted items. The contract period will be for one year plus four pre-priced one-year option periods. The contract items will be distributed through the VA’s and DOD’s respective Pharmaceutical Prime Vendor Programs.</w:t>
      </w:r>
    </w:p>
    <w:p w:rsidR="00120D16" w:rsidRPr="00120D16" w:rsidP="00120D16">
      <w:pPr>
        <w:spacing w:after="0" w:line="240" w:lineRule="auto"/>
        <w:textAlignment w:val="baseline"/>
        <w:rPr>
          <w:rFonts w:ascii="Arial" w:eastAsia="Times New Roman" w:hAnsi="Arial" w:cs="Arial"/>
          <w:kern w:val="0"/>
          <w:sz w:val="22"/>
          <w:szCs w:val="22"/>
          <w14:ligatures w14:val="none"/>
        </w:rPr>
      </w:pPr>
    </w:p>
    <w:p w:rsidR="00120D16" w:rsidRPr="00120D16" w:rsidP="00120D16">
      <w:pPr>
        <w:spacing w:after="0" w:line="240" w:lineRule="auto"/>
        <w:textAlignment w:val="baseline"/>
        <w:rPr>
          <w:rFonts w:ascii="Arial" w:eastAsia="Times New Roman" w:hAnsi="Arial" w:cs="Arial"/>
          <w:kern w:val="0"/>
          <w:sz w:val="22"/>
          <w:szCs w:val="22"/>
          <w14:ligatures w14:val="none"/>
        </w:rPr>
      </w:pPr>
      <w:r w:rsidRPr="00120D16">
        <w:rPr>
          <w:rFonts w:ascii="Arial" w:eastAsia="Times New Roman" w:hAnsi="Arial" w:cs="Arial"/>
          <w:kern w:val="0"/>
          <w:sz w:val="22"/>
          <w:szCs w:val="22"/>
          <w14:ligatures w14:val="none"/>
        </w:rPr>
        <w:t>Offerors must state the exact name (name that appears on label) by which the drug will be supplied and have an NDC number that is unique to the offeror. The successful offeror/contractor's label with its unique NDC shall be the only label on the product. Contractors shall not affix their label over another label on the product.</w:t>
      </w:r>
    </w:p>
    <w:p w:rsidR="00120D16" w:rsidRPr="00120D16" w:rsidP="00120D16">
      <w:pPr>
        <w:spacing w:after="0" w:line="240" w:lineRule="auto"/>
        <w:textAlignment w:val="baseline"/>
        <w:rPr>
          <w:rFonts w:ascii="Arial" w:eastAsia="Times New Roman" w:hAnsi="Arial" w:cs="Arial"/>
          <w:kern w:val="0"/>
          <w:sz w:val="22"/>
          <w:szCs w:val="22"/>
          <w14:ligatures w14:val="none"/>
        </w:rPr>
      </w:pPr>
    </w:p>
    <w:p w:rsidR="00120D16" w:rsidRPr="00120D16" w:rsidP="00120D16">
      <w:pPr>
        <w:spacing w:after="0" w:line="240" w:lineRule="auto"/>
        <w:textAlignment w:val="baseline"/>
        <w:rPr>
          <w:rFonts w:ascii="Arial" w:eastAsia="Times New Roman" w:hAnsi="Arial" w:cs="Arial"/>
          <w:kern w:val="0"/>
          <w:sz w:val="22"/>
          <w:szCs w:val="22"/>
          <w14:ligatures w14:val="none"/>
        </w:rPr>
      </w:pPr>
      <w:r w:rsidRPr="00120D16">
        <w:rPr>
          <w:rFonts w:ascii="Arial" w:eastAsia="Times New Roman" w:hAnsi="Arial" w:cs="Arial"/>
          <w:kern w:val="0"/>
          <w:sz w:val="22"/>
          <w:szCs w:val="22"/>
          <w14:ligatures w14:val="none"/>
        </w:rPr>
        <w:t>Solicitation # 36E79726R00</w:t>
      </w:r>
      <w:r w:rsidR="004A3309">
        <w:rPr>
          <w:rFonts w:ascii="Arial" w:eastAsia="Times New Roman" w:hAnsi="Arial" w:cs="Arial"/>
          <w:kern w:val="0"/>
          <w:sz w:val="22"/>
          <w:szCs w:val="22"/>
          <w14:ligatures w14:val="none"/>
        </w:rPr>
        <w:t>1</w:t>
      </w:r>
      <w:r w:rsidRPr="00120D16">
        <w:rPr>
          <w:rFonts w:ascii="Arial" w:eastAsia="Times New Roman" w:hAnsi="Arial" w:cs="Arial"/>
          <w:kern w:val="0"/>
          <w:sz w:val="22"/>
          <w:szCs w:val="22"/>
          <w14:ligatures w14:val="none"/>
        </w:rPr>
        <w:t xml:space="preserve">8 will be electronically issued in commercial item format in accordance with FAR Part 12 on or about </w:t>
      </w:r>
      <w:r w:rsidR="004A3309">
        <w:rPr>
          <w:rFonts w:ascii="Arial" w:eastAsia="Times New Roman" w:hAnsi="Arial" w:cs="Arial"/>
          <w:kern w:val="0"/>
          <w:sz w:val="22"/>
          <w:szCs w:val="22"/>
          <w14:ligatures w14:val="none"/>
        </w:rPr>
        <w:t>April</w:t>
      </w:r>
      <w:r w:rsidRPr="00120D16">
        <w:rPr>
          <w:rFonts w:ascii="Arial" w:eastAsia="Times New Roman" w:hAnsi="Arial" w:cs="Arial"/>
          <w:kern w:val="0"/>
          <w:sz w:val="22"/>
          <w:szCs w:val="22"/>
          <w14:ligatures w14:val="none"/>
        </w:rPr>
        <w:t xml:space="preserve"> 1</w:t>
      </w:r>
      <w:r w:rsidR="004A3309">
        <w:rPr>
          <w:rFonts w:ascii="Arial" w:eastAsia="Times New Roman" w:hAnsi="Arial" w:cs="Arial"/>
          <w:kern w:val="0"/>
          <w:sz w:val="22"/>
          <w:szCs w:val="22"/>
          <w14:ligatures w14:val="none"/>
        </w:rPr>
        <w:t>7</w:t>
      </w:r>
      <w:r w:rsidRPr="00120D16">
        <w:rPr>
          <w:rFonts w:ascii="Arial" w:eastAsia="Times New Roman" w:hAnsi="Arial" w:cs="Arial"/>
          <w:kern w:val="0"/>
          <w:sz w:val="22"/>
          <w:szCs w:val="22"/>
          <w14:ligatures w14:val="none"/>
        </w:rPr>
        <w:t>, 202</w:t>
      </w:r>
      <w:r w:rsidR="004A3309">
        <w:rPr>
          <w:rFonts w:ascii="Arial" w:eastAsia="Times New Roman" w:hAnsi="Arial" w:cs="Arial"/>
          <w:kern w:val="0"/>
          <w:sz w:val="22"/>
          <w:szCs w:val="22"/>
          <w14:ligatures w14:val="none"/>
        </w:rPr>
        <w:t>6</w:t>
      </w:r>
      <w:r w:rsidRPr="00120D16">
        <w:rPr>
          <w:rFonts w:ascii="Arial" w:eastAsia="Times New Roman" w:hAnsi="Arial" w:cs="Arial"/>
          <w:kern w:val="0"/>
          <w:sz w:val="22"/>
          <w:szCs w:val="22"/>
          <w14:ligatures w14:val="none"/>
        </w:rPr>
        <w:t xml:space="preserve"> with a tentative closing date of </w:t>
      </w:r>
      <w:r w:rsidR="004A3309">
        <w:rPr>
          <w:rFonts w:ascii="Arial" w:eastAsia="Times New Roman" w:hAnsi="Arial" w:cs="Arial"/>
          <w:kern w:val="0"/>
          <w:sz w:val="22"/>
          <w:szCs w:val="22"/>
          <w14:ligatures w14:val="none"/>
        </w:rPr>
        <w:t>May</w:t>
      </w:r>
      <w:r w:rsidRPr="00120D16">
        <w:rPr>
          <w:rFonts w:ascii="Arial" w:eastAsia="Times New Roman" w:hAnsi="Arial" w:cs="Arial"/>
          <w:kern w:val="0"/>
          <w:sz w:val="22"/>
          <w:szCs w:val="22"/>
          <w14:ligatures w14:val="none"/>
        </w:rPr>
        <w:t xml:space="preserve"> </w:t>
      </w:r>
      <w:r w:rsidR="004A3309">
        <w:rPr>
          <w:rFonts w:ascii="Arial" w:eastAsia="Times New Roman" w:hAnsi="Arial" w:cs="Arial"/>
          <w:kern w:val="0"/>
          <w:sz w:val="22"/>
          <w:szCs w:val="22"/>
          <w14:ligatures w14:val="none"/>
        </w:rPr>
        <w:t>5</w:t>
      </w:r>
      <w:r w:rsidRPr="00120D16">
        <w:rPr>
          <w:rFonts w:ascii="Arial" w:eastAsia="Times New Roman" w:hAnsi="Arial" w:cs="Arial"/>
          <w:kern w:val="0"/>
          <w:sz w:val="22"/>
          <w:szCs w:val="22"/>
          <w14:ligatures w14:val="none"/>
        </w:rPr>
        <w:t xml:space="preserve">, 2026. The NAICS code for this procurement is 325412. Any future amendments and other miscellaneous documents will be available electronically for download at sam.gov. No paper copies of the solicitation will be available, and no telephone requests for paper copies of the solicitation will be accepted. Interested offerors are advised to continuously check Contracting Opportunities at SAM.gov for any changes to this solicitation. All responsible sources may submit an offer that if timely received, will be considered. The point of contact for this procurement is Ray Roldan. Questions can be emailed to </w:t>
      </w:r>
      <w:r>
        <w:fldChar w:fldCharType="begin"/>
      </w:r>
      <w:r>
        <w:instrText xml:space="preserve"> HYPERLINK "mailto:Raymond.Roldan@va.gov" </w:instrText>
      </w:r>
      <w:r>
        <w:fldChar w:fldCharType="separate"/>
      </w:r>
      <w:r w:rsidRPr="00120D16">
        <w:rPr>
          <w:rFonts w:ascii="Arial" w:eastAsia="Times New Roman" w:hAnsi="Arial" w:cs="Arial"/>
          <w:color w:val="0000FF"/>
          <w:kern w:val="0"/>
          <w:sz w:val="22"/>
          <w:szCs w:val="22"/>
          <w:u w:val="single"/>
          <w14:ligatures w14:val="none"/>
        </w:rPr>
        <w:t>Raymond.Roldan@va.gov</w:t>
      </w:r>
      <w:r>
        <w:fldChar w:fldCharType="end"/>
      </w:r>
      <w:r w:rsidRPr="00120D16">
        <w:rPr>
          <w:rFonts w:ascii="Arial" w:eastAsia="Times New Roman" w:hAnsi="Arial" w:cs="Arial"/>
          <w:kern w:val="0"/>
          <w:sz w:val="22"/>
          <w:szCs w:val="22"/>
          <w14:ligatures w14:val="none"/>
        </w:rPr>
        <w:t xml:space="preserve">. </w:t>
      </w:r>
    </w:p>
    <w:p w:rsidR="00120D16" w:rsidRPr="00120D16" w:rsidP="00120D16">
      <w:pPr>
        <w:spacing w:after="0" w:line="240" w:lineRule="auto"/>
        <w:textAlignment w:val="baseline"/>
        <w:rPr>
          <w:rFonts w:ascii="Arial" w:eastAsia="Times New Roman" w:hAnsi="Arial" w:cs="Arial"/>
          <w:kern w:val="0"/>
          <w:sz w:val="22"/>
          <w:szCs w:val="22"/>
          <w14:ligatures w14:val="none"/>
        </w:rPr>
      </w:pPr>
    </w:p>
    <w:p w:rsidR="00120D16" w:rsidRPr="00120D16" w:rsidP="00120D16">
      <w:pPr>
        <w:spacing w:after="0" w:line="240" w:lineRule="auto"/>
        <w:ind w:left="90" w:hanging="90"/>
        <w:textAlignment w:val="baseline"/>
        <w:rPr>
          <w:rFonts w:ascii="Arial" w:eastAsia="Times New Roman" w:hAnsi="Arial" w:cs="Arial"/>
          <w:kern w:val="0"/>
          <w:sz w:val="22"/>
          <w:szCs w:val="22"/>
          <w14:ligatures w14:val="none"/>
        </w:rPr>
      </w:pPr>
      <w:r w:rsidRPr="00120D16">
        <w:rPr>
          <w:rFonts w:ascii="Arial" w:eastAsia="Times New Roman" w:hAnsi="Arial" w:cs="Arial"/>
          <w:kern w:val="0"/>
          <w:sz w:val="22"/>
          <w:szCs w:val="22"/>
          <w14:ligatures w14:val="none"/>
        </w:rPr>
        <w:t>The estimated annual requirements are as follows:  </w:t>
      </w:r>
    </w:p>
    <w:p w:rsidR="00B7462B"/>
    <w:tbl>
      <w:tblPr>
        <w:tblW w:w="9375" w:type="dxa"/>
        <w:tblInd w:w="1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0" w:type="dxa"/>
          <w:right w:w="0" w:type="dxa"/>
        </w:tblCellMar>
        <w:tblLook w:val="04A0"/>
      </w:tblPr>
      <w:tblGrid>
        <w:gridCol w:w="789"/>
        <w:gridCol w:w="4488"/>
        <w:gridCol w:w="1620"/>
        <w:gridCol w:w="2478"/>
      </w:tblGrid>
      <w:tr w:rsidTr="004A3309">
        <w:tblPrEx>
          <w:tblW w:w="9375" w:type="dxa"/>
          <w:tblInd w:w="1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0" w:type="dxa"/>
            <w:right w:w="0" w:type="dxa"/>
          </w:tblCellMar>
          <w:tblLook w:val="04A0"/>
        </w:tblPrEx>
        <w:trPr>
          <w:trHeight w:val="312"/>
        </w:trPr>
        <w:tc>
          <w:tcPr>
            <w:tcW w:w="9375" w:type="dxa"/>
            <w:gridSpan w:val="4"/>
            <w:noWrap/>
            <w:tcMar>
              <w:top w:w="0" w:type="dxa"/>
              <w:left w:w="108" w:type="dxa"/>
              <w:bottom w:w="0" w:type="dxa"/>
              <w:right w:w="108" w:type="dxa"/>
            </w:tcMar>
            <w:vAlign w:val="bottom"/>
          </w:tcPr>
          <w:p w:rsidR="004A3309" w:rsidRPr="00600E30" w:rsidP="004A3309">
            <w:pPr>
              <w:jc w:val="center"/>
              <w:rPr>
                <w:rFonts w:ascii="Arial" w:hAnsi="Arial" w:cs="Arial"/>
                <w:b/>
                <w:bCs/>
                <w:sz w:val="22"/>
                <w:szCs w:val="22"/>
              </w:rPr>
            </w:pPr>
            <w:r>
              <w:rPr>
                <w:rFonts w:ascii="Arial" w:hAnsi="Arial" w:cs="Arial"/>
                <w:b/>
                <w:bCs/>
                <w:sz w:val="22"/>
                <w:szCs w:val="22"/>
              </w:rPr>
              <w:t>Requirement Description</w:t>
            </w:r>
          </w:p>
        </w:tc>
      </w:tr>
      <w:tr w:rsidTr="00140AA5">
        <w:tblPrEx>
          <w:tblW w:w="9375" w:type="dxa"/>
          <w:tblInd w:w="18" w:type="dxa"/>
          <w:tblLayout w:type="fixed"/>
          <w:tblCellMar>
            <w:left w:w="0" w:type="dxa"/>
            <w:right w:w="0" w:type="dxa"/>
          </w:tblCellMar>
          <w:tblLook w:val="04A0"/>
        </w:tblPrEx>
        <w:trPr>
          <w:trHeight w:val="439"/>
        </w:trPr>
        <w:tc>
          <w:tcPr>
            <w:tcW w:w="789" w:type="dxa"/>
            <w:noWrap/>
            <w:tcMar>
              <w:top w:w="0" w:type="dxa"/>
              <w:left w:w="108" w:type="dxa"/>
              <w:bottom w:w="0" w:type="dxa"/>
              <w:right w:w="108" w:type="dxa"/>
            </w:tcMar>
            <w:vAlign w:val="bottom"/>
            <w:hideMark/>
          </w:tcPr>
          <w:p w:rsidR="004A3309" w:rsidRPr="00600E30" w:rsidP="00140AA5">
            <w:pPr>
              <w:rPr>
                <w:rFonts w:ascii="Arial" w:hAnsi="Arial" w:cs="Arial"/>
                <w:b/>
                <w:bCs/>
                <w:sz w:val="22"/>
                <w:szCs w:val="22"/>
              </w:rPr>
            </w:pPr>
            <w:r w:rsidRPr="00600E30">
              <w:rPr>
                <w:rFonts w:ascii="Arial" w:hAnsi="Arial" w:cs="Arial"/>
                <w:b/>
                <w:bCs/>
                <w:sz w:val="22"/>
                <w:szCs w:val="22"/>
              </w:rPr>
              <w:t>I</w:t>
            </w:r>
            <w:r>
              <w:rPr>
                <w:rFonts w:ascii="Arial" w:hAnsi="Arial" w:cs="Arial"/>
                <w:b/>
                <w:bCs/>
                <w:sz w:val="22"/>
                <w:szCs w:val="22"/>
              </w:rPr>
              <w:t>tem</w:t>
            </w:r>
          </w:p>
        </w:tc>
        <w:tc>
          <w:tcPr>
            <w:tcW w:w="4488" w:type="dxa"/>
            <w:tcMar>
              <w:top w:w="0" w:type="dxa"/>
              <w:left w:w="108" w:type="dxa"/>
              <w:bottom w:w="0" w:type="dxa"/>
              <w:right w:w="108" w:type="dxa"/>
            </w:tcMar>
            <w:vAlign w:val="bottom"/>
            <w:hideMark/>
          </w:tcPr>
          <w:p w:rsidR="004A3309" w:rsidRPr="00600E30" w:rsidP="00140AA5">
            <w:pPr>
              <w:rPr>
                <w:rFonts w:ascii="Arial" w:hAnsi="Arial" w:cs="Arial"/>
                <w:b/>
                <w:bCs/>
                <w:sz w:val="22"/>
                <w:szCs w:val="22"/>
              </w:rPr>
            </w:pPr>
            <w:r w:rsidRPr="00600E30">
              <w:rPr>
                <w:rFonts w:ascii="Arial" w:hAnsi="Arial" w:cs="Arial"/>
                <w:b/>
                <w:bCs/>
                <w:sz w:val="22"/>
                <w:szCs w:val="22"/>
              </w:rPr>
              <w:t>D</w:t>
            </w:r>
            <w:r>
              <w:rPr>
                <w:rFonts w:ascii="Arial" w:hAnsi="Arial" w:cs="Arial"/>
                <w:b/>
                <w:bCs/>
                <w:sz w:val="22"/>
                <w:szCs w:val="22"/>
              </w:rPr>
              <w:t>escription</w:t>
            </w:r>
          </w:p>
        </w:tc>
        <w:tc>
          <w:tcPr>
            <w:tcW w:w="1620" w:type="dxa"/>
            <w:tcMar>
              <w:top w:w="0" w:type="dxa"/>
              <w:left w:w="108" w:type="dxa"/>
              <w:bottom w:w="0" w:type="dxa"/>
              <w:right w:w="108" w:type="dxa"/>
            </w:tcMar>
            <w:vAlign w:val="bottom"/>
            <w:hideMark/>
          </w:tcPr>
          <w:p w:rsidR="004A3309" w:rsidRPr="00600E30" w:rsidP="00140AA5">
            <w:pPr>
              <w:jc w:val="center"/>
              <w:rPr>
                <w:rFonts w:ascii="Arial" w:hAnsi="Arial" w:cs="Arial"/>
                <w:b/>
                <w:bCs/>
                <w:sz w:val="22"/>
                <w:szCs w:val="22"/>
              </w:rPr>
            </w:pPr>
            <w:r w:rsidRPr="00600E30">
              <w:rPr>
                <w:rFonts w:ascii="Arial" w:hAnsi="Arial" w:cs="Arial"/>
                <w:b/>
                <w:bCs/>
                <w:sz w:val="22"/>
                <w:szCs w:val="22"/>
              </w:rPr>
              <w:t>P</w:t>
            </w:r>
            <w:r>
              <w:rPr>
                <w:rFonts w:ascii="Arial" w:hAnsi="Arial" w:cs="Arial"/>
                <w:b/>
                <w:bCs/>
                <w:sz w:val="22"/>
                <w:szCs w:val="22"/>
              </w:rPr>
              <w:t>ackage</w:t>
            </w:r>
            <w:r w:rsidRPr="00600E30">
              <w:rPr>
                <w:rFonts w:ascii="Arial" w:hAnsi="Arial" w:cs="Arial"/>
                <w:b/>
                <w:bCs/>
                <w:sz w:val="22"/>
                <w:szCs w:val="22"/>
              </w:rPr>
              <w:t xml:space="preserve"> S</w:t>
            </w:r>
            <w:r>
              <w:rPr>
                <w:rFonts w:ascii="Arial" w:hAnsi="Arial" w:cs="Arial"/>
                <w:b/>
                <w:bCs/>
                <w:sz w:val="22"/>
                <w:szCs w:val="22"/>
              </w:rPr>
              <w:t>ize</w:t>
            </w:r>
            <w:r w:rsidRPr="00600E30">
              <w:rPr>
                <w:rFonts w:ascii="Arial" w:hAnsi="Arial" w:cs="Arial"/>
                <w:b/>
                <w:bCs/>
                <w:sz w:val="22"/>
                <w:szCs w:val="22"/>
              </w:rPr>
              <w:t xml:space="preserve"> (</w:t>
            </w:r>
            <w:r>
              <w:rPr>
                <w:rFonts w:ascii="Arial" w:hAnsi="Arial" w:cs="Arial"/>
                <w:b/>
                <w:bCs/>
                <w:sz w:val="22"/>
                <w:szCs w:val="22"/>
              </w:rPr>
              <w:t>Vial/Syringe, each</w:t>
            </w:r>
            <w:r w:rsidRPr="00600E30">
              <w:rPr>
                <w:rFonts w:ascii="Arial" w:hAnsi="Arial" w:cs="Arial"/>
                <w:b/>
                <w:bCs/>
                <w:sz w:val="22"/>
                <w:szCs w:val="22"/>
              </w:rPr>
              <w:t>)</w:t>
            </w:r>
          </w:p>
        </w:tc>
        <w:tc>
          <w:tcPr>
            <w:tcW w:w="2478" w:type="dxa"/>
            <w:tcMar>
              <w:top w:w="0" w:type="dxa"/>
              <w:left w:w="108" w:type="dxa"/>
              <w:bottom w:w="0" w:type="dxa"/>
              <w:right w:w="108" w:type="dxa"/>
            </w:tcMar>
            <w:vAlign w:val="bottom"/>
            <w:hideMark/>
          </w:tcPr>
          <w:p w:rsidR="004A3309" w:rsidRPr="00600E30" w:rsidP="00140AA5">
            <w:pPr>
              <w:jc w:val="center"/>
              <w:rPr>
                <w:rFonts w:ascii="Arial" w:hAnsi="Arial" w:cs="Arial"/>
                <w:b/>
                <w:bCs/>
                <w:sz w:val="22"/>
                <w:szCs w:val="22"/>
              </w:rPr>
            </w:pPr>
            <w:r w:rsidRPr="00600E30">
              <w:rPr>
                <w:rFonts w:ascii="Arial" w:hAnsi="Arial" w:cs="Arial"/>
                <w:b/>
                <w:bCs/>
                <w:sz w:val="22"/>
                <w:szCs w:val="22"/>
              </w:rPr>
              <w:t>T</w:t>
            </w:r>
            <w:r>
              <w:rPr>
                <w:rFonts w:ascii="Arial" w:hAnsi="Arial" w:cs="Arial"/>
                <w:b/>
                <w:bCs/>
                <w:sz w:val="22"/>
                <w:szCs w:val="22"/>
              </w:rPr>
              <w:t>otal</w:t>
            </w:r>
            <w:r w:rsidRPr="00600E30">
              <w:rPr>
                <w:rFonts w:ascii="Arial" w:hAnsi="Arial" w:cs="Arial"/>
                <w:b/>
                <w:bCs/>
                <w:sz w:val="22"/>
                <w:szCs w:val="22"/>
              </w:rPr>
              <w:t xml:space="preserve"> E</w:t>
            </w:r>
            <w:r>
              <w:rPr>
                <w:rFonts w:ascii="Arial" w:hAnsi="Arial" w:cs="Arial"/>
                <w:b/>
                <w:bCs/>
                <w:sz w:val="22"/>
                <w:szCs w:val="22"/>
              </w:rPr>
              <w:t>stimated</w:t>
            </w:r>
            <w:r w:rsidRPr="00600E30">
              <w:rPr>
                <w:rFonts w:ascii="Arial" w:hAnsi="Arial" w:cs="Arial"/>
                <w:b/>
                <w:bCs/>
                <w:sz w:val="22"/>
                <w:szCs w:val="22"/>
              </w:rPr>
              <w:t xml:space="preserve"> A</w:t>
            </w:r>
            <w:r>
              <w:rPr>
                <w:rFonts w:ascii="Arial" w:hAnsi="Arial" w:cs="Arial"/>
                <w:b/>
                <w:bCs/>
                <w:sz w:val="22"/>
                <w:szCs w:val="22"/>
              </w:rPr>
              <w:t>nnual</w:t>
            </w:r>
            <w:r w:rsidRPr="00600E30">
              <w:rPr>
                <w:rFonts w:ascii="Arial" w:hAnsi="Arial" w:cs="Arial"/>
                <w:b/>
                <w:bCs/>
                <w:sz w:val="22"/>
                <w:szCs w:val="22"/>
              </w:rPr>
              <w:t xml:space="preserve"> U</w:t>
            </w:r>
            <w:r>
              <w:rPr>
                <w:rFonts w:ascii="Arial" w:hAnsi="Arial" w:cs="Arial"/>
                <w:b/>
                <w:bCs/>
                <w:sz w:val="22"/>
                <w:szCs w:val="22"/>
              </w:rPr>
              <w:t>sage</w:t>
            </w:r>
            <w:r w:rsidRPr="00600E30">
              <w:rPr>
                <w:rFonts w:ascii="Arial" w:hAnsi="Arial" w:cs="Arial"/>
                <w:b/>
                <w:bCs/>
                <w:sz w:val="22"/>
                <w:szCs w:val="22"/>
              </w:rPr>
              <w:t xml:space="preserve"> (</w:t>
            </w:r>
            <w:r>
              <w:rPr>
                <w:rFonts w:ascii="Arial" w:hAnsi="Arial" w:cs="Arial"/>
                <w:b/>
                <w:bCs/>
                <w:sz w:val="22"/>
                <w:szCs w:val="22"/>
              </w:rPr>
              <w:t>Vials/Syringes</w:t>
            </w:r>
            <w:r w:rsidRPr="00600E30">
              <w:rPr>
                <w:rFonts w:ascii="Arial" w:hAnsi="Arial" w:cs="Arial"/>
                <w:b/>
                <w:bCs/>
                <w:sz w:val="22"/>
                <w:szCs w:val="22"/>
              </w:rPr>
              <w:t>)</w:t>
            </w:r>
          </w:p>
        </w:tc>
      </w:tr>
      <w:tr w:rsidTr="00140AA5">
        <w:tblPrEx>
          <w:tblW w:w="9375" w:type="dxa"/>
          <w:tblInd w:w="18" w:type="dxa"/>
          <w:tblLayout w:type="fixed"/>
          <w:tblCellMar>
            <w:left w:w="0" w:type="dxa"/>
            <w:right w:w="0" w:type="dxa"/>
          </w:tblCellMar>
          <w:tblLook w:val="04A0"/>
        </w:tblPrEx>
        <w:trPr>
          <w:trHeight w:val="408"/>
        </w:trPr>
        <w:tc>
          <w:tcPr>
            <w:tcW w:w="789" w:type="dxa"/>
            <w:noWrap/>
            <w:tcMar>
              <w:top w:w="0" w:type="dxa"/>
              <w:left w:w="108" w:type="dxa"/>
              <w:bottom w:w="0" w:type="dxa"/>
              <w:right w:w="108" w:type="dxa"/>
            </w:tcMar>
            <w:vAlign w:val="bottom"/>
          </w:tcPr>
          <w:p w:rsidR="004A3309" w:rsidRPr="00A5073F" w:rsidP="00140AA5">
            <w:pPr>
              <w:jc w:val="right"/>
              <w:rPr>
                <w:rFonts w:ascii="Arial" w:hAnsi="Arial" w:cs="Arial"/>
                <w:sz w:val="22"/>
                <w:szCs w:val="22"/>
              </w:rPr>
            </w:pPr>
            <w:r>
              <w:rPr>
                <w:rFonts w:ascii="Arial" w:hAnsi="Arial" w:cs="Arial"/>
                <w:sz w:val="22"/>
                <w:szCs w:val="22"/>
              </w:rPr>
              <w:t>1</w:t>
            </w:r>
          </w:p>
        </w:tc>
        <w:tc>
          <w:tcPr>
            <w:tcW w:w="4488" w:type="dxa"/>
            <w:tcMar>
              <w:top w:w="0" w:type="dxa"/>
              <w:left w:w="108" w:type="dxa"/>
              <w:bottom w:w="0" w:type="dxa"/>
              <w:right w:w="108" w:type="dxa"/>
            </w:tcMar>
            <w:vAlign w:val="bottom"/>
          </w:tcPr>
          <w:p w:rsidR="004A3309" w:rsidRPr="00A5073F" w:rsidP="00140AA5">
            <w:pPr>
              <w:rPr>
                <w:rFonts w:ascii="Arial" w:hAnsi="Arial" w:cs="Arial"/>
                <w:sz w:val="22"/>
                <w:szCs w:val="22"/>
              </w:rPr>
            </w:pPr>
            <w:r>
              <w:rPr>
                <w:rFonts w:ascii="Arial" w:hAnsi="Arial" w:cs="Arial"/>
                <w:sz w:val="22"/>
                <w:szCs w:val="22"/>
              </w:rPr>
              <w:t>Denosumab 60MG Injection</w:t>
            </w:r>
          </w:p>
        </w:tc>
        <w:tc>
          <w:tcPr>
            <w:tcW w:w="1620" w:type="dxa"/>
            <w:tcMar>
              <w:top w:w="0" w:type="dxa"/>
              <w:left w:w="108" w:type="dxa"/>
              <w:bottom w:w="0" w:type="dxa"/>
              <w:right w:w="108" w:type="dxa"/>
            </w:tcMar>
            <w:vAlign w:val="bottom"/>
          </w:tcPr>
          <w:p w:rsidR="004A3309" w:rsidRPr="00A5073F" w:rsidP="00140AA5">
            <w:pPr>
              <w:jc w:val="right"/>
              <w:rPr>
                <w:rFonts w:ascii="Arial" w:hAnsi="Arial" w:cs="Arial"/>
                <w:sz w:val="22"/>
                <w:szCs w:val="22"/>
              </w:rPr>
            </w:pPr>
            <w:r>
              <w:rPr>
                <w:rFonts w:ascii="Arial" w:hAnsi="Arial" w:cs="Arial"/>
                <w:sz w:val="22"/>
                <w:szCs w:val="22"/>
              </w:rPr>
              <w:t>1</w:t>
            </w:r>
          </w:p>
        </w:tc>
        <w:tc>
          <w:tcPr>
            <w:tcW w:w="2478" w:type="dxa"/>
            <w:tcMar>
              <w:top w:w="0" w:type="dxa"/>
              <w:left w:w="108" w:type="dxa"/>
              <w:bottom w:w="0" w:type="dxa"/>
              <w:right w:w="108" w:type="dxa"/>
            </w:tcMar>
            <w:vAlign w:val="bottom"/>
          </w:tcPr>
          <w:p w:rsidR="004A3309" w:rsidRPr="00A5073F" w:rsidP="00140AA5">
            <w:pPr>
              <w:jc w:val="right"/>
              <w:rPr>
                <w:rFonts w:ascii="Arial" w:hAnsi="Arial" w:cs="Arial"/>
                <w:sz w:val="22"/>
                <w:szCs w:val="22"/>
              </w:rPr>
            </w:pPr>
            <w:r>
              <w:rPr>
                <w:rFonts w:ascii="Arial" w:hAnsi="Arial" w:cs="Arial"/>
                <w:sz w:val="22"/>
                <w:szCs w:val="22"/>
              </w:rPr>
              <w:t>22,737</w:t>
            </w:r>
          </w:p>
        </w:tc>
      </w:tr>
      <w:tr w:rsidTr="00140AA5">
        <w:tblPrEx>
          <w:tblW w:w="9375" w:type="dxa"/>
          <w:tblInd w:w="18" w:type="dxa"/>
          <w:tblLayout w:type="fixed"/>
          <w:tblCellMar>
            <w:left w:w="0" w:type="dxa"/>
            <w:right w:w="0" w:type="dxa"/>
          </w:tblCellMar>
          <w:tblLook w:val="04A0"/>
        </w:tblPrEx>
        <w:trPr>
          <w:trHeight w:val="408"/>
        </w:trPr>
        <w:tc>
          <w:tcPr>
            <w:tcW w:w="789" w:type="dxa"/>
            <w:noWrap/>
            <w:tcMar>
              <w:top w:w="0" w:type="dxa"/>
              <w:left w:w="108" w:type="dxa"/>
              <w:bottom w:w="0" w:type="dxa"/>
              <w:right w:w="108" w:type="dxa"/>
            </w:tcMar>
            <w:vAlign w:val="bottom"/>
          </w:tcPr>
          <w:p w:rsidR="004A3309" w:rsidRPr="00A5073F" w:rsidP="00140AA5">
            <w:pPr>
              <w:jc w:val="right"/>
              <w:rPr>
                <w:rFonts w:ascii="Arial" w:hAnsi="Arial" w:cs="Arial"/>
                <w:sz w:val="22"/>
                <w:szCs w:val="22"/>
              </w:rPr>
            </w:pPr>
            <w:r>
              <w:rPr>
                <w:rFonts w:ascii="Arial" w:hAnsi="Arial" w:cs="Arial"/>
                <w:sz w:val="22"/>
                <w:szCs w:val="22"/>
              </w:rPr>
              <w:t>2</w:t>
            </w:r>
          </w:p>
        </w:tc>
        <w:tc>
          <w:tcPr>
            <w:tcW w:w="4488" w:type="dxa"/>
            <w:tcMar>
              <w:top w:w="0" w:type="dxa"/>
              <w:left w:w="108" w:type="dxa"/>
              <w:bottom w:w="0" w:type="dxa"/>
              <w:right w:w="108" w:type="dxa"/>
            </w:tcMar>
            <w:vAlign w:val="bottom"/>
          </w:tcPr>
          <w:p w:rsidR="004A3309" w:rsidRPr="00A5073F" w:rsidP="00140AA5">
            <w:pPr>
              <w:rPr>
                <w:rFonts w:ascii="Arial" w:hAnsi="Arial" w:cs="Arial"/>
                <w:sz w:val="22"/>
                <w:szCs w:val="22"/>
              </w:rPr>
            </w:pPr>
            <w:r w:rsidRPr="00B57694">
              <w:rPr>
                <w:rFonts w:ascii="Arial" w:hAnsi="Arial" w:cs="Arial"/>
                <w:sz w:val="22"/>
                <w:szCs w:val="22"/>
              </w:rPr>
              <w:t xml:space="preserve">Denosumab </w:t>
            </w:r>
            <w:r>
              <w:rPr>
                <w:rFonts w:ascii="Arial" w:hAnsi="Arial" w:cs="Arial"/>
                <w:sz w:val="22"/>
                <w:szCs w:val="22"/>
              </w:rPr>
              <w:t>120</w:t>
            </w:r>
            <w:r w:rsidRPr="00B57694">
              <w:rPr>
                <w:rFonts w:ascii="Arial" w:hAnsi="Arial" w:cs="Arial"/>
                <w:sz w:val="22"/>
                <w:szCs w:val="22"/>
              </w:rPr>
              <w:t>MG Injection</w:t>
            </w:r>
          </w:p>
        </w:tc>
        <w:tc>
          <w:tcPr>
            <w:tcW w:w="1620" w:type="dxa"/>
            <w:tcMar>
              <w:top w:w="0" w:type="dxa"/>
              <w:left w:w="108" w:type="dxa"/>
              <w:bottom w:w="0" w:type="dxa"/>
              <w:right w:w="108" w:type="dxa"/>
            </w:tcMar>
            <w:vAlign w:val="bottom"/>
          </w:tcPr>
          <w:p w:rsidR="004A3309" w:rsidRPr="00A5073F" w:rsidP="00140AA5">
            <w:pPr>
              <w:jc w:val="right"/>
              <w:rPr>
                <w:rFonts w:ascii="Arial" w:hAnsi="Arial" w:cs="Arial"/>
                <w:sz w:val="22"/>
                <w:szCs w:val="22"/>
              </w:rPr>
            </w:pPr>
            <w:r>
              <w:rPr>
                <w:rFonts w:ascii="Arial" w:hAnsi="Arial" w:cs="Arial"/>
                <w:sz w:val="22"/>
                <w:szCs w:val="22"/>
              </w:rPr>
              <w:t>1</w:t>
            </w:r>
          </w:p>
        </w:tc>
        <w:tc>
          <w:tcPr>
            <w:tcW w:w="2478" w:type="dxa"/>
            <w:tcMar>
              <w:top w:w="0" w:type="dxa"/>
              <w:left w:w="108" w:type="dxa"/>
              <w:bottom w:w="0" w:type="dxa"/>
              <w:right w:w="108" w:type="dxa"/>
            </w:tcMar>
            <w:vAlign w:val="bottom"/>
          </w:tcPr>
          <w:p w:rsidR="004A3309" w:rsidRPr="00A5073F" w:rsidP="00140AA5">
            <w:pPr>
              <w:jc w:val="right"/>
              <w:rPr>
                <w:rFonts w:ascii="Arial" w:hAnsi="Arial" w:cs="Arial"/>
                <w:sz w:val="22"/>
                <w:szCs w:val="22"/>
              </w:rPr>
            </w:pPr>
            <w:r>
              <w:rPr>
                <w:rFonts w:ascii="Arial" w:hAnsi="Arial" w:cs="Arial"/>
                <w:sz w:val="22"/>
                <w:szCs w:val="22"/>
              </w:rPr>
              <w:t>5,472</w:t>
            </w:r>
          </w:p>
        </w:tc>
      </w:tr>
    </w:tbl>
    <w:p w:rsidR="004A3309" w:rsidP="004A3309">
      <w:pPr>
        <w:pStyle w:val="NoSpacing"/>
        <w:rPr>
          <w:rFonts w:ascii="Arial" w:hAnsi="Arial" w:cs="Arial"/>
        </w:rPr>
      </w:pPr>
    </w:p>
    <w:p w:rsidR="004A3309" w:rsidP="004A3309">
      <w:pPr>
        <w:pStyle w:val="NoSpacing"/>
        <w:rPr>
          <w:rFonts w:ascii="Arial" w:hAnsi="Arial" w:cs="Arial"/>
        </w:rPr>
      </w:pPr>
      <w:r>
        <w:rPr>
          <w:rFonts w:ascii="Arial" w:hAnsi="Arial" w:cs="Arial"/>
        </w:rPr>
        <w:t>Please note the following:</w:t>
      </w:r>
    </w:p>
    <w:p w:rsidR="004A3309" w:rsidP="004A3309">
      <w:pPr>
        <w:pStyle w:val="NoSpacing"/>
        <w:rPr>
          <w:rFonts w:ascii="Arial" w:hAnsi="Arial" w:cs="Arial"/>
        </w:rPr>
      </w:pPr>
    </w:p>
    <w:p w:rsidR="004A3309" w:rsidRPr="00F90045" w:rsidP="004A3309">
      <w:pPr>
        <w:pStyle w:val="NoSpacing"/>
        <w:numPr>
          <w:ilvl w:val="0"/>
          <w:numId w:val="1"/>
        </w:numPr>
        <w:rPr>
          <w:rFonts w:ascii="Arial" w:hAnsi="Arial" w:cs="Arial"/>
        </w:rPr>
      </w:pPr>
      <w:r w:rsidRPr="007920D2">
        <w:rPr>
          <w:rFonts w:ascii="Arial" w:hAnsi="Arial" w:cs="Arial"/>
        </w:rPr>
        <w:t xml:space="preserve">Should a covered drug </w:t>
      </w:r>
      <w:r>
        <w:rPr>
          <w:rFonts w:ascii="Arial" w:hAnsi="Arial" w:cs="Arial"/>
        </w:rPr>
        <w:t xml:space="preserve">(as defined in </w:t>
      </w:r>
      <w:r w:rsidRPr="00507AAA">
        <w:rPr>
          <w:rFonts w:ascii="Arial" w:hAnsi="Arial" w:cs="Arial"/>
        </w:rPr>
        <w:t>38 U.S.C. § 8126</w:t>
      </w:r>
      <w:r>
        <w:rPr>
          <w:rFonts w:ascii="Arial" w:hAnsi="Arial" w:cs="Arial"/>
        </w:rPr>
        <w:t xml:space="preserve">) </w:t>
      </w:r>
      <w:r w:rsidRPr="007920D2">
        <w:rPr>
          <w:rFonts w:ascii="Arial" w:hAnsi="Arial" w:cs="Arial"/>
        </w:rPr>
        <w:t xml:space="preserve">be proposed and awarded as a result of </w:t>
      </w:r>
      <w:r>
        <w:rPr>
          <w:rFonts w:ascii="Arial" w:hAnsi="Arial" w:cs="Arial"/>
        </w:rPr>
        <w:t>any solicitation for these products, b</w:t>
      </w:r>
      <w:r w:rsidRPr="00F90045">
        <w:rPr>
          <w:rFonts w:ascii="Arial" w:hAnsi="Arial" w:cs="Arial"/>
        </w:rPr>
        <w:t xml:space="preserve">oth parties (Offeror and VA) understand the VA National Contract Service </w:t>
      </w:r>
      <w:r>
        <w:rPr>
          <w:rFonts w:ascii="Arial" w:hAnsi="Arial" w:cs="Arial"/>
        </w:rPr>
        <w:t>must have established</w:t>
      </w:r>
      <w:r w:rsidRPr="00F90045">
        <w:rPr>
          <w:rFonts w:ascii="Arial" w:hAnsi="Arial" w:cs="Arial"/>
        </w:rPr>
        <w:t xml:space="preserve"> </w:t>
      </w:r>
      <w:r>
        <w:rPr>
          <w:rFonts w:ascii="Arial" w:hAnsi="Arial" w:cs="Arial"/>
        </w:rPr>
        <w:t>Federal Ceiling Prices (FCPs)</w:t>
      </w:r>
      <w:r w:rsidRPr="00F90045">
        <w:rPr>
          <w:rFonts w:ascii="Arial" w:hAnsi="Arial" w:cs="Arial"/>
        </w:rPr>
        <w:t xml:space="preserve"> from VA’s Pharmacy Benefits Management (PBM). The parties agree the FCP will be calculated pursuant to the requirements of 38 U.S.C. § 8126 and any related requirements contained in the contractor’s Master Agreement, Pharmaceutical Pricing Agreement, and relevant VA Dear Manufacturer Letters. Refer to the VA Federal Supply Schedule (FSS) website at </w:t>
      </w:r>
      <w:r>
        <w:fldChar w:fldCharType="begin"/>
      </w:r>
      <w:r>
        <w:instrText xml:space="preserve"> HYPERLINK "https://www.fss.va.gov/" </w:instrText>
      </w:r>
      <w:r>
        <w:fldChar w:fldCharType="separate"/>
      </w:r>
      <w:r w:rsidRPr="00F90045">
        <w:rPr>
          <w:rStyle w:val="Hyperlink"/>
          <w:rFonts w:ascii="Arial" w:hAnsi="Arial" w:cs="Arial"/>
        </w:rPr>
        <w:t>https://www.fss.va.gov/</w:t>
      </w:r>
      <w:r>
        <w:fldChar w:fldCharType="end"/>
      </w:r>
      <w:r w:rsidRPr="00F90045">
        <w:rPr>
          <w:rFonts w:ascii="Arial" w:hAnsi="Arial" w:cs="Arial"/>
        </w:rPr>
        <w:t xml:space="preserve"> and Public Law 102-585 (Veterans Health Care Act of 1992) page on the VA FSS website at </w:t>
      </w:r>
      <w:r>
        <w:fldChar w:fldCharType="begin"/>
      </w:r>
      <w:r>
        <w:instrText xml:space="preserve"> HYPERLINK "https://www.va.gov/opal/nac/fss/publicLaw.asp" </w:instrText>
      </w:r>
      <w:r>
        <w:fldChar w:fldCharType="separate"/>
      </w:r>
      <w:r w:rsidRPr="00F90045">
        <w:rPr>
          <w:rStyle w:val="Hyperlink"/>
          <w:rFonts w:ascii="Arial" w:hAnsi="Arial" w:cs="Arial"/>
        </w:rPr>
        <w:t>https://www.va.gov/opal/nac/fss/publicLaw.asp</w:t>
      </w:r>
      <w:r>
        <w:fldChar w:fldCharType="end"/>
      </w:r>
      <w:r w:rsidRPr="00F90045">
        <w:rPr>
          <w:rFonts w:ascii="Arial" w:hAnsi="Arial" w:cs="Arial"/>
        </w:rPr>
        <w:t xml:space="preserve"> for further information and a list of published Dear Manufacturer Letters. </w:t>
      </w:r>
    </w:p>
    <w:p w:rsidR="004A3309" w:rsidRPr="00F90045" w:rsidP="004A3309">
      <w:pPr>
        <w:pStyle w:val="NoSpacing"/>
        <w:rPr>
          <w:rFonts w:ascii="Arial" w:hAnsi="Arial" w:cs="Arial"/>
        </w:rPr>
      </w:pPr>
    </w:p>
    <w:p w:rsidR="004A3309" w:rsidP="004A3309">
      <w:pPr>
        <w:pStyle w:val="NoSpacing"/>
        <w:ind w:left="720"/>
        <w:rPr>
          <w:rFonts w:ascii="Arial" w:hAnsi="Arial" w:cs="Arial"/>
        </w:rPr>
      </w:pPr>
      <w:r w:rsidRPr="00F90045">
        <w:rPr>
          <w:rFonts w:ascii="Arial" w:hAnsi="Arial" w:cs="Arial"/>
        </w:rPr>
        <w:t>Offers of covered drugs (including biologics that fall within 21 CFR § 600.3) will only be considered for award if the Offeror has an executed MA and PPA (which includes the offered NDCs</w:t>
      </w:r>
      <w:r>
        <w:rPr>
          <w:rFonts w:ascii="Arial" w:hAnsi="Arial" w:cs="Arial"/>
        </w:rPr>
        <w:t xml:space="preserve">) </w:t>
      </w:r>
      <w:r w:rsidRPr="00F90045">
        <w:rPr>
          <w:rFonts w:ascii="Arial" w:hAnsi="Arial" w:cs="Arial"/>
        </w:rPr>
        <w:t>on file with the VA National Acquisition Center, FSS (in accordance with 38 U.S.C. § 8126(h)(</w:t>
      </w:r>
      <w:r>
        <w:rPr>
          <w:rFonts w:ascii="Arial" w:hAnsi="Arial" w:cs="Arial"/>
        </w:rPr>
        <w:t>2)</w:t>
      </w:r>
      <w:r w:rsidRPr="00F90045">
        <w:rPr>
          <w:rFonts w:ascii="Arial" w:hAnsi="Arial" w:cs="Arial"/>
        </w:rPr>
        <w:t>). Furthermore, in order to be considered for award under this solicitation, all proposed covered drug product(s) must be present on the Offeror’s FSS contract or interim agreement</w:t>
      </w:r>
      <w:r w:rsidRPr="00B317D1">
        <w:t xml:space="preserve"> </w:t>
      </w:r>
      <w:r w:rsidRPr="00B317D1">
        <w:rPr>
          <w:rFonts w:ascii="Arial" w:hAnsi="Arial" w:cs="Arial"/>
        </w:rPr>
        <w:t>with an established Permanent FCP associated with the offeror’s FSS contract or interim agreement by this solicitation’s due date and time for receipt of offers. Offers failing to meet these criteria will be rejected and receive no further consideration.</w:t>
      </w:r>
    </w:p>
    <w:p w:rsidR="004A3309" w:rsidP="004A3309">
      <w:pPr>
        <w:pStyle w:val="NoSpacing"/>
        <w:rPr>
          <w:rFonts w:ascii="Arial" w:hAnsi="Arial" w:cs="Arial"/>
        </w:rPr>
      </w:pPr>
    </w:p>
    <w:p w:rsidR="004A3309" w:rsidP="004A3309">
      <w:pPr>
        <w:pStyle w:val="NoSpacing"/>
        <w:numPr>
          <w:ilvl w:val="0"/>
          <w:numId w:val="1"/>
        </w:numPr>
        <w:rPr>
          <w:rFonts w:ascii="Arial" w:hAnsi="Arial" w:cs="Arial"/>
        </w:rPr>
      </w:pPr>
      <w:r>
        <w:rPr>
          <w:rFonts w:ascii="Arial" w:hAnsi="Arial" w:cs="Arial"/>
        </w:rPr>
        <w:t xml:space="preserve">Proposed biosimilar products must be biological products licensed by the FDA under 42 U.S.C. </w:t>
      </w:r>
      <w:r w:rsidRPr="00507AAA">
        <w:rPr>
          <w:rFonts w:ascii="Arial" w:hAnsi="Arial" w:cs="Arial"/>
        </w:rPr>
        <w:t>§</w:t>
      </w:r>
      <w:r>
        <w:rPr>
          <w:rFonts w:ascii="Arial" w:hAnsi="Arial" w:cs="Arial"/>
        </w:rPr>
        <w:t xml:space="preserve"> 262 and must meet all biosimilar criteria described in 42 U.S.C. </w:t>
      </w:r>
      <w:r w:rsidRPr="00507AAA">
        <w:rPr>
          <w:rFonts w:ascii="Arial" w:hAnsi="Arial" w:cs="Arial"/>
        </w:rPr>
        <w:t>§</w:t>
      </w:r>
      <w:r>
        <w:rPr>
          <w:rFonts w:ascii="Arial" w:hAnsi="Arial" w:cs="Arial"/>
        </w:rPr>
        <w:t xml:space="preserve"> 262. In addition, biosimilar products must be FDA approved as a biologic medication that is compared to the innovator (the original biologic) and listed as a biosimilar to the innovator in the FDA Purple Book (</w:t>
      </w:r>
      <w:r>
        <w:fldChar w:fldCharType="begin"/>
      </w:r>
      <w:r>
        <w:instrText xml:space="preserve"> HYPERLINK "https://purplebooksearch.fda.gov/" </w:instrText>
      </w:r>
      <w:r>
        <w:fldChar w:fldCharType="separate"/>
      </w:r>
      <w:r w:rsidRPr="004361E8">
        <w:rPr>
          <w:rStyle w:val="Hyperlink"/>
          <w:rFonts w:ascii="Arial" w:hAnsi="Arial" w:cs="Arial"/>
        </w:rPr>
        <w:t>https://purplebooksearch.fda.gov/</w:t>
      </w:r>
      <w:r>
        <w:fldChar w:fldCharType="end"/>
      </w:r>
      <w:r>
        <w:rPr>
          <w:rFonts w:ascii="Arial" w:hAnsi="Arial" w:cs="Arial"/>
        </w:rPr>
        <w:t xml:space="preserve">). </w:t>
      </w:r>
    </w:p>
    <w:p w:rsidR="004A3309" w:rsidP="004A3309">
      <w:pPr>
        <w:pStyle w:val="NoSpacing"/>
        <w:ind w:left="720"/>
        <w:rPr>
          <w:rFonts w:ascii="Arial" w:hAnsi="Arial" w:cs="Arial"/>
        </w:rPr>
      </w:pPr>
    </w:p>
    <w:p w:rsidR="004A3309" w:rsidP="004A3309">
      <w:pPr>
        <w:pStyle w:val="NoSpacing"/>
        <w:numPr>
          <w:ilvl w:val="0"/>
          <w:numId w:val="1"/>
        </w:numPr>
        <w:rPr>
          <w:rFonts w:ascii="Arial" w:hAnsi="Arial" w:cs="Arial"/>
        </w:rPr>
      </w:pPr>
      <w:r>
        <w:rPr>
          <w:rFonts w:ascii="Arial" w:hAnsi="Arial" w:cs="Arial"/>
        </w:rPr>
        <w:t>Should an offeror market both a vial and syringe for the same product strength, both products must be included in the offeror’s proposal at the same proposed price. Should the contract awardee not market an alternate presentation (vial or syringe) in the same strength at the time of contract award, but begin marketing an alternate presentation post-award, the new vial or syringe product will be added to the contract at the awarded contract price for the originally proposed vial or syringe in the same strength.</w:t>
      </w:r>
    </w:p>
    <w:p w:rsidR="004A3309"/>
    <w:sectPr>
      <w:footerReference w:type="default" r:id="rId8"/>
      <w:type w:val="continuous"/>
      <w:pgSz w:w="12240" w:h="15840"/>
      <w:pgMar w:top="1080" w:right="1440" w:bottom="1080" w:left="1440" w:header="360" w:footer="36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A3309">
    <w:pPr>
      <w:pStyle w:val="Footer"/>
      <w:jc w:val="right"/>
    </w:pPr>
  </w:p>
  <w:p w:rsidR="004A3309">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62134A7"/>
    <w:multiLevelType w:val="hybridMultilevel"/>
    <w:tmpl w:val="E01C403A"/>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035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35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35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35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8035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35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35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35EE"/>
    <w:rPr>
      <w:rFonts w:eastAsiaTheme="majorEastAsia" w:cstheme="majorBidi"/>
      <w:color w:val="272727" w:themeColor="text1" w:themeTint="D8"/>
    </w:rPr>
  </w:style>
  <w:style w:type="paragraph" w:styleId="Quote">
    <w:name w:val="Quote"/>
    <w:basedOn w:val="Normal"/>
    <w:next w:val="Normal"/>
    <w:link w:val="QuoteChar"/>
    <w:uiPriority w:val="29"/>
    <w:qFormat/>
    <w:rsid w:val="008035EE"/>
    <w:pPr>
      <w:spacing w:before="160"/>
      <w:jc w:val="center"/>
    </w:pPr>
    <w:rPr>
      <w:i/>
      <w:iCs/>
      <w:color w:val="404040" w:themeColor="text1" w:themeTint="BF"/>
    </w:rPr>
  </w:style>
  <w:style w:type="character" w:customStyle="1" w:styleId="QuoteChar">
    <w:name w:val="Quote Char"/>
    <w:basedOn w:val="DefaultParagraphFont"/>
    <w:link w:val="Quote"/>
    <w:uiPriority w:val="29"/>
    <w:rsid w:val="008035EE"/>
    <w:rPr>
      <w:i/>
      <w:iCs/>
      <w:color w:val="404040" w:themeColor="text1" w:themeTint="BF"/>
    </w:rPr>
  </w:style>
  <w:style w:type="paragraph" w:styleId="IntenseQuote">
    <w:name w:val="Intense Quote"/>
    <w:basedOn w:val="Normal"/>
    <w:next w:val="Normal"/>
    <w:link w:val="IntenseQuoteChar"/>
    <w:uiPriority w:val="30"/>
    <w:qFormat/>
    <w:rsid w:val="008035EE"/>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8035EE"/>
    <w:rPr>
      <w:i/>
      <w:iCs/>
      <w:color w:val="366092" w:themeColor="accent1" w:themeShade="BF"/>
    </w:rPr>
  </w:style>
  <w:style w:type="character" w:styleId="IntenseReference">
    <w:name w:val="Intense Reference"/>
    <w:basedOn w:val="DefaultParagraphFont"/>
    <w:uiPriority w:val="32"/>
    <w:qFormat/>
    <w:rsid w:val="008035EE"/>
    <w:rPr>
      <w:b/>
      <w:bCs/>
      <w:smallCaps/>
      <w:color w:val="366092" w:themeColor="accent1" w:themeShade="BF"/>
      <w:spacing w:val="5"/>
    </w:rPr>
  </w:style>
  <w:style w:type="character" w:styleId="Hyperlink">
    <w:name w:val="Hyperlink"/>
    <w:basedOn w:val="DefaultParagraphFont"/>
    <w:rsid w:val="004A330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footer" Target="footer3.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2026-03-24T19:12:58Z</dcterms:created>
  <dcterms:modified xsi:type="dcterms:W3CDTF">2026-03-24T19:12:58Z</dcterms:modified>
</cp:coreProperties>
</file>