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617" w14:textId="4B755225" w:rsidR="00236AB9" w:rsidRDefault="00236AB9" w:rsidP="00236AB9">
      <w:pPr>
        <w:pStyle w:val="CommentText"/>
      </w:pPr>
      <w:r>
        <w:rPr>
          <w:rFonts w:ascii="Calibri" w:eastAsia="Times New Roman" w:hAnsi="Calibri" w:cs="Calibri"/>
          <w:color w:val="000000"/>
          <w:sz w:val="24"/>
          <w:szCs w:val="24"/>
        </w:rPr>
        <w:t xml:space="preserve">In accordance with the Commercial Solutions Opportunity – Defense Commissary Agency (DeCA), dated 01.21.2026, paragraph 5.0, the following specific requirement in support of </w:t>
      </w:r>
      <w:proofErr w:type="spellStart"/>
      <w:r>
        <w:rPr>
          <w:rFonts w:ascii="Calibri" w:eastAsia="Times New Roman" w:hAnsi="Calibri" w:cs="Calibri"/>
          <w:color w:val="000000"/>
          <w:sz w:val="24"/>
          <w:szCs w:val="24"/>
        </w:rPr>
        <w:t>AoI</w:t>
      </w:r>
      <w:proofErr w:type="spellEnd"/>
      <w:r>
        <w:rPr>
          <w:rFonts w:ascii="Calibri" w:eastAsia="Times New Roman" w:hAnsi="Calibri" w:cs="Calibri"/>
          <w:color w:val="000000"/>
          <w:sz w:val="24"/>
          <w:szCs w:val="24"/>
        </w:rPr>
        <w:t xml:space="preserve"> 5.5 Modernize Business is attached.  </w:t>
      </w:r>
    </w:p>
    <w:p w14:paraId="01676588" w14:textId="5198C5EC"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 xml:space="preserve">The Defense Commissary Agency (DeCA) is seeking innovative commercial technologies, products, and service models that modernize and enhance </w:t>
      </w:r>
      <w:r w:rsidR="0091028B">
        <w:rPr>
          <w:rFonts w:ascii="Calibri" w:eastAsia="Times New Roman" w:hAnsi="Calibri" w:cs="Calibri"/>
          <w:color w:val="000000"/>
          <w:sz w:val="24"/>
          <w:szCs w:val="24"/>
        </w:rPr>
        <w:t>Miscellaneous Food Processing</w:t>
      </w:r>
      <w:r w:rsidRPr="00236AB9">
        <w:rPr>
          <w:rFonts w:ascii="Calibri" w:eastAsia="Times New Roman" w:hAnsi="Calibri" w:cs="Calibri"/>
          <w:color w:val="000000"/>
          <w:sz w:val="24"/>
          <w:szCs w:val="24"/>
        </w:rPr>
        <w:t xml:space="preserve"> Equipment (</w:t>
      </w:r>
      <w:r w:rsidR="0091028B">
        <w:rPr>
          <w:rFonts w:ascii="Calibri" w:eastAsia="Times New Roman" w:hAnsi="Calibri" w:cs="Calibri"/>
          <w:color w:val="000000"/>
          <w:sz w:val="24"/>
          <w:szCs w:val="24"/>
        </w:rPr>
        <w:t>MFP</w:t>
      </w:r>
      <w:r w:rsidRPr="00236AB9">
        <w:rPr>
          <w:rFonts w:ascii="Calibri" w:eastAsia="Times New Roman" w:hAnsi="Calibri" w:cs="Calibri"/>
          <w:color w:val="000000"/>
          <w:sz w:val="24"/>
          <w:szCs w:val="24"/>
        </w:rPr>
        <w:t>) maintenance and support operations</w:t>
      </w:r>
      <w:r w:rsidR="0033264B">
        <w:rPr>
          <w:rFonts w:ascii="Calibri" w:eastAsia="Times New Roman" w:hAnsi="Calibri" w:cs="Calibri"/>
          <w:color w:val="000000"/>
          <w:sz w:val="24"/>
          <w:szCs w:val="24"/>
        </w:rPr>
        <w:t xml:space="preserve"> at </w:t>
      </w:r>
      <w:r w:rsidR="0078326E">
        <w:rPr>
          <w:rFonts w:ascii="Calibri" w:eastAsia="Times New Roman" w:hAnsi="Calibri" w:cs="Calibri"/>
          <w:color w:val="000000"/>
          <w:sz w:val="24"/>
          <w:szCs w:val="24"/>
        </w:rPr>
        <w:t>Fort Buchanan</w:t>
      </w:r>
      <w:r w:rsidR="0033264B">
        <w:rPr>
          <w:rFonts w:ascii="Calibri" w:eastAsia="Times New Roman" w:hAnsi="Calibri" w:cs="Calibri"/>
          <w:color w:val="000000"/>
          <w:sz w:val="24"/>
          <w:szCs w:val="24"/>
        </w:rPr>
        <w:t xml:space="preserve"> commissar</w:t>
      </w:r>
      <w:r w:rsidR="0078326E">
        <w:rPr>
          <w:rFonts w:ascii="Calibri" w:eastAsia="Times New Roman" w:hAnsi="Calibri" w:cs="Calibri"/>
          <w:color w:val="000000"/>
          <w:sz w:val="24"/>
          <w:szCs w:val="24"/>
        </w:rPr>
        <w:t xml:space="preserve">y </w:t>
      </w:r>
      <w:r w:rsidR="0033264B">
        <w:rPr>
          <w:rFonts w:ascii="Calibri" w:eastAsia="Times New Roman" w:hAnsi="Calibri" w:cs="Calibri"/>
          <w:color w:val="000000"/>
          <w:sz w:val="24"/>
          <w:szCs w:val="24"/>
        </w:rPr>
        <w:t xml:space="preserve">located in </w:t>
      </w:r>
      <w:r w:rsidR="0078326E">
        <w:rPr>
          <w:rFonts w:ascii="Calibri" w:eastAsia="Times New Roman" w:hAnsi="Calibri" w:cs="Calibri"/>
          <w:color w:val="000000"/>
          <w:sz w:val="24"/>
          <w:szCs w:val="24"/>
        </w:rPr>
        <w:t>Puerto Rico</w:t>
      </w:r>
      <w:r w:rsidRPr="00236AB9">
        <w:rPr>
          <w:rFonts w:ascii="Calibri" w:eastAsia="Times New Roman" w:hAnsi="Calibri" w:cs="Calibri"/>
          <w:color w:val="000000"/>
          <w:sz w:val="24"/>
          <w:szCs w:val="24"/>
        </w:rPr>
        <w:t xml:space="preserve">. </w:t>
      </w:r>
      <w:r w:rsidR="004E0451">
        <w:rPr>
          <w:rFonts w:ascii="Calibri" w:eastAsia="Times New Roman" w:hAnsi="Calibri" w:cs="Calibri"/>
          <w:color w:val="000000"/>
          <w:sz w:val="24"/>
          <w:szCs w:val="24"/>
        </w:rPr>
        <w:t>This includes meat department and bakery/deli equipment.</w:t>
      </w:r>
      <w:r w:rsidR="004E0451" w:rsidRPr="00236AB9">
        <w:rPr>
          <w:rFonts w:ascii="Calibri" w:eastAsia="Times New Roman" w:hAnsi="Calibri" w:cs="Calibri"/>
          <w:color w:val="000000"/>
          <w:sz w:val="24"/>
          <w:szCs w:val="24"/>
        </w:rPr>
        <w:t xml:space="preserve"> Solutions</w:t>
      </w:r>
      <w:r w:rsidRPr="00236AB9">
        <w:rPr>
          <w:rFonts w:ascii="Calibri" w:eastAsia="Times New Roman" w:hAnsi="Calibri" w:cs="Calibri"/>
          <w:color w:val="000000"/>
          <w:sz w:val="24"/>
          <w:szCs w:val="24"/>
        </w:rPr>
        <w:t xml:space="preserve"> should leverage industry best practices, digital tools, automation, and data</w:t>
      </w:r>
      <w:r w:rsidRPr="00236AB9">
        <w:rPr>
          <w:rFonts w:ascii="Calibri" w:eastAsia="Times New Roman" w:hAnsi="Calibri" w:cs="Calibri"/>
          <w:color w:val="000000"/>
          <w:sz w:val="24"/>
          <w:szCs w:val="24"/>
        </w:rPr>
        <w:noBreakHyphen/>
        <w:t>driven methods to improve reliability, accountability, transparency, and overall service quality across the MHE lifecycle.</w:t>
      </w:r>
    </w:p>
    <w:p w14:paraId="70F86747" w14:textId="5B9C24A2"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Our objective is to establish a long</w:t>
      </w:r>
      <w:r w:rsidRPr="00236AB9">
        <w:rPr>
          <w:rFonts w:ascii="Calibri" w:eastAsia="Times New Roman" w:hAnsi="Calibri" w:cs="Calibri"/>
          <w:color w:val="000000"/>
          <w:sz w:val="24"/>
          <w:szCs w:val="24"/>
        </w:rPr>
        <w:noBreakHyphen/>
        <w:t xml:space="preserve">term partnership with a provider whose technology, service model, and commercial terms align with our commitment to enhance and improve the Patron experience.  The anticipated period of performance is April </w:t>
      </w:r>
      <w:r w:rsidR="00BF4341">
        <w:rPr>
          <w:rFonts w:ascii="Calibri" w:eastAsia="Times New Roman" w:hAnsi="Calibri" w:cs="Calibri"/>
          <w:color w:val="000000"/>
          <w:sz w:val="24"/>
          <w:szCs w:val="24"/>
        </w:rPr>
        <w:t>22</w:t>
      </w:r>
      <w:r w:rsidRPr="00236AB9">
        <w:rPr>
          <w:rFonts w:ascii="Calibri" w:eastAsia="Times New Roman" w:hAnsi="Calibri" w:cs="Calibri"/>
          <w:color w:val="000000"/>
          <w:sz w:val="24"/>
          <w:szCs w:val="24"/>
        </w:rPr>
        <w:t xml:space="preserve">, 2026, through </w:t>
      </w:r>
      <w:r w:rsidR="00AB0EC5">
        <w:rPr>
          <w:rFonts w:ascii="Calibri" w:eastAsia="Times New Roman" w:hAnsi="Calibri" w:cs="Calibri"/>
          <w:color w:val="000000"/>
          <w:sz w:val="24"/>
          <w:szCs w:val="24"/>
        </w:rPr>
        <w:t>April</w:t>
      </w:r>
      <w:r w:rsidRPr="00236AB9">
        <w:rPr>
          <w:rFonts w:ascii="Calibri" w:eastAsia="Times New Roman" w:hAnsi="Calibri" w:cs="Calibri"/>
          <w:color w:val="000000"/>
          <w:sz w:val="24"/>
          <w:szCs w:val="24"/>
        </w:rPr>
        <w:t xml:space="preserve"> </w:t>
      </w:r>
      <w:r w:rsidR="00BF4341">
        <w:rPr>
          <w:rFonts w:ascii="Calibri" w:eastAsia="Times New Roman" w:hAnsi="Calibri" w:cs="Calibri"/>
          <w:color w:val="000000"/>
          <w:sz w:val="24"/>
          <w:szCs w:val="24"/>
        </w:rPr>
        <w:t>21</w:t>
      </w:r>
      <w:r w:rsidRPr="00236AB9">
        <w:rPr>
          <w:rFonts w:ascii="Calibri" w:eastAsia="Times New Roman" w:hAnsi="Calibri" w:cs="Calibri"/>
          <w:color w:val="000000"/>
          <w:sz w:val="24"/>
          <w:szCs w:val="24"/>
        </w:rPr>
        <w:t>, 2027, with four one-year option periods, to extend performance through July 31, 2031. </w:t>
      </w:r>
    </w:p>
    <w:p w14:paraId="499339CB" w14:textId="3790D3C8" w:rsidR="0033264B" w:rsidRDefault="0033264B" w:rsidP="0033264B">
      <w:pPr>
        <w:rPr>
          <w:rFonts w:ascii="Calibri" w:eastAsia="Times New Roman" w:hAnsi="Calibri" w:cs="Calibri"/>
          <w:color w:val="000000"/>
          <w:sz w:val="24"/>
          <w:szCs w:val="24"/>
        </w:rPr>
      </w:pPr>
      <w:r w:rsidRPr="00B56097">
        <w:rPr>
          <w:rFonts w:ascii="Calibri" w:eastAsia="Times New Roman" w:hAnsi="Calibri" w:cs="Calibri"/>
          <w:color w:val="000000"/>
          <w:sz w:val="24"/>
          <w:szCs w:val="24"/>
        </w:rPr>
        <w:t xml:space="preserve">Interested vendors with proven expertise in </w:t>
      </w:r>
      <w:r w:rsidR="00A60DF8">
        <w:rPr>
          <w:rFonts w:ascii="Calibri" w:eastAsia="Times New Roman" w:hAnsi="Calibri" w:cs="Calibri"/>
          <w:color w:val="000000"/>
          <w:sz w:val="24"/>
          <w:szCs w:val="24"/>
        </w:rPr>
        <w:t>Miscellaneous Food Processing</w:t>
      </w:r>
      <w:r>
        <w:rPr>
          <w:rFonts w:ascii="Calibri" w:eastAsia="Times New Roman" w:hAnsi="Calibri" w:cs="Calibri"/>
          <w:color w:val="000000"/>
          <w:sz w:val="24"/>
          <w:szCs w:val="24"/>
        </w:rPr>
        <w:t xml:space="preserve"> Equipment maintenance and Support Services </w:t>
      </w:r>
      <w:r w:rsidRPr="00B56097">
        <w:rPr>
          <w:rFonts w:ascii="Calibri" w:eastAsia="Times New Roman" w:hAnsi="Calibri" w:cs="Calibri"/>
          <w:color w:val="000000"/>
          <w:sz w:val="24"/>
          <w:szCs w:val="24"/>
        </w:rPr>
        <w:t xml:space="preserve">should submit their </w:t>
      </w:r>
      <w:r>
        <w:rPr>
          <w:rFonts w:ascii="Calibri" w:eastAsia="Times New Roman" w:hAnsi="Calibri" w:cs="Calibri"/>
          <w:color w:val="000000"/>
          <w:sz w:val="24"/>
          <w:szCs w:val="24"/>
        </w:rPr>
        <w:t>Solutions Brief</w:t>
      </w:r>
      <w:r w:rsidRPr="00B56097">
        <w:rPr>
          <w:rFonts w:ascii="Calibri" w:eastAsia="Times New Roman" w:hAnsi="Calibri" w:cs="Calibri"/>
          <w:color w:val="000000"/>
          <w:sz w:val="24"/>
          <w:szCs w:val="24"/>
        </w:rPr>
        <w:t xml:space="preserve"> in accordance with section 3.</w:t>
      </w:r>
      <w:r>
        <w:rPr>
          <w:rFonts w:ascii="Calibri" w:eastAsia="Times New Roman" w:hAnsi="Calibri" w:cs="Calibri"/>
          <w:color w:val="000000"/>
          <w:sz w:val="24"/>
          <w:szCs w:val="24"/>
        </w:rPr>
        <w:t>2</w:t>
      </w:r>
      <w:r w:rsidRPr="00B56097">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Solutions Brief</w:t>
      </w:r>
      <w:r w:rsidRPr="00B56097">
        <w:rPr>
          <w:rFonts w:ascii="Calibri" w:eastAsia="Times New Roman" w:hAnsi="Calibri" w:cs="Calibri"/>
          <w:color w:val="000000"/>
          <w:sz w:val="24"/>
          <w:szCs w:val="24"/>
        </w:rPr>
        <w:t xml:space="preserve">.  </w:t>
      </w:r>
      <w:r>
        <w:rPr>
          <w:rFonts w:ascii="Calibri" w:eastAsia="Times New Roman" w:hAnsi="Calibri" w:cs="Calibri"/>
          <w:color w:val="000000"/>
          <w:sz w:val="24"/>
          <w:szCs w:val="24"/>
        </w:rPr>
        <w:t xml:space="preserve"> </w:t>
      </w:r>
    </w:p>
    <w:p w14:paraId="271D84BD" w14:textId="77777777"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Vendors are encouraged to propose technology</w:t>
      </w:r>
      <w:r w:rsidRPr="00236AB9">
        <w:rPr>
          <w:rFonts w:ascii="Calibri" w:eastAsia="Times New Roman" w:hAnsi="Calibri" w:cs="Calibri"/>
          <w:color w:val="000000"/>
          <w:sz w:val="24"/>
          <w:szCs w:val="24"/>
        </w:rPr>
        <w:noBreakHyphen/>
        <w:t>enabled approaches such as advanced tracking capabilities, digital maintenance tools, automated reporting, predictive analytics, or other commercially proven innovations that enhance efficiency, reduce risk, and modernize MHE support operations while meeting all applicable security and compliance requirements.</w:t>
      </w:r>
    </w:p>
    <w:p w14:paraId="5062D353" w14:textId="0DA3D88A" w:rsidR="00236AB9" w:rsidRP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 xml:space="preserve">The closing date for this opportunity is Monday </w:t>
      </w:r>
      <w:r w:rsidR="00BF4341">
        <w:rPr>
          <w:rFonts w:ascii="Calibri" w:eastAsia="Times New Roman" w:hAnsi="Calibri" w:cs="Calibri"/>
          <w:color w:val="000000"/>
          <w:sz w:val="24"/>
          <w:szCs w:val="24"/>
        </w:rPr>
        <w:t>8</w:t>
      </w:r>
      <w:r w:rsidRPr="00236AB9">
        <w:rPr>
          <w:rFonts w:ascii="Calibri" w:eastAsia="Times New Roman" w:hAnsi="Calibri" w:cs="Calibri"/>
          <w:color w:val="000000"/>
          <w:sz w:val="24"/>
          <w:szCs w:val="24"/>
        </w:rPr>
        <w:t xml:space="preserve"> </w:t>
      </w:r>
      <w:r w:rsidR="00AB0EC5">
        <w:rPr>
          <w:rFonts w:ascii="Calibri" w:eastAsia="Times New Roman" w:hAnsi="Calibri" w:cs="Calibri"/>
          <w:color w:val="000000"/>
          <w:sz w:val="24"/>
          <w:szCs w:val="24"/>
        </w:rPr>
        <w:t>April</w:t>
      </w:r>
      <w:r w:rsidRPr="00236AB9">
        <w:rPr>
          <w:rFonts w:ascii="Calibri" w:eastAsia="Times New Roman" w:hAnsi="Calibri" w:cs="Calibri"/>
          <w:color w:val="000000"/>
          <w:sz w:val="24"/>
          <w:szCs w:val="24"/>
        </w:rPr>
        <w:t xml:space="preserve"> 2026 at 4:00 PM Eastern Standard Time (EST).</w:t>
      </w:r>
    </w:p>
    <w:p w14:paraId="7A51F3E9" w14:textId="1048D265" w:rsidR="00236AB9" w:rsidRDefault="00236AB9" w:rsidP="00236AB9">
      <w:pPr>
        <w:pStyle w:val="CommentText"/>
        <w:rPr>
          <w:rFonts w:ascii="Calibri" w:eastAsia="Times New Roman" w:hAnsi="Calibri" w:cs="Calibri"/>
          <w:color w:val="000000"/>
          <w:sz w:val="24"/>
          <w:szCs w:val="24"/>
        </w:rPr>
      </w:pPr>
      <w:r w:rsidRPr="00236AB9">
        <w:rPr>
          <w:rFonts w:ascii="Calibri" w:eastAsia="Times New Roman" w:hAnsi="Calibri" w:cs="Calibri"/>
          <w:color w:val="000000"/>
          <w:sz w:val="24"/>
          <w:szCs w:val="24"/>
        </w:rPr>
        <w:t>All communications to include questions pertaining to this opportunity shall be sent via email to the following Points of Contact: </w:t>
      </w:r>
    </w:p>
    <w:p w14:paraId="54BC227D" w14:textId="2054067F" w:rsidR="00AB0EC5" w:rsidRPr="00236AB9" w:rsidRDefault="00AB0EC5"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Tammy (TJ) Mahone, Tammy.Mahone@deca.mil</w:t>
      </w:r>
    </w:p>
    <w:p w14:paraId="35072CE7" w14:textId="747E3C2A" w:rsidR="00236AB9" w:rsidRPr="00B56097" w:rsidRDefault="00236AB9" w:rsidP="00236AB9">
      <w:pPr>
        <w:pStyle w:val="CommentText"/>
        <w:rPr>
          <w:rFonts w:ascii="Calibri" w:eastAsia="Times New Roman" w:hAnsi="Calibri" w:cs="Calibri"/>
          <w:color w:val="000000"/>
          <w:sz w:val="24"/>
          <w:szCs w:val="24"/>
        </w:rPr>
      </w:pPr>
      <w:r>
        <w:rPr>
          <w:rFonts w:ascii="Calibri" w:eastAsia="Times New Roman" w:hAnsi="Calibri" w:cs="Calibri"/>
          <w:color w:val="000000"/>
          <w:sz w:val="24"/>
          <w:szCs w:val="24"/>
        </w:rPr>
        <w:t>Langston Hines, Langston.hines@deca.mil</w:t>
      </w:r>
      <w:r w:rsidRPr="00B56097">
        <w:rPr>
          <w:rFonts w:ascii="Calibri" w:eastAsia="Times New Roman" w:hAnsi="Calibri" w:cs="Calibri"/>
          <w:color w:val="000000"/>
          <w:sz w:val="24"/>
          <w:szCs w:val="24"/>
        </w:rPr>
        <w:t> </w:t>
      </w:r>
      <w:r>
        <w:rPr>
          <w:rFonts w:ascii="Calibri" w:eastAsia="Times New Roman" w:hAnsi="Calibri" w:cs="Calibri"/>
          <w:color w:val="000000"/>
          <w:sz w:val="24"/>
          <w:szCs w:val="24"/>
        </w:rPr>
        <w:t xml:space="preserve"> </w:t>
      </w:r>
    </w:p>
    <w:p w14:paraId="36F1047A" w14:textId="77777777" w:rsidR="008A4964" w:rsidRDefault="008A4964"/>
    <w:sectPr w:rsidR="008A496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AAF8D" w14:textId="77777777" w:rsidR="00125D6E" w:rsidRDefault="00125D6E" w:rsidP="00236AB9">
      <w:pPr>
        <w:spacing w:after="0" w:line="240" w:lineRule="auto"/>
      </w:pPr>
      <w:r>
        <w:separator/>
      </w:r>
    </w:p>
  </w:endnote>
  <w:endnote w:type="continuationSeparator" w:id="0">
    <w:p w14:paraId="70AC66D4" w14:textId="77777777" w:rsidR="00125D6E" w:rsidRDefault="00125D6E" w:rsidP="00236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56FD3" w14:textId="77777777" w:rsidR="00125D6E" w:rsidRDefault="00125D6E" w:rsidP="00236AB9">
      <w:pPr>
        <w:spacing w:after="0" w:line="240" w:lineRule="auto"/>
      </w:pPr>
      <w:r>
        <w:separator/>
      </w:r>
    </w:p>
  </w:footnote>
  <w:footnote w:type="continuationSeparator" w:id="0">
    <w:p w14:paraId="4E6AAA5F" w14:textId="77777777" w:rsidR="00125D6E" w:rsidRDefault="00125D6E" w:rsidP="00236A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E818" w14:textId="0AB8AA0B" w:rsidR="00236AB9" w:rsidRPr="00B56097" w:rsidRDefault="00A60DF8" w:rsidP="00236AB9">
    <w:pPr>
      <w:pStyle w:val="Header"/>
      <w:tabs>
        <w:tab w:val="clear" w:pos="4680"/>
        <w:tab w:val="clear" w:pos="9360"/>
        <w:tab w:val="left" w:pos="4200"/>
      </w:tabs>
      <w:jc w:val="center"/>
      <w:rPr>
        <w:sz w:val="24"/>
        <w:szCs w:val="24"/>
      </w:rPr>
    </w:pPr>
    <w:r>
      <w:rPr>
        <w:sz w:val="24"/>
        <w:szCs w:val="24"/>
      </w:rPr>
      <w:t>Miscellaneous Food Processing</w:t>
    </w:r>
    <w:r w:rsidR="00236AB9">
      <w:rPr>
        <w:sz w:val="24"/>
        <w:szCs w:val="24"/>
      </w:rPr>
      <w:t xml:space="preserve"> </w:t>
    </w:r>
    <w:r w:rsidR="00C231E2">
      <w:rPr>
        <w:sz w:val="24"/>
        <w:szCs w:val="24"/>
      </w:rPr>
      <w:t>Equipment Service Support</w:t>
    </w:r>
  </w:p>
  <w:p w14:paraId="5AA38B1A" w14:textId="0F73889F" w:rsidR="00236AB9" w:rsidRDefault="00236AB9">
    <w:pPr>
      <w:pStyle w:val="Header"/>
    </w:pPr>
  </w:p>
  <w:p w14:paraId="5C4CD6A1" w14:textId="77777777" w:rsidR="00236AB9" w:rsidRDefault="00236A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B9"/>
    <w:rsid w:val="00053BAE"/>
    <w:rsid w:val="00125D6E"/>
    <w:rsid w:val="001A6DA4"/>
    <w:rsid w:val="001D0626"/>
    <w:rsid w:val="00236AB9"/>
    <w:rsid w:val="00253242"/>
    <w:rsid w:val="0033264B"/>
    <w:rsid w:val="00360EA7"/>
    <w:rsid w:val="00394D53"/>
    <w:rsid w:val="003A7B55"/>
    <w:rsid w:val="003B583C"/>
    <w:rsid w:val="00416E17"/>
    <w:rsid w:val="004363E3"/>
    <w:rsid w:val="004E0451"/>
    <w:rsid w:val="00531F1C"/>
    <w:rsid w:val="007219E6"/>
    <w:rsid w:val="0078326E"/>
    <w:rsid w:val="00856003"/>
    <w:rsid w:val="008A4964"/>
    <w:rsid w:val="0091028B"/>
    <w:rsid w:val="009F3ADC"/>
    <w:rsid w:val="00A60DF8"/>
    <w:rsid w:val="00AB0EC5"/>
    <w:rsid w:val="00AD5DBA"/>
    <w:rsid w:val="00B07685"/>
    <w:rsid w:val="00BF4341"/>
    <w:rsid w:val="00C231E2"/>
    <w:rsid w:val="00C32B18"/>
    <w:rsid w:val="00ED0D4F"/>
    <w:rsid w:val="00F3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97BF"/>
  <w15:chartTrackingRefBased/>
  <w15:docId w15:val="{938A6274-343D-43D8-AAA6-1C42980F5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AB9"/>
  </w:style>
  <w:style w:type="paragraph" w:styleId="Footer">
    <w:name w:val="footer"/>
    <w:basedOn w:val="Normal"/>
    <w:link w:val="FooterChar"/>
    <w:uiPriority w:val="99"/>
    <w:unhideWhenUsed/>
    <w:rsid w:val="00236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AB9"/>
  </w:style>
  <w:style w:type="paragraph" w:styleId="CommentText">
    <w:name w:val="annotation text"/>
    <w:basedOn w:val="Normal"/>
    <w:link w:val="CommentTextChar"/>
    <w:uiPriority w:val="99"/>
    <w:semiHidden/>
    <w:unhideWhenUsed/>
    <w:rsid w:val="00236AB9"/>
    <w:pPr>
      <w:spacing w:line="240" w:lineRule="auto"/>
    </w:pPr>
    <w:rPr>
      <w:sz w:val="20"/>
      <w:szCs w:val="20"/>
    </w:rPr>
  </w:style>
  <w:style w:type="character" w:customStyle="1" w:styleId="CommentTextChar">
    <w:name w:val="Comment Text Char"/>
    <w:basedOn w:val="DefaultParagraphFont"/>
    <w:link w:val="CommentText"/>
    <w:uiPriority w:val="99"/>
    <w:semiHidden/>
    <w:rsid w:val="00236AB9"/>
    <w:rPr>
      <w:sz w:val="20"/>
      <w:szCs w:val="20"/>
    </w:rPr>
  </w:style>
  <w:style w:type="character" w:styleId="Strong">
    <w:name w:val="Strong"/>
    <w:basedOn w:val="DefaultParagraphFont"/>
    <w:uiPriority w:val="22"/>
    <w:qFormat/>
    <w:rsid w:val="00236AB9"/>
    <w:rPr>
      <w:b/>
      <w:bCs/>
    </w:rPr>
  </w:style>
  <w:style w:type="character" w:styleId="Hyperlink">
    <w:name w:val="Hyperlink"/>
    <w:basedOn w:val="DefaultParagraphFont"/>
    <w:uiPriority w:val="99"/>
    <w:unhideWhenUsed/>
    <w:rsid w:val="00236AB9"/>
    <w:rPr>
      <w:color w:val="1F86FF"/>
      <w:u w:val="single"/>
    </w:rPr>
  </w:style>
  <w:style w:type="character" w:styleId="CommentReference">
    <w:name w:val="annotation reference"/>
    <w:basedOn w:val="DefaultParagraphFont"/>
    <w:uiPriority w:val="99"/>
    <w:semiHidden/>
    <w:unhideWhenUsed/>
    <w:rsid w:val="00236AB9"/>
    <w:rPr>
      <w:sz w:val="16"/>
      <w:szCs w:val="16"/>
    </w:rPr>
  </w:style>
  <w:style w:type="paragraph" w:styleId="CommentSubject">
    <w:name w:val="annotation subject"/>
    <w:basedOn w:val="CommentText"/>
    <w:next w:val="CommentText"/>
    <w:link w:val="CommentSubjectChar"/>
    <w:uiPriority w:val="99"/>
    <w:semiHidden/>
    <w:unhideWhenUsed/>
    <w:rsid w:val="0033264B"/>
    <w:rPr>
      <w:b/>
      <w:bCs/>
    </w:rPr>
  </w:style>
  <w:style w:type="character" w:customStyle="1" w:styleId="CommentSubjectChar">
    <w:name w:val="Comment Subject Char"/>
    <w:basedOn w:val="CommentTextChar"/>
    <w:link w:val="CommentSubject"/>
    <w:uiPriority w:val="99"/>
    <w:semiHidden/>
    <w:rsid w:val="003326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DeCA</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Ellison, Russell F CIV DECA HQ (USA)</dc:creator>
  <cp:keywords/>
  <dc:description/>
  <cp:lastModifiedBy>Hines, Langston P CIV DECA HQ (USA)</cp:lastModifiedBy>
  <cp:revision>2</cp:revision>
  <dcterms:created xsi:type="dcterms:W3CDTF">2026-03-31T15:18:00Z</dcterms:created>
  <dcterms:modified xsi:type="dcterms:W3CDTF">2026-03-31T15:18:00Z</dcterms:modified>
</cp:coreProperties>
</file>