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52059" w14:textId="5C443C25" w:rsidR="00590797" w:rsidRDefault="002B018C">
      <w:pPr>
        <w:pStyle w:val="BodyText"/>
        <w:spacing w:before="78"/>
        <w:ind w:left="360" w:right="140"/>
        <w:jc w:val="both"/>
      </w:pPr>
      <w:r>
        <w:t>This</w:t>
      </w:r>
      <w:r>
        <w:rPr>
          <w:spacing w:val="-2"/>
        </w:rPr>
        <w:t xml:space="preserve"> </w:t>
      </w:r>
      <w:r>
        <w:t>is</w:t>
      </w:r>
      <w:r>
        <w:rPr>
          <w:spacing w:val="-2"/>
        </w:rPr>
        <w:t xml:space="preserve"> </w:t>
      </w:r>
      <w:r>
        <w:t>a</w:t>
      </w:r>
      <w:r>
        <w:rPr>
          <w:spacing w:val="-3"/>
        </w:rPr>
        <w:t xml:space="preserve"> </w:t>
      </w:r>
      <w:r>
        <w:t>notification</w:t>
      </w:r>
      <w:r>
        <w:rPr>
          <w:spacing w:val="-2"/>
        </w:rPr>
        <w:t xml:space="preserve"> </w:t>
      </w:r>
      <w:r>
        <w:t>of an</w:t>
      </w:r>
      <w:r>
        <w:rPr>
          <w:spacing w:val="-4"/>
        </w:rPr>
        <w:t xml:space="preserve"> </w:t>
      </w:r>
      <w:r>
        <w:t>intent to</w:t>
      </w:r>
      <w:r>
        <w:rPr>
          <w:spacing w:val="-4"/>
        </w:rPr>
        <w:t xml:space="preserve"> </w:t>
      </w:r>
      <w:r>
        <w:t>award</w:t>
      </w:r>
      <w:r>
        <w:rPr>
          <w:spacing w:val="-2"/>
        </w:rPr>
        <w:t xml:space="preserve"> </w:t>
      </w:r>
      <w:r>
        <w:t>a contract to</w:t>
      </w:r>
      <w:r>
        <w:rPr>
          <w:spacing w:val="-4"/>
        </w:rPr>
        <w:t xml:space="preserve"> </w:t>
      </w:r>
      <w:r w:rsidR="008C0B41">
        <w:rPr>
          <w:spacing w:val="-4"/>
        </w:rPr>
        <w:t>Native Networks, Inc., under NAICS Code: 51711 Wired Telecommunication Carriers</w:t>
      </w:r>
      <w:r>
        <w:t xml:space="preserve"> by</w:t>
      </w:r>
      <w:r>
        <w:rPr>
          <w:spacing w:val="-5"/>
        </w:rPr>
        <w:t xml:space="preserve"> </w:t>
      </w:r>
      <w:r>
        <w:t>Indian</w:t>
      </w:r>
      <w:r>
        <w:rPr>
          <w:spacing w:val="-2"/>
        </w:rPr>
        <w:t xml:space="preserve"> </w:t>
      </w:r>
      <w:r>
        <w:t>Health</w:t>
      </w:r>
      <w:r>
        <w:rPr>
          <w:spacing w:val="-2"/>
        </w:rPr>
        <w:t xml:space="preserve"> </w:t>
      </w:r>
      <w:r>
        <w:t>Services</w:t>
      </w:r>
      <w:r>
        <w:rPr>
          <w:spacing w:val="-2"/>
        </w:rPr>
        <w:t xml:space="preserve"> </w:t>
      </w:r>
      <w:r>
        <w:t>under</w:t>
      </w:r>
      <w:r>
        <w:rPr>
          <w:spacing w:val="-2"/>
        </w:rPr>
        <w:t xml:space="preserve"> </w:t>
      </w:r>
      <w:r>
        <w:t>the authority</w:t>
      </w:r>
      <w:r>
        <w:rPr>
          <w:spacing w:val="-2"/>
        </w:rPr>
        <w:t xml:space="preserve"> </w:t>
      </w:r>
      <w:r>
        <w:t>of FAR 6.302-1, Only One Responsible Source.</w:t>
      </w:r>
    </w:p>
    <w:p w14:paraId="42A6DBA3" w14:textId="77777777" w:rsidR="00590797" w:rsidRDefault="00590797">
      <w:pPr>
        <w:pStyle w:val="BodyText"/>
        <w:spacing w:before="1"/>
        <w:ind w:left="0"/>
      </w:pPr>
    </w:p>
    <w:p w14:paraId="1644C5DF" w14:textId="1DC2DC5C" w:rsidR="00590797" w:rsidRDefault="008C0B41">
      <w:pPr>
        <w:pStyle w:val="BodyText"/>
        <w:ind w:left="360" w:right="226"/>
        <w:jc w:val="both"/>
      </w:pPr>
      <w:r>
        <w:t>NATIVE NETWORK, INC</w:t>
      </w:r>
      <w:r w:rsidR="002B018C">
        <w:t xml:space="preserve"> is</w:t>
      </w:r>
      <w:r>
        <w:t xml:space="preserve"> a Tribally owned firm and</w:t>
      </w:r>
      <w:r w:rsidR="002B018C">
        <w:rPr>
          <w:spacing w:val="-2"/>
        </w:rPr>
        <w:t xml:space="preserve"> </w:t>
      </w:r>
      <w:r w:rsidR="002B018C">
        <w:t>the only</w:t>
      </w:r>
      <w:r w:rsidR="002B018C">
        <w:rPr>
          <w:spacing w:val="-4"/>
        </w:rPr>
        <w:t xml:space="preserve"> </w:t>
      </w:r>
      <w:r w:rsidR="002B018C">
        <w:t>firm</w:t>
      </w:r>
      <w:r w:rsidR="002B018C">
        <w:rPr>
          <w:spacing w:val="-2"/>
        </w:rPr>
        <w:t xml:space="preserve"> </w:t>
      </w:r>
      <w:r w:rsidR="002B018C">
        <w:t>capable</w:t>
      </w:r>
      <w:r w:rsidR="002B018C">
        <w:rPr>
          <w:spacing w:val="-2"/>
        </w:rPr>
        <w:t xml:space="preserve"> </w:t>
      </w:r>
      <w:r w:rsidR="002B018C">
        <w:t>of</w:t>
      </w:r>
      <w:r w:rsidR="002B018C">
        <w:rPr>
          <w:spacing w:val="-2"/>
        </w:rPr>
        <w:t xml:space="preserve"> </w:t>
      </w:r>
      <w:r w:rsidR="002B018C">
        <w:t>providing</w:t>
      </w:r>
      <w:r w:rsidR="002B018C">
        <w:rPr>
          <w:spacing w:val="-2"/>
        </w:rPr>
        <w:t xml:space="preserve"> </w:t>
      </w:r>
      <w:r w:rsidR="002B018C">
        <w:t>the</w:t>
      </w:r>
      <w:r>
        <w:t xml:space="preserve"> continuation and transition of existing telecommunications services to support ongoing healthcare operations.  Due to ongoing tribal land access restrictions and infrastructure limitations, Native Network, Inc. is considered the only one responsible source reasonably available to meet the Government’s requirement.</w:t>
      </w:r>
    </w:p>
    <w:p w14:paraId="6767C4B1" w14:textId="77777777" w:rsidR="00590797" w:rsidRDefault="00590797">
      <w:pPr>
        <w:pStyle w:val="BodyText"/>
        <w:spacing w:before="2"/>
        <w:ind w:left="0"/>
      </w:pPr>
    </w:p>
    <w:p w14:paraId="12F19B7C" w14:textId="7A02A846" w:rsidR="00590797" w:rsidRDefault="002B018C">
      <w:pPr>
        <w:pStyle w:val="BodyText"/>
        <w:spacing w:line="259" w:lineRule="auto"/>
        <w:ind w:right="57"/>
      </w:pPr>
      <w:r>
        <w:t>If you can provide the services requested, all responsible sources may submit a capability statement, which shall be considered by the Agency and may be e-mailed</w:t>
      </w:r>
      <w:r w:rsidR="008C0B41">
        <w:t xml:space="preserve"> to </w:t>
      </w:r>
      <w:hyperlink r:id="rId4" w:history="1">
        <w:r w:rsidR="008C0B41" w:rsidRPr="005D2DEA">
          <w:rPr>
            <w:rStyle w:val="Hyperlink"/>
          </w:rPr>
          <w:t>Marilyn.Duran@ihs.gov</w:t>
        </w:r>
      </w:hyperlink>
      <w:r>
        <w:rPr>
          <w:color w:val="3366CC"/>
        </w:rPr>
        <w:t xml:space="preserve"> </w:t>
      </w:r>
      <w:r>
        <w:t xml:space="preserve">referencing notice number </w:t>
      </w:r>
      <w:r w:rsidRPr="002B018C">
        <w:t>IHS15</w:t>
      </w:r>
      <w:r w:rsidR="008C0B41">
        <w:t>24754</w:t>
      </w:r>
      <w:r w:rsidRPr="002B018C">
        <w:t xml:space="preserve"> </w:t>
      </w:r>
      <w:r>
        <w:t xml:space="preserve"> by </w:t>
      </w:r>
      <w:r w:rsidR="008C0B41">
        <w:t>3</w:t>
      </w:r>
      <w:r>
        <w:t xml:space="preserve"> pm </w:t>
      </w:r>
      <w:r w:rsidR="008C0B41">
        <w:t>EST</w:t>
      </w:r>
      <w:r>
        <w:t xml:space="preserve">, </w:t>
      </w:r>
      <w:r w:rsidR="00511389">
        <w:t>15</w:t>
      </w:r>
      <w:r>
        <w:t xml:space="preserve"> </w:t>
      </w:r>
      <w:r w:rsidR="00511389">
        <w:t>APR</w:t>
      </w:r>
      <w:r>
        <w:t xml:space="preserve"> 2</w:t>
      </w:r>
      <w:r w:rsidR="00511389">
        <w:t xml:space="preserve">6 </w:t>
      </w:r>
      <w:r>
        <w:t>. A determination by the Government not to compete this proposed contract acquisition based upon responses to the notice is solely within the discretion</w:t>
      </w:r>
      <w:r>
        <w:rPr>
          <w:spacing w:val="-1"/>
        </w:rPr>
        <w:t xml:space="preserve"> </w:t>
      </w:r>
      <w:r>
        <w:t>of</w:t>
      </w:r>
      <w:r>
        <w:rPr>
          <w:spacing w:val="-2"/>
        </w:rPr>
        <w:t xml:space="preserve"> </w:t>
      </w:r>
      <w:r>
        <w:t>the Government. Information received will normally</w:t>
      </w:r>
      <w:r>
        <w:rPr>
          <w:spacing w:val="-1"/>
        </w:rPr>
        <w:t xml:space="preserve"> </w:t>
      </w:r>
      <w:r>
        <w:t>be considered solely for the purpose of determining whether to conduct a competitive procurement. This notice does not obligate the</w:t>
      </w:r>
      <w:r>
        <w:rPr>
          <w:spacing w:val="40"/>
        </w:rPr>
        <w:t xml:space="preserve"> </w:t>
      </w:r>
      <w:r>
        <w:t>Government to award a</w:t>
      </w:r>
      <w:r>
        <w:rPr>
          <w:spacing w:val="-1"/>
        </w:rPr>
        <w:t xml:space="preserve"> </w:t>
      </w:r>
      <w:r>
        <w:t>contract or otherwise pay</w:t>
      </w:r>
      <w:r>
        <w:rPr>
          <w:spacing w:val="-1"/>
        </w:rPr>
        <w:t xml:space="preserve"> </w:t>
      </w:r>
      <w:r>
        <w:t>for information provided in response. The</w:t>
      </w:r>
      <w:r>
        <w:rPr>
          <w:spacing w:val="-2"/>
        </w:rPr>
        <w:t xml:space="preserve"> </w:t>
      </w:r>
      <w:r>
        <w:t>Government reserves the right to use information provided by respondents for any purpose</w:t>
      </w:r>
      <w:r>
        <w:rPr>
          <w:spacing w:val="80"/>
        </w:rPr>
        <w:t xml:space="preserve"> </w:t>
      </w:r>
      <w:r>
        <w:t>deemed necessary and</w:t>
      </w:r>
      <w:r>
        <w:rPr>
          <w:spacing w:val="40"/>
        </w:rPr>
        <w:t xml:space="preserve"> </w:t>
      </w:r>
      <w:r>
        <w:t>legally appropriate. Any organization responding to</w:t>
      </w:r>
      <w:r>
        <w:rPr>
          <w:spacing w:val="80"/>
        </w:rPr>
        <w:t xml:space="preserve"> </w:t>
      </w:r>
      <w:r>
        <w:t>this notice should ensure that its response is</w:t>
      </w:r>
      <w:r>
        <w:rPr>
          <w:spacing w:val="40"/>
        </w:rPr>
        <w:t xml:space="preserve"> </w:t>
      </w:r>
      <w:r>
        <w:t>complete</w:t>
      </w:r>
      <w:r>
        <w:rPr>
          <w:spacing w:val="33"/>
        </w:rPr>
        <w:t xml:space="preserve"> </w:t>
      </w:r>
      <w:r>
        <w:t>and sufficiently</w:t>
      </w:r>
      <w:r>
        <w:rPr>
          <w:spacing w:val="80"/>
          <w:w w:val="150"/>
        </w:rPr>
        <w:t xml:space="preserve"> </w:t>
      </w:r>
      <w:r>
        <w:t>detailed.</w:t>
      </w:r>
      <w:r>
        <w:rPr>
          <w:spacing w:val="30"/>
        </w:rPr>
        <w:t xml:space="preserve"> </w:t>
      </w:r>
      <w:r>
        <w:t>Information</w:t>
      </w:r>
      <w:r>
        <w:rPr>
          <w:spacing w:val="30"/>
        </w:rPr>
        <w:t xml:space="preserve"> </w:t>
      </w:r>
      <w:r>
        <w:t>provided will be used to assess</w:t>
      </w:r>
      <w:r>
        <w:rPr>
          <w:spacing w:val="29"/>
        </w:rPr>
        <w:t xml:space="preserve"> </w:t>
      </w:r>
      <w:r>
        <w:t>tradeoffs</w:t>
      </w:r>
      <w:r>
        <w:rPr>
          <w:spacing w:val="29"/>
        </w:rPr>
        <w:t xml:space="preserve"> </w:t>
      </w:r>
      <w:r>
        <w:t>and alternatives available for the potential requirement and may lead to the</w:t>
      </w:r>
      <w:r>
        <w:rPr>
          <w:spacing w:val="80"/>
        </w:rPr>
        <w:t xml:space="preserve"> </w:t>
      </w:r>
      <w:r>
        <w:t>development of a solicitation.</w:t>
      </w:r>
      <w:r>
        <w:rPr>
          <w:spacing w:val="40"/>
        </w:rPr>
        <w:t xml:space="preserve"> </w:t>
      </w:r>
      <w:r>
        <w:t>Respondents are advised that the Government</w:t>
      </w:r>
      <w:r>
        <w:rPr>
          <w:spacing w:val="80"/>
        </w:rPr>
        <w:t xml:space="preserve"> </w:t>
      </w:r>
      <w:r>
        <w:t>is under no obligation to acknowledge receipt of the</w:t>
      </w:r>
      <w:r>
        <w:rPr>
          <w:spacing w:val="40"/>
        </w:rPr>
        <w:t xml:space="preserve"> </w:t>
      </w:r>
      <w:r>
        <w:t>information</w:t>
      </w:r>
      <w:r>
        <w:rPr>
          <w:spacing w:val="28"/>
        </w:rPr>
        <w:t xml:space="preserve"> </w:t>
      </w:r>
      <w:r>
        <w:t>received</w:t>
      </w:r>
      <w:r>
        <w:rPr>
          <w:spacing w:val="31"/>
        </w:rPr>
        <w:t xml:space="preserve"> </w:t>
      </w:r>
      <w:r>
        <w:t>or</w:t>
      </w:r>
      <w:r>
        <w:rPr>
          <w:spacing w:val="80"/>
          <w:w w:val="150"/>
        </w:rPr>
        <w:t xml:space="preserve"> </w:t>
      </w:r>
      <w:r>
        <w:t>provide</w:t>
      </w:r>
      <w:r>
        <w:rPr>
          <w:spacing w:val="28"/>
        </w:rPr>
        <w:t xml:space="preserve"> </w:t>
      </w:r>
      <w:r>
        <w:t>feedback</w:t>
      </w:r>
      <w:r>
        <w:rPr>
          <w:spacing w:val="31"/>
        </w:rPr>
        <w:t xml:space="preserve"> </w:t>
      </w:r>
      <w:r>
        <w:t>to respondents</w:t>
      </w:r>
      <w:r>
        <w:rPr>
          <w:spacing w:val="31"/>
        </w:rPr>
        <w:t xml:space="preserve"> </w:t>
      </w:r>
      <w:r>
        <w:t>with</w:t>
      </w:r>
      <w:r>
        <w:rPr>
          <w:spacing w:val="27"/>
        </w:rPr>
        <w:t xml:space="preserve"> </w:t>
      </w:r>
      <w:r>
        <w:t>respect</w:t>
      </w:r>
      <w:r>
        <w:rPr>
          <w:spacing w:val="33"/>
        </w:rPr>
        <w:t xml:space="preserve"> </w:t>
      </w:r>
      <w:r>
        <w:t>to</w:t>
      </w:r>
      <w:r>
        <w:rPr>
          <w:spacing w:val="28"/>
        </w:rPr>
        <w:t xml:space="preserve"> </w:t>
      </w:r>
      <w:r>
        <w:t>any</w:t>
      </w:r>
      <w:r>
        <w:rPr>
          <w:spacing w:val="27"/>
        </w:rPr>
        <w:t xml:space="preserve"> </w:t>
      </w:r>
      <w:r>
        <w:t>information submitted.</w:t>
      </w:r>
    </w:p>
    <w:p w14:paraId="59E6AE13" w14:textId="77777777" w:rsidR="00590797" w:rsidRDefault="002B018C">
      <w:pPr>
        <w:pStyle w:val="BodyText"/>
        <w:spacing w:before="156"/>
        <w:jc w:val="both"/>
      </w:pPr>
      <w:r>
        <w:rPr>
          <w:w w:val="105"/>
        </w:rPr>
        <w:t>This</w:t>
      </w:r>
      <w:r>
        <w:rPr>
          <w:spacing w:val="-9"/>
          <w:w w:val="105"/>
        </w:rPr>
        <w:t xml:space="preserve"> </w:t>
      </w:r>
      <w:r>
        <w:rPr>
          <w:w w:val="105"/>
        </w:rPr>
        <w:t>is</w:t>
      </w:r>
      <w:r>
        <w:rPr>
          <w:spacing w:val="-7"/>
          <w:w w:val="105"/>
        </w:rPr>
        <w:t xml:space="preserve"> </w:t>
      </w:r>
      <w:r>
        <w:rPr>
          <w:b/>
          <w:w w:val="105"/>
          <w:u w:val="single"/>
        </w:rPr>
        <w:t>NOT</w:t>
      </w:r>
      <w:r>
        <w:rPr>
          <w:b/>
          <w:spacing w:val="-9"/>
          <w:w w:val="105"/>
        </w:rPr>
        <w:t xml:space="preserve"> </w:t>
      </w:r>
      <w:r>
        <w:rPr>
          <w:w w:val="105"/>
        </w:rPr>
        <w:t>a</w:t>
      </w:r>
      <w:r>
        <w:rPr>
          <w:spacing w:val="-10"/>
          <w:w w:val="105"/>
        </w:rPr>
        <w:t xml:space="preserve"> </w:t>
      </w:r>
      <w:r>
        <w:rPr>
          <w:w w:val="105"/>
        </w:rPr>
        <w:t>request</w:t>
      </w:r>
      <w:r>
        <w:rPr>
          <w:spacing w:val="-10"/>
          <w:w w:val="105"/>
        </w:rPr>
        <w:t xml:space="preserve"> </w:t>
      </w:r>
      <w:r>
        <w:rPr>
          <w:w w:val="105"/>
        </w:rPr>
        <w:t>for</w:t>
      </w:r>
      <w:r>
        <w:rPr>
          <w:spacing w:val="-9"/>
          <w:w w:val="105"/>
        </w:rPr>
        <w:t xml:space="preserve"> </w:t>
      </w:r>
      <w:r>
        <w:rPr>
          <w:spacing w:val="-2"/>
          <w:w w:val="105"/>
        </w:rPr>
        <w:t>proposals.</w:t>
      </w:r>
    </w:p>
    <w:p w14:paraId="01B0FA6E" w14:textId="77777777" w:rsidR="00590797" w:rsidRDefault="002B018C">
      <w:pPr>
        <w:pStyle w:val="BodyText"/>
        <w:spacing w:before="182" w:line="259" w:lineRule="auto"/>
      </w:pPr>
      <w:r>
        <w:rPr>
          <w:w w:val="105"/>
        </w:rPr>
        <w:t>Any</w:t>
      </w:r>
      <w:r>
        <w:rPr>
          <w:spacing w:val="-15"/>
          <w:w w:val="105"/>
        </w:rPr>
        <w:t xml:space="preserve"> </w:t>
      </w:r>
      <w:r>
        <w:rPr>
          <w:w w:val="105"/>
        </w:rPr>
        <w:t>solicitation</w:t>
      </w:r>
      <w:r>
        <w:rPr>
          <w:spacing w:val="-14"/>
          <w:w w:val="105"/>
        </w:rPr>
        <w:t xml:space="preserve"> </w:t>
      </w:r>
      <w:r>
        <w:rPr>
          <w:w w:val="105"/>
        </w:rPr>
        <w:t>resulting</w:t>
      </w:r>
      <w:r>
        <w:rPr>
          <w:spacing w:val="-14"/>
          <w:w w:val="105"/>
        </w:rPr>
        <w:t xml:space="preserve"> </w:t>
      </w:r>
      <w:r>
        <w:rPr>
          <w:w w:val="105"/>
        </w:rPr>
        <w:t>from</w:t>
      </w:r>
      <w:r>
        <w:rPr>
          <w:spacing w:val="-10"/>
          <w:w w:val="105"/>
        </w:rPr>
        <w:t xml:space="preserve"> </w:t>
      </w:r>
      <w:r>
        <w:rPr>
          <w:w w:val="105"/>
        </w:rPr>
        <w:t>the</w:t>
      </w:r>
      <w:r>
        <w:rPr>
          <w:spacing w:val="-15"/>
          <w:w w:val="105"/>
        </w:rPr>
        <w:t xml:space="preserve"> </w:t>
      </w:r>
      <w:r>
        <w:rPr>
          <w:w w:val="105"/>
        </w:rPr>
        <w:t>analysis</w:t>
      </w:r>
      <w:r>
        <w:rPr>
          <w:spacing w:val="-12"/>
          <w:w w:val="105"/>
        </w:rPr>
        <w:t xml:space="preserve"> </w:t>
      </w:r>
      <w:r>
        <w:rPr>
          <w:w w:val="105"/>
        </w:rPr>
        <w:t>of</w:t>
      </w:r>
      <w:r>
        <w:rPr>
          <w:spacing w:val="-12"/>
          <w:w w:val="105"/>
        </w:rPr>
        <w:t xml:space="preserve"> </w:t>
      </w:r>
      <w:r>
        <w:rPr>
          <w:w w:val="105"/>
        </w:rPr>
        <w:t>information</w:t>
      </w:r>
      <w:r>
        <w:rPr>
          <w:spacing w:val="-13"/>
          <w:w w:val="105"/>
        </w:rPr>
        <w:t xml:space="preserve"> </w:t>
      </w:r>
      <w:r>
        <w:rPr>
          <w:w w:val="105"/>
        </w:rPr>
        <w:t>obtained</w:t>
      </w:r>
      <w:r>
        <w:rPr>
          <w:spacing w:val="-14"/>
          <w:w w:val="105"/>
        </w:rPr>
        <w:t xml:space="preserve"> </w:t>
      </w:r>
      <w:r>
        <w:rPr>
          <w:w w:val="105"/>
        </w:rPr>
        <w:t>will</w:t>
      </w:r>
      <w:r>
        <w:rPr>
          <w:spacing w:val="-12"/>
          <w:w w:val="105"/>
        </w:rPr>
        <w:t xml:space="preserve"> </w:t>
      </w:r>
      <w:r>
        <w:rPr>
          <w:w w:val="105"/>
        </w:rPr>
        <w:t>be</w:t>
      </w:r>
      <w:r>
        <w:rPr>
          <w:spacing w:val="-8"/>
          <w:w w:val="105"/>
        </w:rPr>
        <w:t xml:space="preserve"> </w:t>
      </w:r>
      <w:r>
        <w:rPr>
          <w:w w:val="105"/>
        </w:rPr>
        <w:t>announced</w:t>
      </w:r>
      <w:r>
        <w:rPr>
          <w:spacing w:val="-13"/>
          <w:w w:val="105"/>
        </w:rPr>
        <w:t xml:space="preserve"> </w:t>
      </w:r>
      <w:r>
        <w:rPr>
          <w:w w:val="105"/>
        </w:rPr>
        <w:t>to</w:t>
      </w:r>
      <w:r>
        <w:rPr>
          <w:spacing w:val="-13"/>
          <w:w w:val="105"/>
        </w:rPr>
        <w:t xml:space="preserve"> </w:t>
      </w:r>
      <w:r>
        <w:rPr>
          <w:w w:val="105"/>
        </w:rPr>
        <w:t>the</w:t>
      </w:r>
      <w:r>
        <w:rPr>
          <w:spacing w:val="-11"/>
          <w:w w:val="105"/>
        </w:rPr>
        <w:t xml:space="preserve"> </w:t>
      </w:r>
      <w:r>
        <w:rPr>
          <w:w w:val="105"/>
        </w:rPr>
        <w:t>public</w:t>
      </w:r>
      <w:r>
        <w:rPr>
          <w:spacing w:val="-12"/>
          <w:w w:val="105"/>
        </w:rPr>
        <w:t xml:space="preserve"> </w:t>
      </w:r>
      <w:r>
        <w:rPr>
          <w:w w:val="105"/>
        </w:rPr>
        <w:t>in Federal</w:t>
      </w:r>
      <w:r>
        <w:rPr>
          <w:spacing w:val="-15"/>
          <w:w w:val="105"/>
        </w:rPr>
        <w:t xml:space="preserve"> </w:t>
      </w:r>
      <w:r>
        <w:rPr>
          <w:w w:val="105"/>
        </w:rPr>
        <w:t>Business</w:t>
      </w:r>
      <w:r>
        <w:rPr>
          <w:spacing w:val="-11"/>
          <w:w w:val="105"/>
        </w:rPr>
        <w:t xml:space="preserve"> </w:t>
      </w:r>
      <w:r>
        <w:rPr>
          <w:w w:val="105"/>
        </w:rPr>
        <w:t>Opportunities</w:t>
      </w:r>
      <w:r>
        <w:rPr>
          <w:spacing w:val="-13"/>
          <w:w w:val="105"/>
        </w:rPr>
        <w:t xml:space="preserve"> </w:t>
      </w:r>
      <w:r>
        <w:rPr>
          <w:w w:val="105"/>
        </w:rPr>
        <w:t>in</w:t>
      </w:r>
      <w:r>
        <w:rPr>
          <w:spacing w:val="-15"/>
          <w:w w:val="105"/>
        </w:rPr>
        <w:t xml:space="preserve"> </w:t>
      </w:r>
      <w:r>
        <w:rPr>
          <w:w w:val="105"/>
        </w:rPr>
        <w:t>accordance</w:t>
      </w:r>
      <w:r>
        <w:rPr>
          <w:spacing w:val="-10"/>
          <w:w w:val="105"/>
        </w:rPr>
        <w:t xml:space="preserve"> </w:t>
      </w:r>
      <w:r>
        <w:rPr>
          <w:w w:val="105"/>
        </w:rPr>
        <w:t>with</w:t>
      </w:r>
      <w:r>
        <w:rPr>
          <w:spacing w:val="54"/>
          <w:w w:val="105"/>
        </w:rPr>
        <w:t xml:space="preserve"> </w:t>
      </w:r>
      <w:r>
        <w:rPr>
          <w:w w:val="105"/>
        </w:rPr>
        <w:t>the</w:t>
      </w:r>
      <w:r>
        <w:rPr>
          <w:spacing w:val="-15"/>
          <w:w w:val="105"/>
        </w:rPr>
        <w:t xml:space="preserve"> </w:t>
      </w:r>
      <w:r>
        <w:rPr>
          <w:w w:val="105"/>
        </w:rPr>
        <w:t>FAR</w:t>
      </w:r>
      <w:r>
        <w:rPr>
          <w:spacing w:val="-12"/>
          <w:w w:val="105"/>
        </w:rPr>
        <w:t xml:space="preserve"> </w:t>
      </w:r>
      <w:r>
        <w:rPr>
          <w:w w:val="105"/>
        </w:rPr>
        <w:t>Part</w:t>
      </w:r>
      <w:r>
        <w:rPr>
          <w:spacing w:val="-13"/>
          <w:w w:val="105"/>
        </w:rPr>
        <w:t xml:space="preserve"> </w:t>
      </w:r>
      <w:r>
        <w:rPr>
          <w:w w:val="105"/>
        </w:rPr>
        <w:t>5.</w:t>
      </w:r>
      <w:r>
        <w:rPr>
          <w:spacing w:val="-15"/>
          <w:w w:val="105"/>
        </w:rPr>
        <w:t xml:space="preserve"> </w:t>
      </w:r>
      <w:r>
        <w:rPr>
          <w:w w:val="105"/>
        </w:rPr>
        <w:t>However,</w:t>
      </w:r>
      <w:r>
        <w:rPr>
          <w:spacing w:val="-12"/>
          <w:w w:val="105"/>
        </w:rPr>
        <w:t xml:space="preserve"> </w:t>
      </w:r>
      <w:r>
        <w:rPr>
          <w:w w:val="105"/>
        </w:rPr>
        <w:t>responses</w:t>
      </w:r>
      <w:r>
        <w:rPr>
          <w:spacing w:val="-11"/>
          <w:w w:val="105"/>
        </w:rPr>
        <w:t xml:space="preserve"> </w:t>
      </w:r>
      <w:r>
        <w:rPr>
          <w:w w:val="105"/>
        </w:rPr>
        <w:t>to</w:t>
      </w:r>
      <w:r>
        <w:rPr>
          <w:spacing w:val="-15"/>
          <w:w w:val="105"/>
        </w:rPr>
        <w:t xml:space="preserve"> </w:t>
      </w:r>
      <w:r>
        <w:rPr>
          <w:w w:val="105"/>
        </w:rPr>
        <w:t>this</w:t>
      </w:r>
      <w:r>
        <w:rPr>
          <w:spacing w:val="-12"/>
          <w:w w:val="105"/>
        </w:rPr>
        <w:t xml:space="preserve"> </w:t>
      </w:r>
      <w:r>
        <w:rPr>
          <w:w w:val="105"/>
        </w:rPr>
        <w:t>notice will</w:t>
      </w:r>
      <w:r>
        <w:rPr>
          <w:spacing w:val="-11"/>
          <w:w w:val="105"/>
        </w:rPr>
        <w:t xml:space="preserve"> </w:t>
      </w:r>
      <w:r>
        <w:rPr>
          <w:w w:val="105"/>
        </w:rPr>
        <w:t>not</w:t>
      </w:r>
      <w:r>
        <w:rPr>
          <w:spacing w:val="-12"/>
          <w:w w:val="105"/>
        </w:rPr>
        <w:t xml:space="preserve"> </w:t>
      </w:r>
      <w:r>
        <w:rPr>
          <w:w w:val="105"/>
        </w:rPr>
        <w:t>be</w:t>
      </w:r>
      <w:r>
        <w:rPr>
          <w:spacing w:val="-9"/>
          <w:w w:val="105"/>
        </w:rPr>
        <w:t xml:space="preserve"> </w:t>
      </w:r>
      <w:r>
        <w:rPr>
          <w:w w:val="105"/>
        </w:rPr>
        <w:t>considered</w:t>
      </w:r>
      <w:r>
        <w:rPr>
          <w:spacing w:val="30"/>
          <w:w w:val="105"/>
        </w:rPr>
        <w:t xml:space="preserve"> </w:t>
      </w:r>
      <w:r>
        <w:rPr>
          <w:w w:val="105"/>
        </w:rPr>
        <w:t>adequate</w:t>
      </w:r>
      <w:r>
        <w:rPr>
          <w:spacing w:val="-13"/>
          <w:w w:val="105"/>
        </w:rPr>
        <w:t xml:space="preserve"> </w:t>
      </w:r>
      <w:r>
        <w:rPr>
          <w:w w:val="105"/>
        </w:rPr>
        <w:t>responses</w:t>
      </w:r>
      <w:r>
        <w:rPr>
          <w:spacing w:val="-10"/>
          <w:w w:val="105"/>
        </w:rPr>
        <w:t xml:space="preserve"> </w:t>
      </w:r>
      <w:r>
        <w:rPr>
          <w:w w:val="105"/>
        </w:rPr>
        <w:t>to</w:t>
      </w:r>
      <w:r>
        <w:rPr>
          <w:spacing w:val="-12"/>
          <w:w w:val="105"/>
        </w:rPr>
        <w:t xml:space="preserve"> </w:t>
      </w:r>
      <w:r>
        <w:rPr>
          <w:w w:val="105"/>
        </w:rPr>
        <w:t>a</w:t>
      </w:r>
      <w:r>
        <w:rPr>
          <w:spacing w:val="-11"/>
          <w:w w:val="105"/>
        </w:rPr>
        <w:t xml:space="preserve"> </w:t>
      </w:r>
      <w:r>
        <w:rPr>
          <w:w w:val="105"/>
        </w:rPr>
        <w:t>solicitation.</w:t>
      </w:r>
      <w:r>
        <w:rPr>
          <w:spacing w:val="-9"/>
          <w:w w:val="105"/>
        </w:rPr>
        <w:t xml:space="preserve"> </w:t>
      </w:r>
      <w:r>
        <w:rPr>
          <w:w w:val="105"/>
        </w:rPr>
        <w:t>No</w:t>
      </w:r>
      <w:r>
        <w:rPr>
          <w:spacing w:val="-9"/>
          <w:w w:val="105"/>
        </w:rPr>
        <w:t xml:space="preserve"> </w:t>
      </w:r>
      <w:r>
        <w:rPr>
          <w:w w:val="105"/>
        </w:rPr>
        <w:t>proprietary,</w:t>
      </w:r>
      <w:r>
        <w:rPr>
          <w:spacing w:val="-10"/>
          <w:w w:val="105"/>
        </w:rPr>
        <w:t xml:space="preserve"> </w:t>
      </w:r>
      <w:r>
        <w:rPr>
          <w:w w:val="105"/>
        </w:rPr>
        <w:t>classified,</w:t>
      </w:r>
      <w:r>
        <w:rPr>
          <w:spacing w:val="-12"/>
          <w:w w:val="105"/>
        </w:rPr>
        <w:t xml:space="preserve"> </w:t>
      </w:r>
      <w:r>
        <w:rPr>
          <w:w w:val="105"/>
        </w:rPr>
        <w:t>confidential,</w:t>
      </w:r>
      <w:r>
        <w:rPr>
          <w:spacing w:val="-9"/>
          <w:w w:val="105"/>
        </w:rPr>
        <w:t xml:space="preserve"> </w:t>
      </w:r>
      <w:r>
        <w:rPr>
          <w:w w:val="105"/>
        </w:rPr>
        <w:t>or sensitive</w:t>
      </w:r>
      <w:r>
        <w:rPr>
          <w:spacing w:val="-7"/>
          <w:w w:val="105"/>
        </w:rPr>
        <w:t xml:space="preserve"> </w:t>
      </w:r>
      <w:r>
        <w:rPr>
          <w:w w:val="105"/>
        </w:rPr>
        <w:t>information</w:t>
      </w:r>
      <w:r>
        <w:rPr>
          <w:spacing w:val="-10"/>
          <w:w w:val="105"/>
        </w:rPr>
        <w:t xml:space="preserve"> </w:t>
      </w:r>
      <w:r>
        <w:rPr>
          <w:w w:val="105"/>
        </w:rPr>
        <w:t>should</w:t>
      </w:r>
      <w:r>
        <w:rPr>
          <w:spacing w:val="-9"/>
          <w:w w:val="105"/>
        </w:rPr>
        <w:t xml:space="preserve"> </w:t>
      </w:r>
      <w:r>
        <w:rPr>
          <w:w w:val="105"/>
        </w:rPr>
        <w:t>be</w:t>
      </w:r>
      <w:r>
        <w:rPr>
          <w:spacing w:val="-7"/>
          <w:w w:val="105"/>
        </w:rPr>
        <w:t xml:space="preserve"> </w:t>
      </w:r>
      <w:r>
        <w:rPr>
          <w:w w:val="105"/>
        </w:rPr>
        <w:t>included</w:t>
      </w:r>
      <w:r>
        <w:rPr>
          <w:spacing w:val="-8"/>
          <w:w w:val="105"/>
        </w:rPr>
        <w:t xml:space="preserve"> </w:t>
      </w:r>
      <w:r>
        <w:rPr>
          <w:w w:val="105"/>
        </w:rPr>
        <w:t>in</w:t>
      </w:r>
      <w:r>
        <w:rPr>
          <w:spacing w:val="-7"/>
          <w:w w:val="105"/>
        </w:rPr>
        <w:t xml:space="preserve"> </w:t>
      </w:r>
      <w:r>
        <w:rPr>
          <w:w w:val="105"/>
        </w:rPr>
        <w:t>your</w:t>
      </w:r>
      <w:r>
        <w:rPr>
          <w:spacing w:val="-10"/>
          <w:w w:val="105"/>
        </w:rPr>
        <w:t xml:space="preserve"> </w:t>
      </w:r>
      <w:r>
        <w:rPr>
          <w:w w:val="105"/>
        </w:rPr>
        <w:t>response.</w:t>
      </w:r>
      <w:r>
        <w:rPr>
          <w:spacing w:val="-9"/>
          <w:w w:val="105"/>
        </w:rPr>
        <w:t xml:space="preserve"> </w:t>
      </w:r>
      <w:r>
        <w:rPr>
          <w:w w:val="105"/>
        </w:rPr>
        <w:t>The</w:t>
      </w:r>
      <w:r>
        <w:rPr>
          <w:spacing w:val="-7"/>
          <w:w w:val="105"/>
        </w:rPr>
        <w:t xml:space="preserve"> </w:t>
      </w:r>
      <w:r>
        <w:rPr>
          <w:w w:val="105"/>
        </w:rPr>
        <w:t>Government</w:t>
      </w:r>
      <w:r>
        <w:rPr>
          <w:spacing w:val="78"/>
          <w:w w:val="105"/>
        </w:rPr>
        <w:t xml:space="preserve"> </w:t>
      </w:r>
      <w:r>
        <w:rPr>
          <w:w w:val="105"/>
        </w:rPr>
        <w:t>reserves</w:t>
      </w:r>
      <w:r>
        <w:rPr>
          <w:spacing w:val="-6"/>
          <w:w w:val="105"/>
        </w:rPr>
        <w:t xml:space="preserve"> </w:t>
      </w:r>
      <w:r>
        <w:rPr>
          <w:w w:val="105"/>
        </w:rPr>
        <w:t>the</w:t>
      </w:r>
      <w:r>
        <w:rPr>
          <w:spacing w:val="-7"/>
          <w:w w:val="105"/>
        </w:rPr>
        <w:t xml:space="preserve"> </w:t>
      </w:r>
      <w:r>
        <w:rPr>
          <w:w w:val="105"/>
        </w:rPr>
        <w:t>right</w:t>
      </w:r>
      <w:r>
        <w:rPr>
          <w:spacing w:val="-5"/>
          <w:w w:val="105"/>
        </w:rPr>
        <w:t xml:space="preserve"> </w:t>
      </w:r>
      <w:r>
        <w:rPr>
          <w:w w:val="105"/>
        </w:rPr>
        <w:t>to</w:t>
      </w:r>
      <w:r>
        <w:rPr>
          <w:spacing w:val="-7"/>
          <w:w w:val="105"/>
        </w:rPr>
        <w:t xml:space="preserve"> </w:t>
      </w:r>
      <w:r>
        <w:rPr>
          <w:w w:val="105"/>
        </w:rPr>
        <w:t>use any non-proprietary technical information in any</w:t>
      </w:r>
      <w:r>
        <w:rPr>
          <w:spacing w:val="40"/>
          <w:w w:val="105"/>
        </w:rPr>
        <w:t xml:space="preserve"> </w:t>
      </w:r>
      <w:r>
        <w:rPr>
          <w:w w:val="105"/>
        </w:rPr>
        <w:t>resultant</w:t>
      </w:r>
      <w:r>
        <w:rPr>
          <w:spacing w:val="-7"/>
          <w:w w:val="105"/>
        </w:rPr>
        <w:t xml:space="preserve"> </w:t>
      </w:r>
      <w:r>
        <w:rPr>
          <w:w w:val="105"/>
        </w:rPr>
        <w:t>solicitation(s).</w:t>
      </w:r>
    </w:p>
    <w:sectPr w:rsidR="00590797">
      <w:type w:val="continuous"/>
      <w:pgSz w:w="12240" w:h="15840"/>
      <w:pgMar w:top="136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590797"/>
    <w:rsid w:val="002B018C"/>
    <w:rsid w:val="00511389"/>
    <w:rsid w:val="00590797"/>
    <w:rsid w:val="008C0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B2E41"/>
  <w15:docId w15:val="{FA8720E1-2CAB-4258-BBF9-0D70F129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C0B41"/>
    <w:rPr>
      <w:color w:val="0000FF" w:themeColor="hyperlink"/>
      <w:u w:val="single"/>
    </w:rPr>
  </w:style>
  <w:style w:type="character" w:styleId="UnresolvedMention">
    <w:name w:val="Unresolved Mention"/>
    <w:basedOn w:val="DefaultParagraphFont"/>
    <w:uiPriority w:val="99"/>
    <w:semiHidden/>
    <w:unhideWhenUsed/>
    <w:rsid w:val="008C0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rilyn.Duran@i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Microsoft Word - Noitce of Intent to Award Sole Source</vt:lpstr>
    </vt:vector>
  </TitlesOfParts>
  <Company>Indian Health Service</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Noitce of Intent to Award Sole Source</dc:title>
  <dc:creator>Mcdonald, Gregory (IHS/PHX/AO)</dc:creator>
  <cp:lastModifiedBy>Duran, Marilyn (IHS/PHX/AO)</cp:lastModifiedBy>
  <cp:revision>3</cp:revision>
  <dcterms:created xsi:type="dcterms:W3CDTF">2025-11-14T16:13:00Z</dcterms:created>
  <dcterms:modified xsi:type="dcterms:W3CDTF">2026-03-31T22:16:00Z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2024-02-15T00:00:00Z</vt:filetime>
  </property>
  <property fmtid="{D5CDD505-2E9C-101B-9397-08002B2CF9AE}" pid="3" name="LastSaved">
    <vt:filetime>2025-11-14T00:00:00Z</vt:filetime>
  </property>
  <property fmtid="{D5CDD505-2E9C-101B-9397-08002B2CF9AE}" pid="4" name="Producer">
    <vt:lpwstr>Microsoft: Print To PDF</vt:lpwstr>
  </property>
</Properties>
</file>