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5CE5" w14:textId="77777777" w:rsidR="00A93CD9" w:rsidRDefault="003147A0">
      <w:pPr>
        <w:pStyle w:val="Heading1"/>
        <w:spacing w:before="39"/>
        <w:ind w:left="364" w:right="3" w:firstLine="0"/>
        <w:jc w:val="center"/>
      </w:pPr>
      <w:r>
        <w:rPr>
          <w:spacing w:val="-2"/>
        </w:rPr>
        <w:t>PRE-SOLICITATION</w:t>
      </w:r>
      <w:r>
        <w:rPr>
          <w:spacing w:val="14"/>
        </w:rPr>
        <w:t xml:space="preserve"> </w:t>
      </w:r>
      <w:r>
        <w:rPr>
          <w:spacing w:val="-2"/>
        </w:rPr>
        <w:t>NON-COMPETITIVE</w:t>
      </w:r>
      <w:r>
        <w:rPr>
          <w:spacing w:val="21"/>
        </w:rPr>
        <w:t xml:space="preserve"> </w:t>
      </w:r>
      <w:r>
        <w:rPr>
          <w:spacing w:val="-10"/>
        </w:rPr>
        <w:t>–</w:t>
      </w:r>
    </w:p>
    <w:p w14:paraId="4E445CE6" w14:textId="77777777" w:rsidR="00A93CD9" w:rsidRDefault="003147A0">
      <w:pPr>
        <w:spacing w:before="121"/>
        <w:ind w:left="364"/>
        <w:jc w:val="center"/>
        <w:rPr>
          <w:b/>
        </w:rPr>
      </w:pPr>
      <w:r>
        <w:rPr>
          <w:b/>
        </w:rPr>
        <w:t>Notice</w:t>
      </w:r>
      <w:r>
        <w:rPr>
          <w:b/>
          <w:spacing w:val="-3"/>
        </w:rPr>
        <w:t xml:space="preserve"> </w:t>
      </w:r>
      <w:r>
        <w:rPr>
          <w:b/>
        </w:rPr>
        <w:t>of</w:t>
      </w:r>
      <w:r>
        <w:rPr>
          <w:b/>
          <w:spacing w:val="-2"/>
        </w:rPr>
        <w:t xml:space="preserve"> </w:t>
      </w:r>
      <w:r>
        <w:rPr>
          <w:b/>
        </w:rPr>
        <w:t>Intent</w:t>
      </w:r>
      <w:r>
        <w:rPr>
          <w:b/>
          <w:spacing w:val="-4"/>
        </w:rPr>
        <w:t xml:space="preserve"> </w:t>
      </w:r>
      <w:r>
        <w:rPr>
          <w:b/>
        </w:rPr>
        <w:t>to</w:t>
      </w:r>
      <w:r>
        <w:rPr>
          <w:b/>
          <w:spacing w:val="-3"/>
        </w:rPr>
        <w:t xml:space="preserve"> </w:t>
      </w:r>
      <w:r>
        <w:rPr>
          <w:b/>
        </w:rPr>
        <w:t>Sole</w:t>
      </w:r>
      <w:r>
        <w:rPr>
          <w:b/>
          <w:spacing w:val="-2"/>
        </w:rPr>
        <w:t xml:space="preserve"> Source</w:t>
      </w:r>
    </w:p>
    <w:p w14:paraId="4E445CE7" w14:textId="0EE9418A" w:rsidR="00A93CD9" w:rsidRDefault="003147A0">
      <w:pPr>
        <w:pStyle w:val="ListParagraph"/>
        <w:numPr>
          <w:ilvl w:val="0"/>
          <w:numId w:val="2"/>
        </w:numPr>
        <w:tabs>
          <w:tab w:val="left" w:pos="1080"/>
        </w:tabs>
        <w:spacing w:before="240"/>
      </w:pPr>
      <w:r>
        <w:rPr>
          <w:b/>
        </w:rPr>
        <w:t>SOLICITATION</w:t>
      </w:r>
      <w:r>
        <w:rPr>
          <w:b/>
          <w:spacing w:val="-15"/>
        </w:rPr>
        <w:t xml:space="preserve"> </w:t>
      </w:r>
      <w:r>
        <w:rPr>
          <w:b/>
        </w:rPr>
        <w:t>NUMBER:</w:t>
      </w:r>
      <w:r>
        <w:rPr>
          <w:b/>
          <w:spacing w:val="-9"/>
        </w:rPr>
        <w:t xml:space="preserve"> </w:t>
      </w:r>
      <w:r w:rsidR="00F42ECC">
        <w:t>26-005169</w:t>
      </w:r>
    </w:p>
    <w:p w14:paraId="4E445CE8" w14:textId="3F18D773" w:rsidR="00A93CD9" w:rsidRDefault="003147A0">
      <w:pPr>
        <w:pStyle w:val="ListParagraph"/>
        <w:numPr>
          <w:ilvl w:val="0"/>
          <w:numId w:val="2"/>
        </w:numPr>
        <w:tabs>
          <w:tab w:val="left" w:pos="1080"/>
        </w:tabs>
        <w:spacing w:before="267"/>
        <w:ind w:right="591"/>
      </w:pPr>
      <w:r>
        <w:rPr>
          <w:b/>
        </w:rPr>
        <w:t>TITLE:</w:t>
      </w:r>
      <w:r>
        <w:rPr>
          <w:b/>
          <w:spacing w:val="-3"/>
        </w:rPr>
        <w:t xml:space="preserve"> </w:t>
      </w:r>
      <w:r w:rsidR="002C2AC0" w:rsidRPr="002C2AC0">
        <w:rPr>
          <w:bCs/>
          <w:spacing w:val="-3"/>
        </w:rPr>
        <w:t>MiSeq i100 System</w:t>
      </w:r>
    </w:p>
    <w:p w14:paraId="4E445CE9" w14:textId="77777777" w:rsidR="00A93CD9" w:rsidRDefault="00A93CD9">
      <w:pPr>
        <w:pStyle w:val="BodyText"/>
        <w:ind w:left="0"/>
      </w:pPr>
    </w:p>
    <w:p w14:paraId="4E445CEA" w14:textId="11917BC2" w:rsidR="00A93CD9" w:rsidRDefault="003147A0">
      <w:pPr>
        <w:pStyle w:val="ListParagraph"/>
        <w:numPr>
          <w:ilvl w:val="0"/>
          <w:numId w:val="2"/>
        </w:numPr>
        <w:tabs>
          <w:tab w:val="left" w:pos="1080"/>
        </w:tabs>
      </w:pPr>
      <w:r>
        <w:rPr>
          <w:b/>
        </w:rPr>
        <w:t>RESPONSE</w:t>
      </w:r>
      <w:r>
        <w:rPr>
          <w:b/>
          <w:spacing w:val="-7"/>
        </w:rPr>
        <w:t xml:space="preserve"> </w:t>
      </w:r>
      <w:r>
        <w:rPr>
          <w:b/>
        </w:rPr>
        <w:t>DATE:</w:t>
      </w:r>
      <w:r>
        <w:rPr>
          <w:b/>
          <w:spacing w:val="-4"/>
        </w:rPr>
        <w:t xml:space="preserve"> </w:t>
      </w:r>
      <w:r>
        <w:t>Ma</w:t>
      </w:r>
      <w:r w:rsidR="006139FE">
        <w:t xml:space="preserve">y </w:t>
      </w:r>
      <w:r>
        <w:t>1</w:t>
      </w:r>
      <w:r w:rsidR="002E57D7">
        <w:t>4</w:t>
      </w:r>
      <w:r>
        <w:t>,</w:t>
      </w:r>
      <w:r>
        <w:rPr>
          <w:spacing w:val="-3"/>
        </w:rPr>
        <w:t xml:space="preserve"> </w:t>
      </w:r>
      <w:r>
        <w:t>2026,</w:t>
      </w:r>
      <w:r>
        <w:rPr>
          <w:spacing w:val="-4"/>
        </w:rPr>
        <w:t xml:space="preserve"> </w:t>
      </w:r>
      <w:r>
        <w:t>at</w:t>
      </w:r>
      <w:r>
        <w:rPr>
          <w:spacing w:val="-5"/>
        </w:rPr>
        <w:t xml:space="preserve"> </w:t>
      </w:r>
      <w:r w:rsidR="002E57D7">
        <w:rPr>
          <w:spacing w:val="-5"/>
        </w:rPr>
        <w:t>10</w:t>
      </w:r>
      <w:r>
        <w:rPr>
          <w:spacing w:val="-2"/>
        </w:rPr>
        <w:t xml:space="preserve"> </w:t>
      </w:r>
      <w:r>
        <w:t>A.M.</w:t>
      </w:r>
      <w:r>
        <w:rPr>
          <w:spacing w:val="-5"/>
        </w:rPr>
        <w:t xml:space="preserve"> </w:t>
      </w:r>
      <w:r>
        <w:t>Eastern</w:t>
      </w:r>
      <w:r>
        <w:rPr>
          <w:spacing w:val="-6"/>
        </w:rPr>
        <w:t xml:space="preserve"> </w:t>
      </w:r>
      <w:r>
        <w:t>Daylight</w:t>
      </w:r>
      <w:r>
        <w:rPr>
          <w:spacing w:val="-4"/>
        </w:rPr>
        <w:t xml:space="preserve"> </w:t>
      </w:r>
      <w:r>
        <w:t>Time</w:t>
      </w:r>
      <w:r>
        <w:rPr>
          <w:spacing w:val="-2"/>
        </w:rPr>
        <w:t xml:space="preserve"> (EDT)</w:t>
      </w:r>
    </w:p>
    <w:p w14:paraId="4E445CEB" w14:textId="77777777" w:rsidR="00A93CD9" w:rsidRDefault="00A93CD9">
      <w:pPr>
        <w:pStyle w:val="BodyText"/>
        <w:spacing w:before="41"/>
        <w:ind w:left="0"/>
      </w:pPr>
    </w:p>
    <w:p w14:paraId="4E445CEC" w14:textId="77777777" w:rsidR="00A93CD9" w:rsidRDefault="003147A0">
      <w:pPr>
        <w:pStyle w:val="Heading1"/>
        <w:numPr>
          <w:ilvl w:val="0"/>
          <w:numId w:val="2"/>
        </w:numPr>
        <w:tabs>
          <w:tab w:val="left" w:pos="1080"/>
        </w:tabs>
        <w:spacing w:before="1"/>
      </w:pPr>
      <w:r>
        <w:t>PRIMARY</w:t>
      </w:r>
      <w:r>
        <w:rPr>
          <w:spacing w:val="-4"/>
        </w:rPr>
        <w:t xml:space="preserve"> </w:t>
      </w:r>
      <w:r>
        <w:t>POINT</w:t>
      </w:r>
      <w:r>
        <w:rPr>
          <w:spacing w:val="-1"/>
        </w:rPr>
        <w:t xml:space="preserve"> </w:t>
      </w:r>
      <w:r>
        <w:t>OF</w:t>
      </w:r>
      <w:r>
        <w:rPr>
          <w:spacing w:val="-2"/>
        </w:rPr>
        <w:t xml:space="preserve"> CONTACT:</w:t>
      </w:r>
    </w:p>
    <w:p w14:paraId="13C8EE28" w14:textId="77777777" w:rsidR="00F42ECC" w:rsidRDefault="00F42ECC" w:rsidP="00F42ECC">
      <w:pPr>
        <w:pStyle w:val="BodyText"/>
        <w:ind w:left="1080" w:right="6057"/>
      </w:pPr>
      <w:r>
        <w:t>Gregory Noland</w:t>
      </w:r>
    </w:p>
    <w:p w14:paraId="4E445CED" w14:textId="35AE47D6" w:rsidR="00A93CD9" w:rsidRDefault="003147A0" w:rsidP="00F42ECC">
      <w:pPr>
        <w:pStyle w:val="BodyText"/>
        <w:ind w:left="1080" w:right="6057"/>
      </w:pPr>
      <w:r>
        <w:rPr>
          <w:spacing w:val="-2"/>
        </w:rPr>
        <w:t>301-</w:t>
      </w:r>
      <w:r w:rsidR="00F42ECC">
        <w:rPr>
          <w:spacing w:val="-2"/>
        </w:rPr>
        <w:t>827</w:t>
      </w:r>
      <w:r>
        <w:rPr>
          <w:spacing w:val="-2"/>
        </w:rPr>
        <w:t>-</w:t>
      </w:r>
      <w:r w:rsidR="00F42ECC">
        <w:rPr>
          <w:spacing w:val="-2"/>
        </w:rPr>
        <w:t>3078</w:t>
      </w:r>
    </w:p>
    <w:p w14:paraId="4E445CEE" w14:textId="391FD61C" w:rsidR="00A93CD9" w:rsidRDefault="00F42ECC" w:rsidP="00F42ECC">
      <w:pPr>
        <w:pStyle w:val="BodyText"/>
        <w:ind w:left="1080"/>
      </w:pPr>
      <w:hyperlink r:id="rId5" w:history="1">
        <w:r w:rsidRPr="00AA4534">
          <w:rPr>
            <w:rStyle w:val="Hyperlink"/>
            <w:spacing w:val="-2"/>
          </w:rPr>
          <w:t>gregory.noland@nih.gov</w:t>
        </w:r>
      </w:hyperlink>
    </w:p>
    <w:p w14:paraId="4E445CEF" w14:textId="77777777" w:rsidR="00A93CD9" w:rsidRDefault="00A93CD9">
      <w:pPr>
        <w:pStyle w:val="BodyText"/>
        <w:ind w:left="0"/>
      </w:pPr>
    </w:p>
    <w:p w14:paraId="4E445CF0" w14:textId="77777777" w:rsidR="00A93CD9" w:rsidRDefault="003147A0">
      <w:pPr>
        <w:pStyle w:val="Heading1"/>
        <w:numPr>
          <w:ilvl w:val="0"/>
          <w:numId w:val="1"/>
        </w:numPr>
        <w:tabs>
          <w:tab w:val="left" w:pos="593"/>
        </w:tabs>
        <w:spacing w:before="1" w:line="267" w:lineRule="exact"/>
        <w:ind w:hanging="259"/>
        <w:jc w:val="left"/>
      </w:pPr>
      <w:r>
        <w:rPr>
          <w:spacing w:val="-2"/>
        </w:rPr>
        <w:t>INTRODUCTION:</w:t>
      </w:r>
    </w:p>
    <w:p w14:paraId="4E445CF1" w14:textId="77777777" w:rsidR="00A93CD9" w:rsidRDefault="003147A0">
      <w:pPr>
        <w:pStyle w:val="BodyText"/>
      </w:pPr>
      <w:r>
        <w:t>THIS</w:t>
      </w:r>
      <w:r>
        <w:rPr>
          <w:spacing w:val="-4"/>
        </w:rPr>
        <w:t xml:space="preserve"> </w:t>
      </w:r>
      <w:r>
        <w:t>IS</w:t>
      </w:r>
      <w:r>
        <w:rPr>
          <w:spacing w:val="-6"/>
        </w:rPr>
        <w:t xml:space="preserve"> </w:t>
      </w:r>
      <w:r>
        <w:t>A</w:t>
      </w:r>
      <w:r>
        <w:rPr>
          <w:spacing w:val="-4"/>
        </w:rPr>
        <w:t xml:space="preserve"> </w:t>
      </w:r>
      <w:r>
        <w:t>PRE-SOLICITATION</w:t>
      </w:r>
      <w:r>
        <w:rPr>
          <w:spacing w:val="-5"/>
        </w:rPr>
        <w:t xml:space="preserve"> </w:t>
      </w:r>
      <w:r>
        <w:t>NON-COMPETITIVE</w:t>
      </w:r>
      <w:r>
        <w:rPr>
          <w:spacing w:val="-4"/>
        </w:rPr>
        <w:t xml:space="preserve"> </w:t>
      </w:r>
      <w:r>
        <w:t>(NOTICE</w:t>
      </w:r>
      <w:r>
        <w:rPr>
          <w:spacing w:val="-4"/>
        </w:rPr>
        <w:t xml:space="preserve"> </w:t>
      </w:r>
      <w:r>
        <w:t>OF</w:t>
      </w:r>
      <w:r>
        <w:rPr>
          <w:spacing w:val="-4"/>
        </w:rPr>
        <w:t xml:space="preserve"> </w:t>
      </w:r>
      <w:r>
        <w:t>INTENT)</w:t>
      </w:r>
      <w:r>
        <w:rPr>
          <w:spacing w:val="-4"/>
        </w:rPr>
        <w:t xml:space="preserve"> </w:t>
      </w:r>
      <w:r>
        <w:t>SYNOPSIS</w:t>
      </w:r>
      <w:r>
        <w:rPr>
          <w:spacing w:val="-4"/>
        </w:rPr>
        <w:t xml:space="preserve"> </w:t>
      </w:r>
      <w:r>
        <w:t>TO</w:t>
      </w:r>
      <w:r>
        <w:rPr>
          <w:spacing w:val="-4"/>
        </w:rPr>
        <w:t xml:space="preserve"> </w:t>
      </w:r>
      <w:r>
        <w:t>AWARD</w:t>
      </w:r>
      <w:r>
        <w:rPr>
          <w:spacing w:val="-3"/>
        </w:rPr>
        <w:t xml:space="preserve"> </w:t>
      </w:r>
      <w:r>
        <w:t>A CONTRACT WITHOUT PROVIDING FOR FULL OR OPEN COMPETITION (INCLUDING BRAND-</w:t>
      </w:r>
      <w:r>
        <w:rPr>
          <w:spacing w:val="-2"/>
        </w:rPr>
        <w:t>NAME).</w:t>
      </w:r>
    </w:p>
    <w:p w14:paraId="4E445CF2" w14:textId="0895183D" w:rsidR="00A93CD9" w:rsidRDefault="003147A0">
      <w:pPr>
        <w:pStyle w:val="BodyText"/>
        <w:spacing w:before="268"/>
        <w:ind w:right="106"/>
      </w:pPr>
      <w:r>
        <w:t xml:space="preserve">The National Institute of Aging (NIA) intends to negotiate and award a purchase order without providing for full and open competition to </w:t>
      </w:r>
      <w:r w:rsidR="006139FE">
        <w:t>Illumina Inc.</w:t>
      </w:r>
      <w:r>
        <w:t xml:space="preserve"> (</w:t>
      </w:r>
      <w:r w:rsidR="002C2AC0" w:rsidRPr="002C2AC0">
        <w:t>San Diego</w:t>
      </w:r>
      <w:r>
        <w:t xml:space="preserve">, </w:t>
      </w:r>
      <w:r w:rsidR="002C2AC0">
        <w:t>CA</w:t>
      </w:r>
      <w:r>
        <w:t>).</w:t>
      </w:r>
      <w:r>
        <w:rPr>
          <w:spacing w:val="-2"/>
        </w:rPr>
        <w:t xml:space="preserve"> </w:t>
      </w:r>
      <w:r>
        <w:t>The</w:t>
      </w:r>
      <w:r>
        <w:rPr>
          <w:spacing w:val="-2"/>
        </w:rPr>
        <w:t xml:space="preserve"> </w:t>
      </w:r>
      <w:r>
        <w:t>purpose</w:t>
      </w:r>
      <w:r>
        <w:rPr>
          <w:spacing w:val="-4"/>
        </w:rPr>
        <w:t xml:space="preserve"> </w:t>
      </w:r>
      <w:r>
        <w:t>of</w:t>
      </w:r>
      <w:r>
        <w:rPr>
          <w:spacing w:val="-4"/>
        </w:rPr>
        <w:t xml:space="preserve"> </w:t>
      </w:r>
      <w:r>
        <w:t>this</w:t>
      </w:r>
      <w:r>
        <w:rPr>
          <w:spacing w:val="-2"/>
        </w:rPr>
        <w:t xml:space="preserve"> </w:t>
      </w:r>
      <w:r>
        <w:t>requirement</w:t>
      </w:r>
      <w:r>
        <w:rPr>
          <w:spacing w:val="-5"/>
        </w:rPr>
        <w:t xml:space="preserve"> </w:t>
      </w:r>
      <w:r>
        <w:t>is</w:t>
      </w:r>
      <w:r>
        <w:rPr>
          <w:spacing w:val="-2"/>
        </w:rPr>
        <w:t xml:space="preserve"> </w:t>
      </w:r>
      <w:r>
        <w:t>to</w:t>
      </w:r>
      <w:r>
        <w:rPr>
          <w:spacing w:val="-1"/>
        </w:rPr>
        <w:t xml:space="preserve"> </w:t>
      </w:r>
      <w:r>
        <w:t>p</w:t>
      </w:r>
      <w:r w:rsidR="002C2AC0">
        <w:t>rocure</w:t>
      </w:r>
      <w:r w:rsidR="002C2AC0" w:rsidRPr="002C2AC0">
        <w:t xml:space="preserve"> a next-generation sequencing (NGS) platform to support clinical research and the development, optimization, and validation of diagnostic assays for hepatitis viruses and other transfusion-transmitted pathogens.</w:t>
      </w:r>
      <w:r>
        <w:rPr>
          <w:spacing w:val="-2"/>
        </w:rPr>
        <w:t xml:space="preserve"> </w:t>
      </w:r>
    </w:p>
    <w:p w14:paraId="4E445CF3" w14:textId="77777777" w:rsidR="00A93CD9" w:rsidRDefault="003147A0">
      <w:pPr>
        <w:pStyle w:val="Heading1"/>
        <w:numPr>
          <w:ilvl w:val="0"/>
          <w:numId w:val="1"/>
        </w:numPr>
        <w:tabs>
          <w:tab w:val="left" w:pos="589"/>
          <w:tab w:val="left" w:pos="593"/>
        </w:tabs>
        <w:spacing w:before="268"/>
        <w:ind w:right="724" w:hanging="320"/>
        <w:jc w:val="left"/>
      </w:pPr>
      <w:r>
        <w:t>NORTH</w:t>
      </w:r>
      <w:r>
        <w:rPr>
          <w:spacing w:val="-5"/>
        </w:rPr>
        <w:t xml:space="preserve"> </w:t>
      </w:r>
      <w:r>
        <w:t>AMERICAN</w:t>
      </w:r>
      <w:r>
        <w:rPr>
          <w:spacing w:val="-4"/>
        </w:rPr>
        <w:t xml:space="preserve"> </w:t>
      </w:r>
      <w:r>
        <w:t>INDUSTRY</w:t>
      </w:r>
      <w:r>
        <w:rPr>
          <w:spacing w:val="-5"/>
        </w:rPr>
        <w:t xml:space="preserve"> </w:t>
      </w:r>
      <w:r>
        <w:t>CLASSIFICATION</w:t>
      </w:r>
      <w:r>
        <w:rPr>
          <w:spacing w:val="-5"/>
        </w:rPr>
        <w:t xml:space="preserve"> </w:t>
      </w:r>
      <w:r>
        <w:t>SYSTEM</w:t>
      </w:r>
      <w:r>
        <w:rPr>
          <w:spacing w:val="-4"/>
        </w:rPr>
        <w:t xml:space="preserve"> </w:t>
      </w:r>
      <w:r>
        <w:t>(NAICS)</w:t>
      </w:r>
      <w:r>
        <w:rPr>
          <w:spacing w:val="-5"/>
        </w:rPr>
        <w:t xml:space="preserve"> </w:t>
      </w:r>
      <w:r>
        <w:t>CODE</w:t>
      </w:r>
      <w:r>
        <w:rPr>
          <w:spacing w:val="-6"/>
        </w:rPr>
        <w:t xml:space="preserve"> </w:t>
      </w:r>
      <w:r>
        <w:t>and</w:t>
      </w:r>
      <w:r>
        <w:rPr>
          <w:spacing w:val="-4"/>
        </w:rPr>
        <w:t xml:space="preserve"> </w:t>
      </w:r>
      <w:r>
        <w:t>SET</w:t>
      </w:r>
      <w:r>
        <w:rPr>
          <w:spacing w:val="-4"/>
        </w:rPr>
        <w:t xml:space="preserve"> </w:t>
      </w:r>
      <w:r>
        <w:t xml:space="preserve">ASIDE </w:t>
      </w:r>
      <w:r>
        <w:rPr>
          <w:spacing w:val="-2"/>
        </w:rPr>
        <w:t>STATUS</w:t>
      </w:r>
    </w:p>
    <w:p w14:paraId="4E445CF4" w14:textId="1B30F996" w:rsidR="00A93CD9" w:rsidRDefault="003147A0" w:rsidP="002C2AC0">
      <w:pPr>
        <w:pStyle w:val="BodyText"/>
        <w:spacing w:before="1"/>
      </w:pPr>
      <w:r>
        <w:t>NAICS</w:t>
      </w:r>
      <w:r>
        <w:rPr>
          <w:spacing w:val="-3"/>
        </w:rPr>
        <w:t xml:space="preserve"> </w:t>
      </w:r>
      <w:r>
        <w:t>Code</w:t>
      </w:r>
      <w:r>
        <w:rPr>
          <w:spacing w:val="-4"/>
        </w:rPr>
        <w:t xml:space="preserve"> </w:t>
      </w:r>
      <w:r w:rsidR="002C2AC0">
        <w:t>334516</w:t>
      </w:r>
      <w:r>
        <w:rPr>
          <w:spacing w:val="-3"/>
        </w:rPr>
        <w:t xml:space="preserve"> </w:t>
      </w:r>
      <w:r>
        <w:t>–</w:t>
      </w:r>
      <w:r>
        <w:rPr>
          <w:spacing w:val="-5"/>
        </w:rPr>
        <w:t xml:space="preserve"> </w:t>
      </w:r>
      <w:r w:rsidR="002C2AC0">
        <w:t>Analytical Laboratory Instrument Manufacturing</w:t>
      </w:r>
      <w:r>
        <w:t xml:space="preserve"> </w:t>
      </w:r>
      <w:r w:rsidR="002C2AC0">
        <w:t>–</w:t>
      </w:r>
      <w:r>
        <w:rPr>
          <w:spacing w:val="-3"/>
        </w:rPr>
        <w:t xml:space="preserve"> </w:t>
      </w:r>
      <w:r w:rsidR="002C2AC0">
        <w:rPr>
          <w:spacing w:val="-3"/>
        </w:rPr>
        <w:t>1000 employees,</w:t>
      </w:r>
      <w:r>
        <w:t xml:space="preserve"> SBA Size Standard. This acquisition is NOT set aside for small businesses.</w:t>
      </w:r>
    </w:p>
    <w:p w14:paraId="4E445CF5" w14:textId="77777777" w:rsidR="00A93CD9" w:rsidRDefault="00A93CD9">
      <w:pPr>
        <w:pStyle w:val="BodyText"/>
        <w:ind w:left="0"/>
      </w:pPr>
    </w:p>
    <w:p w14:paraId="4E445CF6" w14:textId="77777777" w:rsidR="00A93CD9" w:rsidRDefault="003147A0">
      <w:pPr>
        <w:pStyle w:val="Heading1"/>
        <w:numPr>
          <w:ilvl w:val="0"/>
          <w:numId w:val="1"/>
        </w:numPr>
        <w:tabs>
          <w:tab w:val="left" w:pos="589"/>
        </w:tabs>
        <w:ind w:left="589" w:hanging="373"/>
        <w:jc w:val="left"/>
      </w:pPr>
      <w:r>
        <w:t>REGULATORY</w:t>
      </w:r>
      <w:r>
        <w:rPr>
          <w:spacing w:val="-7"/>
        </w:rPr>
        <w:t xml:space="preserve"> </w:t>
      </w:r>
      <w:r>
        <w:rPr>
          <w:spacing w:val="-2"/>
        </w:rPr>
        <w:t>AUTHORITY</w:t>
      </w:r>
    </w:p>
    <w:p w14:paraId="4E445CF7" w14:textId="1C5AF3F0" w:rsidR="00A93CD9" w:rsidRDefault="003147A0">
      <w:pPr>
        <w:pStyle w:val="BodyText"/>
        <w:spacing w:before="1"/>
      </w:pPr>
      <w:r>
        <w:t>The</w:t>
      </w:r>
      <w:r>
        <w:rPr>
          <w:spacing w:val="-3"/>
        </w:rPr>
        <w:t xml:space="preserve"> </w:t>
      </w:r>
      <w:r>
        <w:t>resultant</w:t>
      </w:r>
      <w:r>
        <w:rPr>
          <w:spacing w:val="-3"/>
        </w:rPr>
        <w:t xml:space="preserve"> </w:t>
      </w:r>
      <w:r>
        <w:t>contract</w:t>
      </w:r>
      <w:r>
        <w:rPr>
          <w:spacing w:val="-3"/>
        </w:rPr>
        <w:t xml:space="preserve"> </w:t>
      </w:r>
      <w:r>
        <w:t>will</w:t>
      </w:r>
      <w:r>
        <w:rPr>
          <w:spacing w:val="-6"/>
        </w:rPr>
        <w:t xml:space="preserve"> </w:t>
      </w:r>
      <w:r>
        <w:t>include</w:t>
      </w:r>
      <w:r>
        <w:rPr>
          <w:spacing w:val="-3"/>
        </w:rPr>
        <w:t xml:space="preserve"> </w:t>
      </w:r>
      <w:r>
        <w:t>all</w:t>
      </w:r>
      <w:r>
        <w:rPr>
          <w:spacing w:val="-4"/>
        </w:rPr>
        <w:t xml:space="preserve"> </w:t>
      </w:r>
      <w:r>
        <w:t>applicable</w:t>
      </w:r>
      <w:r>
        <w:rPr>
          <w:spacing w:val="-3"/>
        </w:rPr>
        <w:t xml:space="preserve"> </w:t>
      </w:r>
      <w:r>
        <w:t>provisions</w:t>
      </w:r>
      <w:r>
        <w:rPr>
          <w:spacing w:val="-3"/>
        </w:rPr>
        <w:t xml:space="preserve"> </w:t>
      </w:r>
      <w:r>
        <w:t>and</w:t>
      </w:r>
      <w:r>
        <w:rPr>
          <w:spacing w:val="-5"/>
        </w:rPr>
        <w:t xml:space="preserve"> </w:t>
      </w:r>
      <w:r>
        <w:t>clauses</w:t>
      </w:r>
      <w:r>
        <w:rPr>
          <w:spacing w:val="-2"/>
        </w:rPr>
        <w:t xml:space="preserve"> </w:t>
      </w:r>
      <w:r>
        <w:t>in</w:t>
      </w:r>
      <w:r>
        <w:rPr>
          <w:spacing w:val="-5"/>
        </w:rPr>
        <w:t xml:space="preserve"> </w:t>
      </w:r>
      <w:r>
        <w:t>effect</w:t>
      </w:r>
      <w:r>
        <w:rPr>
          <w:spacing w:val="-5"/>
        </w:rPr>
        <w:t xml:space="preserve"> </w:t>
      </w:r>
      <w:r>
        <w:t>through</w:t>
      </w:r>
      <w:r>
        <w:rPr>
          <w:spacing w:val="-4"/>
        </w:rPr>
        <w:t xml:space="preserve"> </w:t>
      </w:r>
      <w:r>
        <w:t>the Federal Acquisition Circular (FAC) 202</w:t>
      </w:r>
      <w:r w:rsidR="006139FE">
        <w:t>6</w:t>
      </w:r>
      <w:r>
        <w:t>-0</w:t>
      </w:r>
      <w:r w:rsidR="006139FE">
        <w:t>1</w:t>
      </w:r>
      <w:r>
        <w:t xml:space="preserve"> dated 0</w:t>
      </w:r>
      <w:r w:rsidR="006139FE">
        <w:t>3</w:t>
      </w:r>
      <w:r>
        <w:t>-</w:t>
      </w:r>
      <w:r w:rsidR="006139FE">
        <w:t>13</w:t>
      </w:r>
      <w:r>
        <w:t>-202</w:t>
      </w:r>
      <w:r w:rsidR="006139FE">
        <w:t>6</w:t>
      </w:r>
      <w:r>
        <w:t>.</w:t>
      </w:r>
    </w:p>
    <w:p w14:paraId="4E445CF8" w14:textId="77777777" w:rsidR="00A93CD9" w:rsidRDefault="003147A0">
      <w:pPr>
        <w:pStyle w:val="BodyText"/>
        <w:ind w:right="106"/>
      </w:pPr>
      <w:r>
        <w:t>This</w:t>
      </w:r>
      <w:r>
        <w:rPr>
          <w:spacing w:val="-2"/>
        </w:rPr>
        <w:t xml:space="preserve"> </w:t>
      </w:r>
      <w:r>
        <w:t>acquisition</w:t>
      </w:r>
      <w:r>
        <w:rPr>
          <w:spacing w:val="-3"/>
        </w:rPr>
        <w:t xml:space="preserve"> </w:t>
      </w:r>
      <w:r>
        <w:t>will</w:t>
      </w:r>
      <w:r>
        <w:rPr>
          <w:spacing w:val="-2"/>
        </w:rPr>
        <w:t xml:space="preserve"> </w:t>
      </w:r>
      <w:r>
        <w:t>be</w:t>
      </w:r>
      <w:r>
        <w:rPr>
          <w:spacing w:val="-5"/>
        </w:rPr>
        <w:t xml:space="preserve"> </w:t>
      </w:r>
      <w:r>
        <w:t>conducted</w:t>
      </w:r>
      <w:r>
        <w:rPr>
          <w:spacing w:val="-3"/>
        </w:rPr>
        <w:t xml:space="preserve"> </w:t>
      </w:r>
      <w:r>
        <w:t>using</w:t>
      </w:r>
      <w:r>
        <w:rPr>
          <w:spacing w:val="-3"/>
        </w:rPr>
        <w:t xml:space="preserve"> </w:t>
      </w:r>
      <w:r>
        <w:t>the</w:t>
      </w:r>
      <w:r>
        <w:rPr>
          <w:spacing w:val="-2"/>
        </w:rPr>
        <w:t xml:space="preserve"> </w:t>
      </w:r>
      <w:r>
        <w:t>procedures</w:t>
      </w:r>
      <w:r>
        <w:rPr>
          <w:spacing w:val="-2"/>
        </w:rPr>
        <w:t xml:space="preserve"> </w:t>
      </w:r>
      <w:r>
        <w:t>of</w:t>
      </w:r>
      <w:r>
        <w:rPr>
          <w:spacing w:val="-5"/>
        </w:rPr>
        <w:t xml:space="preserve"> </w:t>
      </w:r>
      <w:r>
        <w:t>FAR</w:t>
      </w:r>
      <w:r>
        <w:rPr>
          <w:spacing w:val="-4"/>
        </w:rPr>
        <w:t xml:space="preserve"> </w:t>
      </w:r>
      <w:r>
        <w:t>Part</w:t>
      </w:r>
      <w:r>
        <w:rPr>
          <w:spacing w:val="-4"/>
        </w:rPr>
        <w:t xml:space="preserve"> </w:t>
      </w:r>
      <w:r>
        <w:t>13 –</w:t>
      </w:r>
      <w:r>
        <w:rPr>
          <w:spacing w:val="-2"/>
        </w:rPr>
        <w:t xml:space="preserve"> </w:t>
      </w:r>
      <w:r>
        <w:t>Simplified Acquisition Procedures and FAR Part 12 – Acquisition of Commercial Items.</w:t>
      </w:r>
    </w:p>
    <w:p w14:paraId="4E445CF9" w14:textId="77777777" w:rsidR="00A93CD9" w:rsidRDefault="003147A0">
      <w:pPr>
        <w:pStyle w:val="Heading1"/>
        <w:numPr>
          <w:ilvl w:val="0"/>
          <w:numId w:val="1"/>
        </w:numPr>
        <w:tabs>
          <w:tab w:val="left" w:pos="591"/>
        </w:tabs>
        <w:spacing w:before="268"/>
        <w:ind w:left="591" w:hanging="389"/>
        <w:jc w:val="left"/>
      </w:pPr>
      <w:r>
        <w:t>STATUTORY</w:t>
      </w:r>
      <w:r>
        <w:rPr>
          <w:spacing w:val="-10"/>
        </w:rPr>
        <w:t xml:space="preserve"> </w:t>
      </w:r>
      <w:r>
        <w:rPr>
          <w:spacing w:val="-2"/>
        </w:rPr>
        <w:t>AUTHORITY</w:t>
      </w:r>
    </w:p>
    <w:p w14:paraId="4E445CFA" w14:textId="77777777" w:rsidR="00A93CD9" w:rsidRDefault="003147A0">
      <w:pPr>
        <w:pStyle w:val="BodyText"/>
        <w:ind w:right="106"/>
      </w:pPr>
      <w:r>
        <w:t>This</w:t>
      </w:r>
      <w:r>
        <w:rPr>
          <w:spacing w:val="-3"/>
        </w:rPr>
        <w:t xml:space="preserve"> </w:t>
      </w:r>
      <w:r>
        <w:t>acquisition</w:t>
      </w:r>
      <w:r>
        <w:rPr>
          <w:spacing w:val="-4"/>
        </w:rPr>
        <w:t xml:space="preserve"> </w:t>
      </w:r>
      <w:r>
        <w:t>is</w:t>
      </w:r>
      <w:r>
        <w:rPr>
          <w:spacing w:val="-3"/>
        </w:rPr>
        <w:t xml:space="preserve"> </w:t>
      </w:r>
      <w:r>
        <w:t>being</w:t>
      </w:r>
      <w:r>
        <w:rPr>
          <w:spacing w:val="-4"/>
        </w:rPr>
        <w:t xml:space="preserve"> </w:t>
      </w:r>
      <w:r>
        <w:t>conducted</w:t>
      </w:r>
      <w:r>
        <w:rPr>
          <w:spacing w:val="-4"/>
        </w:rPr>
        <w:t xml:space="preserve"> </w:t>
      </w:r>
      <w:r>
        <w:t>under</w:t>
      </w:r>
      <w:r>
        <w:rPr>
          <w:spacing w:val="-3"/>
        </w:rPr>
        <w:t xml:space="preserve"> </w:t>
      </w:r>
      <w:r>
        <w:t>the</w:t>
      </w:r>
      <w:r>
        <w:rPr>
          <w:spacing w:val="-4"/>
        </w:rPr>
        <w:t xml:space="preserve"> </w:t>
      </w:r>
      <w:r>
        <w:t>authority</w:t>
      </w:r>
      <w:r>
        <w:rPr>
          <w:spacing w:val="-3"/>
        </w:rPr>
        <w:t xml:space="preserve"> </w:t>
      </w:r>
      <w:r>
        <w:t>of</w:t>
      </w:r>
      <w:r>
        <w:rPr>
          <w:spacing w:val="-5"/>
        </w:rPr>
        <w:t xml:space="preserve"> </w:t>
      </w:r>
      <w:r>
        <w:t>FAR</w:t>
      </w:r>
      <w:r>
        <w:rPr>
          <w:spacing w:val="-4"/>
        </w:rPr>
        <w:t xml:space="preserve"> </w:t>
      </w:r>
      <w:r>
        <w:t>13.106-1(b)(1),</w:t>
      </w:r>
      <w:r>
        <w:rPr>
          <w:spacing w:val="-4"/>
        </w:rPr>
        <w:t xml:space="preserve"> </w:t>
      </w:r>
      <w:r>
        <w:t>Soliciting</w:t>
      </w:r>
      <w:r>
        <w:rPr>
          <w:spacing w:val="-4"/>
        </w:rPr>
        <w:t xml:space="preserve"> </w:t>
      </w:r>
      <w:r>
        <w:t>from a Single Source. The total estimated value of this requirement is below the Simplified Acquisition Threshold.</w:t>
      </w:r>
    </w:p>
    <w:p w14:paraId="0824F39E" w14:textId="77777777" w:rsidR="00A93CD9" w:rsidRDefault="00A93CD9">
      <w:pPr>
        <w:pStyle w:val="BodyText"/>
      </w:pPr>
    </w:p>
    <w:p w14:paraId="4E445CFC" w14:textId="77777777" w:rsidR="00A93CD9" w:rsidRDefault="003147A0">
      <w:pPr>
        <w:pStyle w:val="Heading1"/>
        <w:numPr>
          <w:ilvl w:val="0"/>
          <w:numId w:val="1"/>
        </w:numPr>
        <w:tabs>
          <w:tab w:val="left" w:pos="592"/>
        </w:tabs>
        <w:spacing w:before="39"/>
        <w:ind w:left="592" w:hanging="330"/>
        <w:jc w:val="left"/>
      </w:pPr>
      <w:r>
        <w:t>DESCRIPTION</w:t>
      </w:r>
      <w:r>
        <w:rPr>
          <w:spacing w:val="-5"/>
        </w:rPr>
        <w:t xml:space="preserve"> </w:t>
      </w:r>
      <w:r>
        <w:t>OF</w:t>
      </w:r>
      <w:r>
        <w:rPr>
          <w:spacing w:val="-4"/>
        </w:rPr>
        <w:t xml:space="preserve"> </w:t>
      </w:r>
      <w:r>
        <w:rPr>
          <w:spacing w:val="-2"/>
        </w:rPr>
        <w:t>REQUIREMENT:</w:t>
      </w:r>
    </w:p>
    <w:p w14:paraId="4E445CFD" w14:textId="77777777" w:rsidR="00A93CD9" w:rsidRDefault="003147A0">
      <w:pPr>
        <w:pStyle w:val="ListParagraph"/>
        <w:numPr>
          <w:ilvl w:val="1"/>
          <w:numId w:val="1"/>
        </w:numPr>
        <w:tabs>
          <w:tab w:val="left" w:pos="809"/>
        </w:tabs>
        <w:spacing w:before="200"/>
        <w:ind w:left="809" w:hanging="358"/>
        <w:rPr>
          <w:b/>
        </w:rPr>
      </w:pPr>
      <w:r>
        <w:rPr>
          <w:b/>
        </w:rPr>
        <w:t>PURPOSE</w:t>
      </w:r>
      <w:r>
        <w:rPr>
          <w:b/>
          <w:spacing w:val="-6"/>
        </w:rPr>
        <w:t xml:space="preserve"> </w:t>
      </w:r>
      <w:r>
        <w:rPr>
          <w:b/>
        </w:rPr>
        <w:t>AND</w:t>
      </w:r>
      <w:r>
        <w:rPr>
          <w:b/>
          <w:spacing w:val="-5"/>
        </w:rPr>
        <w:t xml:space="preserve"> </w:t>
      </w:r>
      <w:r>
        <w:rPr>
          <w:b/>
          <w:spacing w:val="-2"/>
        </w:rPr>
        <w:t>OBJECTIVES:</w:t>
      </w:r>
    </w:p>
    <w:p w14:paraId="2B4FC12E" w14:textId="4D61835E" w:rsidR="00157568" w:rsidRPr="00157568" w:rsidRDefault="003147A0" w:rsidP="00157568">
      <w:pPr>
        <w:pStyle w:val="BodyText"/>
        <w:spacing w:line="288" w:lineRule="auto"/>
        <w:ind w:left="684"/>
        <w:rPr>
          <w:spacing w:val="-4"/>
        </w:rPr>
      </w:pPr>
      <w:r>
        <w:t>The</w:t>
      </w:r>
      <w:r>
        <w:rPr>
          <w:spacing w:val="-2"/>
        </w:rPr>
        <w:t xml:space="preserve"> </w:t>
      </w:r>
      <w:r>
        <w:t>purpose</w:t>
      </w:r>
      <w:r>
        <w:rPr>
          <w:spacing w:val="-2"/>
        </w:rPr>
        <w:t xml:space="preserve"> </w:t>
      </w:r>
      <w:r>
        <w:t>of</w:t>
      </w:r>
      <w:r>
        <w:rPr>
          <w:spacing w:val="-2"/>
        </w:rPr>
        <w:t xml:space="preserve"> </w:t>
      </w:r>
      <w:r>
        <w:t>this</w:t>
      </w:r>
      <w:r>
        <w:rPr>
          <w:spacing w:val="-2"/>
        </w:rPr>
        <w:t xml:space="preserve"> </w:t>
      </w:r>
      <w:r>
        <w:t>requirement</w:t>
      </w:r>
      <w:r>
        <w:rPr>
          <w:spacing w:val="-5"/>
        </w:rPr>
        <w:t xml:space="preserve"> </w:t>
      </w:r>
      <w:r>
        <w:t>is</w:t>
      </w:r>
      <w:r>
        <w:rPr>
          <w:spacing w:val="-2"/>
        </w:rPr>
        <w:t xml:space="preserve"> </w:t>
      </w:r>
      <w:r>
        <w:t>to</w:t>
      </w:r>
      <w:r>
        <w:rPr>
          <w:spacing w:val="-1"/>
        </w:rPr>
        <w:t xml:space="preserve"> </w:t>
      </w:r>
      <w:r>
        <w:t>provide</w:t>
      </w:r>
      <w:r>
        <w:rPr>
          <w:spacing w:val="-4"/>
        </w:rPr>
        <w:t xml:space="preserve"> </w:t>
      </w:r>
      <w:r w:rsidR="002250FC">
        <w:rPr>
          <w:spacing w:val="-4"/>
        </w:rPr>
        <w:t xml:space="preserve">the </w:t>
      </w:r>
      <w:r w:rsidR="00157568" w:rsidRPr="00157568">
        <w:rPr>
          <w:spacing w:val="-4"/>
        </w:rPr>
        <w:t>NIH Clinical Center, Department of Transfusion Medicine (DTM), Infectious Diseases Section requires acquisition of a next-generation sequencing (NGS) platform to support clinical research and the development, optimization, and validation of diagnostic assays for hepatitis viruses and other transfusion-transmitted pathogens.</w:t>
      </w:r>
    </w:p>
    <w:p w14:paraId="2DB2C7EC" w14:textId="3B4A0517" w:rsidR="00157568" w:rsidRDefault="00157568" w:rsidP="00157568">
      <w:pPr>
        <w:pStyle w:val="BodyText"/>
        <w:spacing w:line="288" w:lineRule="auto"/>
        <w:ind w:left="684"/>
        <w:rPr>
          <w:spacing w:val="-4"/>
        </w:rPr>
      </w:pPr>
      <w:r w:rsidRPr="00157568">
        <w:rPr>
          <w:spacing w:val="-4"/>
        </w:rPr>
        <w:t xml:space="preserve">The required system </w:t>
      </w:r>
      <w:r w:rsidR="00C2677F">
        <w:rPr>
          <w:spacing w:val="-4"/>
        </w:rPr>
        <w:t>(</w:t>
      </w:r>
      <w:r w:rsidR="00060239" w:rsidRPr="00060239">
        <w:rPr>
          <w:b/>
          <w:bCs/>
          <w:spacing w:val="-4"/>
        </w:rPr>
        <w:t>MiSeq i100 System</w:t>
      </w:r>
      <w:r w:rsidR="00C2677F">
        <w:rPr>
          <w:spacing w:val="-4"/>
        </w:rPr>
        <w:t xml:space="preserve">) </w:t>
      </w:r>
      <w:r w:rsidRPr="00157568">
        <w:rPr>
          <w:spacing w:val="-4"/>
        </w:rPr>
        <w:t>must support generation of high-quality sequencing data from clinical specimens, including viral RNA/DNA and host-derived nucleic acids. The instrument must enable applications such as targeted sequencing, viral genome sequencing, and assay development workflows necessary for evaluating test performance and refining diagnostic methods prior to implementation in a clinical testing environment.</w:t>
      </w:r>
    </w:p>
    <w:p w14:paraId="0209ECB8" w14:textId="77777777" w:rsidR="00D40D26" w:rsidRPr="00157568" w:rsidRDefault="00D40D26" w:rsidP="00D40D26">
      <w:pPr>
        <w:pStyle w:val="BodyText"/>
        <w:ind w:left="684"/>
        <w:rPr>
          <w:spacing w:val="-4"/>
        </w:rPr>
      </w:pPr>
    </w:p>
    <w:p w14:paraId="3EAC63C7" w14:textId="77777777" w:rsidR="00157568" w:rsidRDefault="00157568" w:rsidP="00D40D26">
      <w:pPr>
        <w:pStyle w:val="BodyText"/>
        <w:ind w:left="684"/>
        <w:rPr>
          <w:spacing w:val="-4"/>
        </w:rPr>
      </w:pPr>
      <w:r w:rsidRPr="00157568">
        <w:rPr>
          <w:spacing w:val="-4"/>
        </w:rPr>
        <w:t>The system must meet the following functional and operational requirements:</w:t>
      </w:r>
    </w:p>
    <w:p w14:paraId="767CA839" w14:textId="34C5FDEB" w:rsidR="00157568" w:rsidRPr="00157568" w:rsidRDefault="00157568" w:rsidP="00D40D26">
      <w:pPr>
        <w:pStyle w:val="BodyText"/>
        <w:numPr>
          <w:ilvl w:val="0"/>
          <w:numId w:val="3"/>
        </w:numPr>
        <w:ind w:left="1080"/>
        <w:rPr>
          <w:spacing w:val="-4"/>
        </w:rPr>
      </w:pPr>
      <w:r w:rsidRPr="00157568">
        <w:rPr>
          <w:spacing w:val="-4"/>
        </w:rPr>
        <w:t xml:space="preserve">High data accuracy and reproducibility to ensure reliable detection of viral variants and evaluation of assay </w:t>
      </w:r>
      <w:r w:rsidRPr="00157568">
        <w:rPr>
          <w:spacing w:val="-4"/>
        </w:rPr>
        <w:lastRenderedPageBreak/>
        <w:t>performance</w:t>
      </w:r>
    </w:p>
    <w:p w14:paraId="274E983B" w14:textId="3B4BCBD2" w:rsidR="00157568" w:rsidRPr="00157568" w:rsidRDefault="00157568" w:rsidP="00D40D26">
      <w:pPr>
        <w:pStyle w:val="BodyText"/>
        <w:numPr>
          <w:ilvl w:val="0"/>
          <w:numId w:val="3"/>
        </w:numPr>
        <w:ind w:left="1080"/>
        <w:rPr>
          <w:spacing w:val="-4"/>
        </w:rPr>
      </w:pPr>
      <w:r w:rsidRPr="00157568">
        <w:rPr>
          <w:spacing w:val="-4"/>
        </w:rPr>
        <w:t>Low- to moderate-throughput capability appropriate for assay development, pilot studies, and validation activities involving smaller sample sets</w:t>
      </w:r>
    </w:p>
    <w:p w14:paraId="0D32DD4A" w14:textId="65D7183F" w:rsidR="00157568" w:rsidRPr="00157568" w:rsidRDefault="00157568" w:rsidP="00D40D26">
      <w:pPr>
        <w:pStyle w:val="BodyText"/>
        <w:numPr>
          <w:ilvl w:val="0"/>
          <w:numId w:val="3"/>
        </w:numPr>
        <w:ind w:left="1080"/>
        <w:rPr>
          <w:spacing w:val="-4"/>
        </w:rPr>
      </w:pPr>
      <w:r w:rsidRPr="00157568">
        <w:rPr>
          <w:spacing w:val="-4"/>
        </w:rPr>
        <w:t xml:space="preserve">Rapid turnaround times to support iterative testing and optimization of clinical assays </w:t>
      </w:r>
    </w:p>
    <w:p w14:paraId="736008CA" w14:textId="07CA0461" w:rsidR="00157568" w:rsidRPr="00157568" w:rsidRDefault="00157568" w:rsidP="00D40D26">
      <w:pPr>
        <w:pStyle w:val="BodyText"/>
        <w:numPr>
          <w:ilvl w:val="0"/>
          <w:numId w:val="3"/>
        </w:numPr>
        <w:ind w:left="1080"/>
        <w:rPr>
          <w:spacing w:val="-4"/>
        </w:rPr>
      </w:pPr>
      <w:r w:rsidRPr="00157568">
        <w:rPr>
          <w:spacing w:val="-4"/>
        </w:rPr>
        <w:t>Flexible run configurations that allow efficient processing of varying sample volumes without excess capacity</w:t>
      </w:r>
    </w:p>
    <w:p w14:paraId="463E3454" w14:textId="6C16A865" w:rsidR="00157568" w:rsidRPr="00157568" w:rsidRDefault="00157568" w:rsidP="00D40D26">
      <w:pPr>
        <w:pStyle w:val="BodyText"/>
        <w:numPr>
          <w:ilvl w:val="0"/>
          <w:numId w:val="3"/>
        </w:numPr>
        <w:ind w:left="1080"/>
        <w:rPr>
          <w:spacing w:val="-4"/>
        </w:rPr>
      </w:pPr>
      <w:r w:rsidRPr="00157568">
        <w:rPr>
          <w:spacing w:val="-4"/>
        </w:rPr>
        <w:t>Cost-efficient operation, including the ability to minimize per-run and per-sample costs for smaller-scale sequencing applications</w:t>
      </w:r>
    </w:p>
    <w:p w14:paraId="5B6A5999" w14:textId="3C471C82" w:rsidR="00157568" w:rsidRPr="00157568" w:rsidRDefault="00157568" w:rsidP="00D40D26">
      <w:pPr>
        <w:pStyle w:val="BodyText"/>
        <w:numPr>
          <w:ilvl w:val="0"/>
          <w:numId w:val="3"/>
        </w:numPr>
        <w:ind w:left="1080"/>
        <w:rPr>
          <w:spacing w:val="-4"/>
        </w:rPr>
      </w:pPr>
      <w:r w:rsidRPr="00157568">
        <w:rPr>
          <w:spacing w:val="-4"/>
        </w:rPr>
        <w:t>Integrated and streamlined workflows, including sequencing and data analysis within a single platform to reduce complexity and variability</w:t>
      </w:r>
    </w:p>
    <w:p w14:paraId="19FC2FAE" w14:textId="0F1D7DC6" w:rsidR="00157568" w:rsidRPr="00157568" w:rsidRDefault="00157568" w:rsidP="00D40D26">
      <w:pPr>
        <w:pStyle w:val="BodyText"/>
        <w:numPr>
          <w:ilvl w:val="0"/>
          <w:numId w:val="3"/>
        </w:numPr>
        <w:ind w:left="1080"/>
        <w:rPr>
          <w:spacing w:val="-4"/>
        </w:rPr>
      </w:pPr>
      <w:r w:rsidRPr="00157568">
        <w:rPr>
          <w:spacing w:val="-4"/>
        </w:rPr>
        <w:t>Ease of use and standardized operation, supporting reproducibility and implementation in a clinical laboratory environment</w:t>
      </w:r>
    </w:p>
    <w:p w14:paraId="4E445CFF" w14:textId="796EC089" w:rsidR="00A93CD9" w:rsidRDefault="00157568" w:rsidP="00D40D26">
      <w:pPr>
        <w:pStyle w:val="BodyText"/>
        <w:numPr>
          <w:ilvl w:val="2"/>
          <w:numId w:val="3"/>
        </w:numPr>
        <w:ind w:left="1080"/>
      </w:pPr>
      <w:r w:rsidRPr="00157568">
        <w:rPr>
          <w:spacing w:val="-4"/>
        </w:rPr>
        <w:t>Compatibility with established library preparation methods and existing laboratory workflows.</w:t>
      </w:r>
    </w:p>
    <w:p w14:paraId="4E445D00" w14:textId="77777777" w:rsidR="00A93CD9" w:rsidRDefault="00A93CD9">
      <w:pPr>
        <w:pStyle w:val="BodyText"/>
        <w:spacing w:before="54"/>
        <w:ind w:left="0"/>
      </w:pPr>
    </w:p>
    <w:p w14:paraId="4E445D01" w14:textId="77777777" w:rsidR="00A93CD9" w:rsidRDefault="003147A0">
      <w:pPr>
        <w:pStyle w:val="Heading1"/>
        <w:numPr>
          <w:ilvl w:val="1"/>
          <w:numId w:val="1"/>
        </w:numPr>
        <w:tabs>
          <w:tab w:val="left" w:pos="809"/>
        </w:tabs>
        <w:ind w:left="809" w:hanging="358"/>
      </w:pPr>
      <w:r>
        <w:t>PERIOD</w:t>
      </w:r>
      <w:r>
        <w:rPr>
          <w:spacing w:val="-2"/>
        </w:rPr>
        <w:t xml:space="preserve"> </w:t>
      </w:r>
      <w:r>
        <w:t>OF</w:t>
      </w:r>
      <w:r>
        <w:rPr>
          <w:spacing w:val="-1"/>
        </w:rPr>
        <w:t xml:space="preserve"> </w:t>
      </w:r>
      <w:r>
        <w:rPr>
          <w:spacing w:val="-2"/>
        </w:rPr>
        <w:t>PERFORMANCE:</w:t>
      </w:r>
    </w:p>
    <w:p w14:paraId="4E445D02" w14:textId="602D46D4" w:rsidR="00A93CD9" w:rsidRDefault="003147A0">
      <w:pPr>
        <w:pStyle w:val="BodyText"/>
        <w:spacing w:before="53" w:line="288" w:lineRule="auto"/>
        <w:ind w:left="811" w:right="4281"/>
      </w:pPr>
      <w:r>
        <w:t>Base Year: 0</w:t>
      </w:r>
      <w:r w:rsidR="002C2AC0">
        <w:t>6</w:t>
      </w:r>
      <w:r>
        <w:t>/</w:t>
      </w:r>
      <w:r w:rsidR="002C2AC0">
        <w:t>01</w:t>
      </w:r>
      <w:r>
        <w:t>/2026 – 05/</w:t>
      </w:r>
      <w:r w:rsidR="00EA2B33">
        <w:t>31</w:t>
      </w:r>
      <w:r>
        <w:t xml:space="preserve">/2027 </w:t>
      </w:r>
    </w:p>
    <w:p w14:paraId="4E445D03" w14:textId="77777777" w:rsidR="00A93CD9" w:rsidRDefault="00A93CD9">
      <w:pPr>
        <w:pStyle w:val="BodyText"/>
        <w:spacing w:before="55"/>
        <w:ind w:left="0"/>
      </w:pPr>
    </w:p>
    <w:p w14:paraId="4E445D04" w14:textId="77777777" w:rsidR="00A93CD9" w:rsidRDefault="003147A0">
      <w:pPr>
        <w:pStyle w:val="Heading1"/>
        <w:numPr>
          <w:ilvl w:val="1"/>
          <w:numId w:val="1"/>
        </w:numPr>
        <w:tabs>
          <w:tab w:val="left" w:pos="809"/>
        </w:tabs>
        <w:spacing w:before="1"/>
        <w:ind w:left="809" w:hanging="358"/>
      </w:pPr>
      <w:r>
        <w:t>PROJECT</w:t>
      </w:r>
      <w:r>
        <w:rPr>
          <w:spacing w:val="-6"/>
        </w:rPr>
        <w:t xml:space="preserve"> </w:t>
      </w:r>
      <w:r>
        <w:rPr>
          <w:spacing w:val="-2"/>
        </w:rPr>
        <w:t>REQUIREMENTS:</w:t>
      </w:r>
    </w:p>
    <w:p w14:paraId="4E445D06" w14:textId="4843A9CA" w:rsidR="00A93CD9" w:rsidRDefault="00EA2B33" w:rsidP="00EA2B33">
      <w:pPr>
        <w:pStyle w:val="BodyText"/>
        <w:ind w:left="810"/>
      </w:pPr>
      <w:r>
        <w:t xml:space="preserve">The Vendor will submit a cost proposal/quote which will address the tasks specified in the SOW. All document deliverables must be in formats (hard copy and electronic) as specified by the customer/client - at a minimum, the formats must be in industry accepted standards (e.g., MS Word, PDF).  The customer/client will complete a review of each submitted deliverable within specified working days for the date of receipt.  </w:t>
      </w:r>
    </w:p>
    <w:p w14:paraId="4A17E567" w14:textId="77777777" w:rsidR="00EA2B33" w:rsidRDefault="00EA2B33" w:rsidP="00EA2B33">
      <w:pPr>
        <w:pStyle w:val="BodyText"/>
        <w:ind w:left="0"/>
      </w:pPr>
    </w:p>
    <w:p w14:paraId="4E445D07" w14:textId="77777777" w:rsidR="00A93CD9" w:rsidRDefault="003147A0">
      <w:pPr>
        <w:pStyle w:val="Heading1"/>
        <w:numPr>
          <w:ilvl w:val="0"/>
          <w:numId w:val="1"/>
        </w:numPr>
        <w:tabs>
          <w:tab w:val="left" w:pos="590"/>
          <w:tab w:val="left" w:pos="593"/>
        </w:tabs>
        <w:ind w:right="680" w:hanging="392"/>
        <w:jc w:val="left"/>
      </w:pPr>
      <w:r>
        <w:t>CONTRACTING</w:t>
      </w:r>
      <w:r>
        <w:rPr>
          <w:spacing w:val="-5"/>
        </w:rPr>
        <w:t xml:space="preserve"> </w:t>
      </w:r>
      <w:r>
        <w:t>WITHOUT</w:t>
      </w:r>
      <w:r>
        <w:rPr>
          <w:spacing w:val="-4"/>
        </w:rPr>
        <w:t xml:space="preserve"> </w:t>
      </w:r>
      <w:r>
        <w:t>PROVIDING</w:t>
      </w:r>
      <w:r>
        <w:rPr>
          <w:spacing w:val="-4"/>
        </w:rPr>
        <w:t xml:space="preserve"> </w:t>
      </w:r>
      <w:r>
        <w:t>FOR</w:t>
      </w:r>
      <w:r>
        <w:rPr>
          <w:spacing w:val="-4"/>
        </w:rPr>
        <w:t xml:space="preserve"> </w:t>
      </w:r>
      <w:r>
        <w:t>FULL</w:t>
      </w:r>
      <w:r>
        <w:rPr>
          <w:spacing w:val="-5"/>
        </w:rPr>
        <w:t xml:space="preserve"> </w:t>
      </w:r>
      <w:r>
        <w:t>OR</w:t>
      </w:r>
      <w:r>
        <w:rPr>
          <w:spacing w:val="-5"/>
        </w:rPr>
        <w:t xml:space="preserve"> </w:t>
      </w:r>
      <w:r>
        <w:t>OPEN</w:t>
      </w:r>
      <w:r>
        <w:rPr>
          <w:spacing w:val="-5"/>
        </w:rPr>
        <w:t xml:space="preserve"> </w:t>
      </w:r>
      <w:r>
        <w:t>COMPETITION</w:t>
      </w:r>
      <w:r>
        <w:rPr>
          <w:spacing w:val="-5"/>
        </w:rPr>
        <w:t xml:space="preserve"> </w:t>
      </w:r>
      <w:r>
        <w:t>(INCLUDING BRAND-NAME) DETERMINATION</w:t>
      </w:r>
    </w:p>
    <w:p w14:paraId="15D64C9B" w14:textId="03CCABFC" w:rsidR="00BE5520" w:rsidRDefault="003147A0">
      <w:pPr>
        <w:pStyle w:val="BodyText"/>
        <w:ind w:right="31"/>
      </w:pPr>
      <w:r>
        <w:t>The determination by the Government to award a contract without providing for full and open</w:t>
      </w:r>
      <w:r>
        <w:rPr>
          <w:spacing w:val="-2"/>
        </w:rPr>
        <w:t xml:space="preserve"> </w:t>
      </w:r>
      <w:r>
        <w:t>competition</w:t>
      </w:r>
      <w:r>
        <w:rPr>
          <w:spacing w:val="-3"/>
        </w:rPr>
        <w:t xml:space="preserve"> </w:t>
      </w:r>
      <w:r>
        <w:t>is</w:t>
      </w:r>
      <w:r>
        <w:rPr>
          <w:spacing w:val="-5"/>
        </w:rPr>
        <w:t xml:space="preserve"> </w:t>
      </w:r>
      <w:r>
        <w:t>based</w:t>
      </w:r>
      <w:r>
        <w:rPr>
          <w:spacing w:val="-5"/>
        </w:rPr>
        <w:t xml:space="preserve"> </w:t>
      </w:r>
      <w:r>
        <w:t>upon</w:t>
      </w:r>
      <w:r>
        <w:rPr>
          <w:spacing w:val="-3"/>
        </w:rPr>
        <w:t xml:space="preserve"> </w:t>
      </w:r>
      <w:r>
        <w:t>the</w:t>
      </w:r>
      <w:r>
        <w:rPr>
          <w:spacing w:val="-4"/>
        </w:rPr>
        <w:t xml:space="preserve"> </w:t>
      </w:r>
      <w:r>
        <w:t>market</w:t>
      </w:r>
      <w:r>
        <w:rPr>
          <w:spacing w:val="-2"/>
        </w:rPr>
        <w:t xml:space="preserve"> </w:t>
      </w:r>
      <w:r>
        <w:t>research</w:t>
      </w:r>
      <w:r>
        <w:rPr>
          <w:spacing w:val="-5"/>
        </w:rPr>
        <w:t xml:space="preserve"> </w:t>
      </w:r>
      <w:r>
        <w:t>conducted</w:t>
      </w:r>
      <w:r w:rsidR="0033230A" w:rsidRPr="0033230A">
        <w:t xml:space="preserve">, Illumina, Inc </w:t>
      </w:r>
      <w:r>
        <w:t xml:space="preserve">is the Original Equipment Manufacturer (OEM) of the </w:t>
      </w:r>
      <w:r w:rsidR="00BE5520" w:rsidRPr="00BE5520">
        <w:t>Illumina MiSeq i100 System is uniquely qualified to meet the NIH Clinical Center, Department of Transfusion Medicine (DTM), Infectious Diseases Section’s requirements for next-generation sequencing in support of assay development, optimization, and clinical research related to hepatitis viruses. No other commercially available system provides the same combination of performance, workflow integration, and cost efficiency for small-scale sequencing applications. The Illumina MiSeq i100 System is specifically designed for lower- to moderate-throughput sequencing applications, making it well-suited for assay development and optimization activities. The system provides high-quality sequencing data with consistent performance, enabling accurate evaluation of viral mutations and assay sensitivity. Additionally, the MiSeq i100 offers cost-efficient operation for smaller-scale sequencing needs. Its run configurations are optimized for lower sample volumes, allowing the laboratory to avoid the higher per-run costs associated with larger sequencing systems when full capacity is not required. This results in more efficient use of resources during assay development and validation phases.</w:t>
      </w:r>
    </w:p>
    <w:p w14:paraId="5E787686" w14:textId="77777777" w:rsidR="00BE5520" w:rsidRDefault="00BE5520">
      <w:pPr>
        <w:pStyle w:val="BodyText"/>
        <w:ind w:right="31"/>
      </w:pPr>
    </w:p>
    <w:p w14:paraId="4E445D08" w14:textId="0C41247E" w:rsidR="00A93CD9" w:rsidRDefault="003147A0">
      <w:pPr>
        <w:pStyle w:val="BodyText"/>
        <w:ind w:right="31"/>
      </w:pPr>
      <w:r>
        <w:t>Finally, a review of the GSA Advantage, Dynamic Small Business Search, and previous government acquisitions returned no results that</w:t>
      </w:r>
      <w:r>
        <w:rPr>
          <w:spacing w:val="-1"/>
        </w:rPr>
        <w:t xml:space="preserve"> </w:t>
      </w:r>
      <w:r>
        <w:t>meet all</w:t>
      </w:r>
      <w:r>
        <w:rPr>
          <w:spacing w:val="-1"/>
        </w:rPr>
        <w:t xml:space="preserve"> </w:t>
      </w:r>
      <w:r>
        <w:t>of the requirements.</w:t>
      </w:r>
      <w:r>
        <w:rPr>
          <w:spacing w:val="-1"/>
        </w:rPr>
        <w:t xml:space="preserve"> </w:t>
      </w:r>
      <w:r>
        <w:t xml:space="preserve">Therefore, only </w:t>
      </w:r>
      <w:r w:rsidR="00E33A3A" w:rsidRPr="00E33A3A">
        <w:t>ILLUMINA, INC.</w:t>
      </w:r>
      <w:r w:rsidR="00E33A3A">
        <w:t xml:space="preserve"> </w:t>
      </w:r>
      <w:r>
        <w:t>is capable of meeting the needs of this requirement.</w:t>
      </w:r>
    </w:p>
    <w:p w14:paraId="69C85E3C" w14:textId="77777777" w:rsidR="00017697" w:rsidRDefault="00017697">
      <w:pPr>
        <w:pStyle w:val="BodyText"/>
        <w:ind w:right="31"/>
      </w:pPr>
    </w:p>
    <w:p w14:paraId="0454B1E1" w14:textId="4677605F" w:rsidR="00DB56CC" w:rsidRDefault="003147A0" w:rsidP="00017697">
      <w:pPr>
        <w:pStyle w:val="BodyText"/>
        <w:ind w:right="6057"/>
      </w:pPr>
      <w:r>
        <w:t xml:space="preserve">The intended source </w:t>
      </w:r>
      <w:r w:rsidR="00DB56CC">
        <w:t>is</w:t>
      </w:r>
      <w:r w:rsidR="007140A9">
        <w:t>:</w:t>
      </w:r>
      <w:r>
        <w:t xml:space="preserve"> </w:t>
      </w:r>
    </w:p>
    <w:p w14:paraId="76454F32" w14:textId="3F1784F6" w:rsidR="00017697" w:rsidRDefault="00017697" w:rsidP="00017697">
      <w:pPr>
        <w:pStyle w:val="BodyText"/>
        <w:ind w:right="6057"/>
      </w:pPr>
      <w:r w:rsidRPr="00017697">
        <w:t>ILLUMINA, INC.</w:t>
      </w:r>
    </w:p>
    <w:p w14:paraId="628AF827" w14:textId="77777777" w:rsidR="00820DDB" w:rsidRDefault="00820DDB" w:rsidP="00820DDB">
      <w:pPr>
        <w:pStyle w:val="BodyText"/>
      </w:pPr>
      <w:r>
        <w:t>5200 Illumina Way</w:t>
      </w:r>
    </w:p>
    <w:p w14:paraId="3A5DF325" w14:textId="77777777" w:rsidR="00A93CD9" w:rsidRDefault="00820DDB" w:rsidP="00820DDB">
      <w:pPr>
        <w:pStyle w:val="BodyText"/>
      </w:pPr>
      <w:r>
        <w:t>San Diego, CA 92122-4616</w:t>
      </w:r>
    </w:p>
    <w:p w14:paraId="2750CE71" w14:textId="77777777" w:rsidR="00060239" w:rsidRDefault="00060239" w:rsidP="00820DDB">
      <w:pPr>
        <w:pStyle w:val="BodyText"/>
      </w:pPr>
    </w:p>
    <w:p w14:paraId="4E445D0B" w14:textId="77777777" w:rsidR="00A93CD9" w:rsidRDefault="003147A0">
      <w:pPr>
        <w:pStyle w:val="Heading1"/>
        <w:numPr>
          <w:ilvl w:val="0"/>
          <w:numId w:val="1"/>
        </w:numPr>
        <w:tabs>
          <w:tab w:val="left" w:pos="590"/>
        </w:tabs>
        <w:spacing w:before="28"/>
        <w:ind w:left="590" w:hanging="446"/>
        <w:jc w:val="left"/>
      </w:pPr>
      <w:r>
        <w:t>CLOSING</w:t>
      </w:r>
      <w:r>
        <w:rPr>
          <w:spacing w:val="-6"/>
        </w:rPr>
        <w:t xml:space="preserve"> </w:t>
      </w:r>
      <w:r>
        <w:rPr>
          <w:spacing w:val="-2"/>
        </w:rPr>
        <w:t>STATEMENT</w:t>
      </w:r>
    </w:p>
    <w:p w14:paraId="4E445D0C" w14:textId="77777777" w:rsidR="00A93CD9" w:rsidRDefault="003147A0">
      <w:pPr>
        <w:pStyle w:val="BodyText"/>
      </w:pPr>
      <w:r>
        <w:t>THIS</w:t>
      </w:r>
      <w:r>
        <w:rPr>
          <w:spacing w:val="-7"/>
        </w:rPr>
        <w:t xml:space="preserve"> </w:t>
      </w:r>
      <w:r>
        <w:t>SYNOPSIS</w:t>
      </w:r>
      <w:r>
        <w:rPr>
          <w:spacing w:val="-4"/>
        </w:rPr>
        <w:t xml:space="preserve"> </w:t>
      </w:r>
      <w:r>
        <w:t>IS</w:t>
      </w:r>
      <w:r>
        <w:rPr>
          <w:spacing w:val="-6"/>
        </w:rPr>
        <w:t xml:space="preserve"> </w:t>
      </w:r>
      <w:r>
        <w:t>NOT</w:t>
      </w:r>
      <w:r>
        <w:rPr>
          <w:spacing w:val="-4"/>
        </w:rPr>
        <w:t xml:space="preserve"> </w:t>
      </w:r>
      <w:r>
        <w:t>A</w:t>
      </w:r>
      <w:r>
        <w:rPr>
          <w:spacing w:val="-5"/>
        </w:rPr>
        <w:t xml:space="preserve"> </w:t>
      </w:r>
      <w:r>
        <w:t>REQUEST</w:t>
      </w:r>
      <w:r>
        <w:rPr>
          <w:spacing w:val="-4"/>
        </w:rPr>
        <w:t xml:space="preserve"> </w:t>
      </w:r>
      <w:r>
        <w:t>FOR</w:t>
      </w:r>
      <w:r>
        <w:rPr>
          <w:spacing w:val="-4"/>
        </w:rPr>
        <w:t xml:space="preserve"> </w:t>
      </w:r>
      <w:r>
        <w:t>COMPETITIVE</w:t>
      </w:r>
      <w:r>
        <w:rPr>
          <w:spacing w:val="-9"/>
        </w:rPr>
        <w:t xml:space="preserve"> </w:t>
      </w:r>
      <w:r>
        <w:t>PROPOSALS.</w:t>
      </w:r>
      <w:r>
        <w:rPr>
          <w:spacing w:val="-5"/>
        </w:rPr>
        <w:t xml:space="preserve"> </w:t>
      </w:r>
      <w:r>
        <w:t>However,</w:t>
      </w:r>
      <w:r>
        <w:rPr>
          <w:spacing w:val="-4"/>
        </w:rPr>
        <w:t xml:space="preserve"> </w:t>
      </w:r>
      <w:r>
        <w:rPr>
          <w:spacing w:val="-2"/>
        </w:rPr>
        <w:t>interested</w:t>
      </w:r>
    </w:p>
    <w:p w14:paraId="4E445D0D" w14:textId="77777777" w:rsidR="00A93CD9" w:rsidRDefault="003147A0">
      <w:pPr>
        <w:pStyle w:val="BodyText"/>
        <w:spacing w:before="1"/>
      </w:pPr>
      <w:r>
        <w:t>parties</w:t>
      </w:r>
      <w:r>
        <w:rPr>
          <w:spacing w:val="-7"/>
        </w:rPr>
        <w:t xml:space="preserve"> </w:t>
      </w:r>
      <w:r>
        <w:t>may</w:t>
      </w:r>
      <w:r>
        <w:rPr>
          <w:spacing w:val="-5"/>
        </w:rPr>
        <w:t xml:space="preserve"> </w:t>
      </w:r>
      <w:r>
        <w:t>identify</w:t>
      </w:r>
      <w:r>
        <w:rPr>
          <w:spacing w:val="-5"/>
        </w:rPr>
        <w:t xml:space="preserve"> </w:t>
      </w:r>
      <w:r>
        <w:t>their</w:t>
      </w:r>
      <w:r>
        <w:rPr>
          <w:spacing w:val="-5"/>
        </w:rPr>
        <w:t xml:space="preserve"> </w:t>
      </w:r>
      <w:r>
        <w:t>interest</w:t>
      </w:r>
      <w:r>
        <w:rPr>
          <w:spacing w:val="-5"/>
        </w:rPr>
        <w:t xml:space="preserve"> </w:t>
      </w:r>
      <w:r>
        <w:t>and</w:t>
      </w:r>
      <w:r>
        <w:rPr>
          <w:spacing w:val="-5"/>
        </w:rPr>
        <w:t xml:space="preserve"> </w:t>
      </w:r>
      <w:r>
        <w:t>capability</w:t>
      </w:r>
      <w:r>
        <w:rPr>
          <w:spacing w:val="-4"/>
        </w:rPr>
        <w:t xml:space="preserve"> </w:t>
      </w:r>
      <w:r>
        <w:t>to</w:t>
      </w:r>
      <w:r>
        <w:rPr>
          <w:spacing w:val="-2"/>
        </w:rPr>
        <w:t xml:space="preserve"> </w:t>
      </w:r>
      <w:r>
        <w:t>respond</w:t>
      </w:r>
      <w:r>
        <w:rPr>
          <w:spacing w:val="-4"/>
        </w:rPr>
        <w:t xml:space="preserve"> </w:t>
      </w:r>
      <w:r>
        <w:t>to</w:t>
      </w:r>
      <w:r>
        <w:rPr>
          <w:spacing w:val="-2"/>
        </w:rPr>
        <w:t xml:space="preserve"> </w:t>
      </w:r>
      <w:r>
        <w:t>this</w:t>
      </w:r>
      <w:r>
        <w:rPr>
          <w:spacing w:val="-2"/>
        </w:rPr>
        <w:t xml:space="preserve"> notice.</w:t>
      </w:r>
    </w:p>
    <w:p w14:paraId="4E445D0E" w14:textId="77777777" w:rsidR="00A93CD9" w:rsidRDefault="003147A0">
      <w:pPr>
        <w:pStyle w:val="BodyText"/>
        <w:spacing w:before="266"/>
        <w:ind w:right="31"/>
      </w:pPr>
      <w:r>
        <w:t xml:space="preserve">A determination by the Government not to compete this proposed contract based upon responses to this notice </w:t>
      </w:r>
      <w:r>
        <w:lastRenderedPageBreak/>
        <w:t>is solely within the discretion of the Government. All responsible sources may submit a capability statement, proposal, or quotation which shall be considered by the agency. The information received will normally be considered solely for the purposes of determining whether to proceed on a non-competitive basis or to conduct a competitive procurement.</w:t>
      </w:r>
      <w:r>
        <w:rPr>
          <w:spacing w:val="-4"/>
        </w:rPr>
        <w:t xml:space="preserve"> </w:t>
      </w:r>
      <w:r>
        <w:t>This</w:t>
      </w:r>
      <w:r>
        <w:rPr>
          <w:spacing w:val="-2"/>
        </w:rPr>
        <w:t xml:space="preserve"> </w:t>
      </w:r>
      <w:r>
        <w:t>notice</w:t>
      </w:r>
      <w:r>
        <w:rPr>
          <w:spacing w:val="-4"/>
        </w:rPr>
        <w:t xml:space="preserve"> </w:t>
      </w:r>
      <w:r>
        <w:t>does</w:t>
      </w:r>
      <w:r>
        <w:rPr>
          <w:spacing w:val="-1"/>
        </w:rPr>
        <w:t xml:space="preserve"> </w:t>
      </w:r>
      <w:r>
        <w:t>not</w:t>
      </w:r>
      <w:r>
        <w:rPr>
          <w:spacing w:val="-4"/>
        </w:rPr>
        <w:t xml:space="preserve"> </w:t>
      </w:r>
      <w:r>
        <w:t>obligate</w:t>
      </w:r>
      <w:r>
        <w:rPr>
          <w:spacing w:val="-2"/>
        </w:rPr>
        <w:t xml:space="preserve"> </w:t>
      </w:r>
      <w:r>
        <w:t>the</w:t>
      </w:r>
      <w:r>
        <w:rPr>
          <w:spacing w:val="-4"/>
        </w:rPr>
        <w:t xml:space="preserve"> </w:t>
      </w:r>
      <w:r>
        <w:t>Government</w:t>
      </w:r>
      <w:r>
        <w:rPr>
          <w:spacing w:val="-4"/>
        </w:rPr>
        <w:t xml:space="preserve"> </w:t>
      </w:r>
      <w:r>
        <w:t>to</w:t>
      </w:r>
      <w:r>
        <w:rPr>
          <w:spacing w:val="-3"/>
        </w:rPr>
        <w:t xml:space="preserve"> </w:t>
      </w:r>
      <w:r>
        <w:t>award</w:t>
      </w:r>
      <w:r>
        <w:rPr>
          <w:spacing w:val="-3"/>
        </w:rPr>
        <w:t xml:space="preserve"> </w:t>
      </w:r>
      <w:r>
        <w:t>a</w:t>
      </w:r>
      <w:r>
        <w:rPr>
          <w:spacing w:val="-4"/>
        </w:rPr>
        <w:t xml:space="preserve"> </w:t>
      </w:r>
      <w:r>
        <w:t>contract</w:t>
      </w:r>
      <w:r>
        <w:rPr>
          <w:spacing w:val="-5"/>
        </w:rPr>
        <w:t xml:space="preserve"> </w:t>
      </w:r>
      <w:r>
        <w:t>or</w:t>
      </w:r>
      <w:r>
        <w:rPr>
          <w:spacing w:val="-4"/>
        </w:rPr>
        <w:t xml:space="preserve"> </w:t>
      </w:r>
      <w:r>
        <w:t>otherwise pay for the information provided in response.</w:t>
      </w:r>
    </w:p>
    <w:p w14:paraId="4E445D0F" w14:textId="77777777" w:rsidR="00A93CD9" w:rsidRDefault="00A93CD9">
      <w:pPr>
        <w:pStyle w:val="BodyText"/>
        <w:spacing w:before="3"/>
        <w:ind w:left="0"/>
      </w:pPr>
    </w:p>
    <w:p w14:paraId="4E445D10" w14:textId="77777777" w:rsidR="00A93CD9" w:rsidRDefault="003147A0">
      <w:pPr>
        <w:pStyle w:val="BodyText"/>
        <w:ind w:right="31"/>
      </w:pPr>
      <w:r>
        <w:t>Responses to this notice shall contain sufficient information to establish the interested parties' bona-fide capabilities for fulfilling the requirement and include: unit price, list price, shipping and handling costs, the delivery period after contract award, the prompt payment discount</w:t>
      </w:r>
      <w:r>
        <w:rPr>
          <w:spacing w:val="-3"/>
        </w:rPr>
        <w:t xml:space="preserve"> </w:t>
      </w:r>
      <w:r>
        <w:t>terms,</w:t>
      </w:r>
      <w:r>
        <w:rPr>
          <w:spacing w:val="-3"/>
        </w:rPr>
        <w:t xml:space="preserve"> </w:t>
      </w:r>
      <w:r>
        <w:t>the</w:t>
      </w:r>
      <w:r>
        <w:rPr>
          <w:spacing w:val="-3"/>
        </w:rPr>
        <w:t xml:space="preserve"> </w:t>
      </w:r>
      <w:r>
        <w:t>F.O.B.</w:t>
      </w:r>
      <w:r>
        <w:rPr>
          <w:spacing w:val="-6"/>
        </w:rPr>
        <w:t xml:space="preserve"> </w:t>
      </w:r>
      <w:r>
        <w:t>Point</w:t>
      </w:r>
      <w:r>
        <w:rPr>
          <w:spacing w:val="-5"/>
        </w:rPr>
        <w:t xml:space="preserve"> </w:t>
      </w:r>
      <w:r>
        <w:t>(Destination</w:t>
      </w:r>
      <w:r>
        <w:rPr>
          <w:spacing w:val="-6"/>
        </w:rPr>
        <w:t xml:space="preserve"> </w:t>
      </w:r>
      <w:r>
        <w:t>or</w:t>
      </w:r>
      <w:r>
        <w:rPr>
          <w:spacing w:val="-3"/>
        </w:rPr>
        <w:t xml:space="preserve"> </w:t>
      </w:r>
      <w:r>
        <w:t>Origin),</w:t>
      </w:r>
      <w:r>
        <w:rPr>
          <w:spacing w:val="-3"/>
        </w:rPr>
        <w:t xml:space="preserve"> </w:t>
      </w:r>
      <w:r>
        <w:t>the</w:t>
      </w:r>
      <w:r>
        <w:rPr>
          <w:spacing w:val="-1"/>
        </w:rPr>
        <w:t xml:space="preserve"> </w:t>
      </w:r>
      <w:r>
        <w:t>Unique</w:t>
      </w:r>
      <w:r>
        <w:rPr>
          <w:spacing w:val="-3"/>
        </w:rPr>
        <w:t xml:space="preserve"> </w:t>
      </w:r>
      <w:r>
        <w:t>Entity</w:t>
      </w:r>
      <w:r>
        <w:rPr>
          <w:spacing w:val="-1"/>
        </w:rPr>
        <w:t xml:space="preserve"> </w:t>
      </w:r>
      <w:r>
        <w:t>Identifier</w:t>
      </w:r>
      <w:r>
        <w:rPr>
          <w:spacing w:val="-2"/>
        </w:rPr>
        <w:t xml:space="preserve"> </w:t>
      </w:r>
      <w:r>
        <w:t>(UEI),</w:t>
      </w:r>
      <w:r>
        <w:rPr>
          <w:spacing w:val="-3"/>
        </w:rPr>
        <w:t xml:space="preserve"> </w:t>
      </w:r>
      <w:r>
        <w:t xml:space="preserve">the Taxpayer Identification Number (TIN), and the certification of business size. All offerors must have an active registration in the System for Award Management (SAM) </w:t>
      </w:r>
      <w:hyperlink r:id="rId6">
        <w:r>
          <w:t>www.sam.gov.</w:t>
        </w:r>
      </w:hyperlink>
    </w:p>
    <w:p w14:paraId="4E445D11" w14:textId="5F42BA3F" w:rsidR="00A93CD9" w:rsidRDefault="003147A0">
      <w:pPr>
        <w:pStyle w:val="BodyText"/>
        <w:spacing w:before="268"/>
      </w:pPr>
      <w:r>
        <w:t>All</w:t>
      </w:r>
      <w:r>
        <w:rPr>
          <w:spacing w:val="-2"/>
        </w:rPr>
        <w:t xml:space="preserve"> </w:t>
      </w:r>
      <w:r>
        <w:t>responses</w:t>
      </w:r>
      <w:r>
        <w:rPr>
          <w:spacing w:val="-4"/>
        </w:rPr>
        <w:t xml:space="preserve"> </w:t>
      </w:r>
      <w:r>
        <w:t>must</w:t>
      </w:r>
      <w:r>
        <w:rPr>
          <w:spacing w:val="-1"/>
        </w:rPr>
        <w:t xml:space="preserve"> </w:t>
      </w:r>
      <w:r>
        <w:t>be</w:t>
      </w:r>
      <w:r>
        <w:rPr>
          <w:spacing w:val="-2"/>
        </w:rPr>
        <w:t xml:space="preserve"> </w:t>
      </w:r>
      <w:r>
        <w:t>received</w:t>
      </w:r>
      <w:r>
        <w:rPr>
          <w:spacing w:val="-2"/>
        </w:rPr>
        <w:t xml:space="preserve"> </w:t>
      </w:r>
      <w:r>
        <w:t>by</w:t>
      </w:r>
      <w:r>
        <w:rPr>
          <w:spacing w:val="-4"/>
        </w:rPr>
        <w:t xml:space="preserve"> </w:t>
      </w:r>
      <w:r>
        <w:t>the</w:t>
      </w:r>
      <w:r>
        <w:rPr>
          <w:spacing w:val="-4"/>
        </w:rPr>
        <w:t xml:space="preserve"> </w:t>
      </w:r>
      <w:r>
        <w:t>closing</w:t>
      </w:r>
      <w:r>
        <w:rPr>
          <w:spacing w:val="-3"/>
        </w:rPr>
        <w:t xml:space="preserve"> </w:t>
      </w:r>
      <w:r>
        <w:t>date</w:t>
      </w:r>
      <w:r>
        <w:rPr>
          <w:spacing w:val="-2"/>
        </w:rPr>
        <w:t xml:space="preserve"> </w:t>
      </w:r>
      <w:r>
        <w:t>and</w:t>
      </w:r>
      <w:r>
        <w:rPr>
          <w:spacing w:val="-6"/>
        </w:rPr>
        <w:t xml:space="preserve"> </w:t>
      </w:r>
      <w:r>
        <w:t>time</w:t>
      </w:r>
      <w:r>
        <w:rPr>
          <w:spacing w:val="-4"/>
        </w:rPr>
        <w:t xml:space="preserve"> </w:t>
      </w:r>
      <w:r>
        <w:t>of</w:t>
      </w:r>
      <w:r>
        <w:rPr>
          <w:spacing w:val="-2"/>
        </w:rPr>
        <w:t xml:space="preserve"> </w:t>
      </w:r>
      <w:r>
        <w:t>this</w:t>
      </w:r>
      <w:r>
        <w:rPr>
          <w:spacing w:val="-5"/>
        </w:rPr>
        <w:t xml:space="preserve"> </w:t>
      </w:r>
      <w:r>
        <w:t>announcement</w:t>
      </w:r>
      <w:r>
        <w:rPr>
          <w:spacing w:val="-2"/>
        </w:rPr>
        <w:t xml:space="preserve"> </w:t>
      </w:r>
      <w:r>
        <w:t>and</w:t>
      </w:r>
      <w:r>
        <w:rPr>
          <w:spacing w:val="-3"/>
        </w:rPr>
        <w:t xml:space="preserve"> </w:t>
      </w:r>
      <w:r>
        <w:t xml:space="preserve">must reference the solicitation number, </w:t>
      </w:r>
      <w:r w:rsidR="00FB5ECE" w:rsidRPr="00FB5ECE">
        <w:rPr>
          <w:b/>
        </w:rPr>
        <w:t>26-005169</w:t>
      </w:r>
      <w:r>
        <w:t xml:space="preserve">. Responses must be submitted electronically to </w:t>
      </w:r>
      <w:r w:rsidR="00FB5ECE">
        <w:t xml:space="preserve">Gregory Noland, Contract </w:t>
      </w:r>
      <w:r>
        <w:t xml:space="preserve">Specialist, </w:t>
      </w:r>
      <w:hyperlink r:id="rId7" w:history="1">
        <w:r w:rsidR="00FF4ED2" w:rsidRPr="00AA4534">
          <w:rPr>
            <w:rStyle w:val="Hyperlink"/>
          </w:rPr>
          <w:t>gregory.noland@nih.gov</w:t>
        </w:r>
      </w:hyperlink>
      <w:r>
        <w:t>.</w:t>
      </w:r>
    </w:p>
    <w:sectPr w:rsidR="00A93CD9" w:rsidSect="00DB56CC">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151D9"/>
    <w:multiLevelType w:val="hybridMultilevel"/>
    <w:tmpl w:val="79F052D0"/>
    <w:lvl w:ilvl="0" w:tplc="FFFFFFFF">
      <w:start w:val="1"/>
      <w:numFmt w:val="bullet"/>
      <w:lvlText w:val=""/>
      <w:lvlJc w:val="left"/>
      <w:pPr>
        <w:ind w:left="1404" w:hanging="360"/>
      </w:pPr>
      <w:rPr>
        <w:rFonts w:ascii="Wingdings" w:hAnsi="Wingdings" w:hint="default"/>
        <w:sz w:val="22"/>
      </w:rPr>
    </w:lvl>
    <w:lvl w:ilvl="1" w:tplc="04090003" w:tentative="1">
      <w:start w:val="1"/>
      <w:numFmt w:val="bullet"/>
      <w:lvlText w:val="o"/>
      <w:lvlJc w:val="left"/>
      <w:pPr>
        <w:ind w:left="2124" w:hanging="360"/>
      </w:pPr>
      <w:rPr>
        <w:rFonts w:ascii="Courier New" w:hAnsi="Courier New" w:cs="Courier New" w:hint="default"/>
      </w:rPr>
    </w:lvl>
    <w:lvl w:ilvl="2" w:tplc="04090005">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1" w15:restartNumberingAfterBreak="0">
    <w:nsid w:val="2FAC0E5B"/>
    <w:multiLevelType w:val="hybridMultilevel"/>
    <w:tmpl w:val="B9D83D96"/>
    <w:lvl w:ilvl="0" w:tplc="F8DA7FDE">
      <w:start w:val="1"/>
      <w:numFmt w:val="upperRoman"/>
      <w:lvlText w:val="%1."/>
      <w:lvlJc w:val="left"/>
      <w:pPr>
        <w:ind w:left="593" w:hanging="260"/>
        <w:jc w:val="right"/>
      </w:pPr>
      <w:rPr>
        <w:rFonts w:ascii="Calibri" w:eastAsia="Calibri" w:hAnsi="Calibri" w:cs="Calibri" w:hint="default"/>
        <w:b/>
        <w:bCs/>
        <w:i w:val="0"/>
        <w:iCs w:val="0"/>
        <w:spacing w:val="0"/>
        <w:w w:val="100"/>
        <w:sz w:val="22"/>
        <w:szCs w:val="22"/>
        <w:lang w:val="en-US" w:eastAsia="en-US" w:bidi="ar-SA"/>
      </w:rPr>
    </w:lvl>
    <w:lvl w:ilvl="1" w:tplc="E1202E3A">
      <w:start w:val="1"/>
      <w:numFmt w:val="upperLetter"/>
      <w:lvlText w:val="%2."/>
      <w:lvlJc w:val="left"/>
      <w:pPr>
        <w:ind w:left="811" w:hanging="360"/>
        <w:jc w:val="left"/>
      </w:pPr>
      <w:rPr>
        <w:rFonts w:ascii="Calibri" w:eastAsia="Calibri" w:hAnsi="Calibri" w:cs="Calibri" w:hint="default"/>
        <w:b/>
        <w:bCs/>
        <w:i w:val="0"/>
        <w:iCs w:val="0"/>
        <w:spacing w:val="0"/>
        <w:w w:val="100"/>
        <w:sz w:val="22"/>
        <w:szCs w:val="22"/>
        <w:lang w:val="en-US" w:eastAsia="en-US" w:bidi="ar-SA"/>
      </w:rPr>
    </w:lvl>
    <w:lvl w:ilvl="2" w:tplc="CCCE91BA">
      <w:numFmt w:val="bullet"/>
      <w:lvlText w:val="•"/>
      <w:lvlJc w:val="left"/>
      <w:pPr>
        <w:ind w:left="1728" w:hanging="360"/>
      </w:pPr>
      <w:rPr>
        <w:rFonts w:hint="default"/>
        <w:lang w:val="en-US" w:eastAsia="en-US" w:bidi="ar-SA"/>
      </w:rPr>
    </w:lvl>
    <w:lvl w:ilvl="3" w:tplc="129E73E6">
      <w:numFmt w:val="bullet"/>
      <w:lvlText w:val="•"/>
      <w:lvlJc w:val="left"/>
      <w:pPr>
        <w:ind w:left="2637" w:hanging="360"/>
      </w:pPr>
      <w:rPr>
        <w:rFonts w:hint="default"/>
        <w:lang w:val="en-US" w:eastAsia="en-US" w:bidi="ar-SA"/>
      </w:rPr>
    </w:lvl>
    <w:lvl w:ilvl="4" w:tplc="C9B6F314">
      <w:numFmt w:val="bullet"/>
      <w:lvlText w:val="•"/>
      <w:lvlJc w:val="left"/>
      <w:pPr>
        <w:ind w:left="3546" w:hanging="360"/>
      </w:pPr>
      <w:rPr>
        <w:rFonts w:hint="default"/>
        <w:lang w:val="en-US" w:eastAsia="en-US" w:bidi="ar-SA"/>
      </w:rPr>
    </w:lvl>
    <w:lvl w:ilvl="5" w:tplc="FA367FB2">
      <w:numFmt w:val="bullet"/>
      <w:lvlText w:val="•"/>
      <w:lvlJc w:val="left"/>
      <w:pPr>
        <w:ind w:left="4455" w:hanging="360"/>
      </w:pPr>
      <w:rPr>
        <w:rFonts w:hint="default"/>
        <w:lang w:val="en-US" w:eastAsia="en-US" w:bidi="ar-SA"/>
      </w:rPr>
    </w:lvl>
    <w:lvl w:ilvl="6" w:tplc="6EFAFAAA">
      <w:numFmt w:val="bullet"/>
      <w:lvlText w:val="•"/>
      <w:lvlJc w:val="left"/>
      <w:pPr>
        <w:ind w:left="5364" w:hanging="360"/>
      </w:pPr>
      <w:rPr>
        <w:rFonts w:hint="default"/>
        <w:lang w:val="en-US" w:eastAsia="en-US" w:bidi="ar-SA"/>
      </w:rPr>
    </w:lvl>
    <w:lvl w:ilvl="7" w:tplc="14649FB6">
      <w:numFmt w:val="bullet"/>
      <w:lvlText w:val="•"/>
      <w:lvlJc w:val="left"/>
      <w:pPr>
        <w:ind w:left="6273" w:hanging="360"/>
      </w:pPr>
      <w:rPr>
        <w:rFonts w:hint="default"/>
        <w:lang w:val="en-US" w:eastAsia="en-US" w:bidi="ar-SA"/>
      </w:rPr>
    </w:lvl>
    <w:lvl w:ilvl="8" w:tplc="85826B9C">
      <w:numFmt w:val="bullet"/>
      <w:lvlText w:val="•"/>
      <w:lvlJc w:val="left"/>
      <w:pPr>
        <w:ind w:left="7182" w:hanging="360"/>
      </w:pPr>
      <w:rPr>
        <w:rFonts w:hint="default"/>
        <w:lang w:val="en-US" w:eastAsia="en-US" w:bidi="ar-SA"/>
      </w:rPr>
    </w:lvl>
  </w:abstractNum>
  <w:abstractNum w:abstractNumId="2" w15:restartNumberingAfterBreak="0">
    <w:nsid w:val="3F2C2EA7"/>
    <w:multiLevelType w:val="hybridMultilevel"/>
    <w:tmpl w:val="6E5E8E52"/>
    <w:lvl w:ilvl="0" w:tplc="75C0A8B4">
      <w:numFmt w:val="bullet"/>
      <w:lvlText w:val="•"/>
      <w:lvlJc w:val="left"/>
      <w:pPr>
        <w:ind w:left="1440" w:hanging="756"/>
      </w:pPr>
      <w:rPr>
        <w:rFonts w:ascii="Calibri" w:eastAsia="Calibri" w:hAnsi="Calibri" w:cs="Calibri"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3" w15:restartNumberingAfterBreak="0">
    <w:nsid w:val="4933755A"/>
    <w:multiLevelType w:val="hybridMultilevel"/>
    <w:tmpl w:val="ADEA5C70"/>
    <w:lvl w:ilvl="0" w:tplc="8BB8A6C6">
      <w:start w:val="1"/>
      <w:numFmt w:val="decimal"/>
      <w:lvlText w:val="%1."/>
      <w:lvlJc w:val="left"/>
      <w:pPr>
        <w:ind w:left="1080" w:hanging="720"/>
        <w:jc w:val="left"/>
      </w:pPr>
      <w:rPr>
        <w:rFonts w:ascii="Calibri" w:eastAsia="Calibri" w:hAnsi="Calibri" w:cs="Calibri" w:hint="default"/>
        <w:b/>
        <w:bCs/>
        <w:i w:val="0"/>
        <w:iCs w:val="0"/>
        <w:spacing w:val="0"/>
        <w:w w:val="100"/>
        <w:sz w:val="22"/>
        <w:szCs w:val="22"/>
        <w:lang w:val="en-US" w:eastAsia="en-US" w:bidi="ar-SA"/>
      </w:rPr>
    </w:lvl>
    <w:lvl w:ilvl="1" w:tplc="A5BCA68C">
      <w:numFmt w:val="bullet"/>
      <w:lvlText w:val="•"/>
      <w:lvlJc w:val="left"/>
      <w:pPr>
        <w:ind w:left="1872" w:hanging="720"/>
      </w:pPr>
      <w:rPr>
        <w:rFonts w:hint="default"/>
        <w:lang w:val="en-US" w:eastAsia="en-US" w:bidi="ar-SA"/>
      </w:rPr>
    </w:lvl>
    <w:lvl w:ilvl="2" w:tplc="BA2CD420">
      <w:numFmt w:val="bullet"/>
      <w:lvlText w:val="•"/>
      <w:lvlJc w:val="left"/>
      <w:pPr>
        <w:ind w:left="2664" w:hanging="720"/>
      </w:pPr>
      <w:rPr>
        <w:rFonts w:hint="default"/>
        <w:lang w:val="en-US" w:eastAsia="en-US" w:bidi="ar-SA"/>
      </w:rPr>
    </w:lvl>
    <w:lvl w:ilvl="3" w:tplc="6A2461E0">
      <w:numFmt w:val="bullet"/>
      <w:lvlText w:val="•"/>
      <w:lvlJc w:val="left"/>
      <w:pPr>
        <w:ind w:left="3456" w:hanging="720"/>
      </w:pPr>
      <w:rPr>
        <w:rFonts w:hint="default"/>
        <w:lang w:val="en-US" w:eastAsia="en-US" w:bidi="ar-SA"/>
      </w:rPr>
    </w:lvl>
    <w:lvl w:ilvl="4" w:tplc="626C64CC">
      <w:numFmt w:val="bullet"/>
      <w:lvlText w:val="•"/>
      <w:lvlJc w:val="left"/>
      <w:pPr>
        <w:ind w:left="4248" w:hanging="720"/>
      </w:pPr>
      <w:rPr>
        <w:rFonts w:hint="default"/>
        <w:lang w:val="en-US" w:eastAsia="en-US" w:bidi="ar-SA"/>
      </w:rPr>
    </w:lvl>
    <w:lvl w:ilvl="5" w:tplc="84AC3E34">
      <w:numFmt w:val="bullet"/>
      <w:lvlText w:val="•"/>
      <w:lvlJc w:val="left"/>
      <w:pPr>
        <w:ind w:left="5040" w:hanging="720"/>
      </w:pPr>
      <w:rPr>
        <w:rFonts w:hint="default"/>
        <w:lang w:val="en-US" w:eastAsia="en-US" w:bidi="ar-SA"/>
      </w:rPr>
    </w:lvl>
    <w:lvl w:ilvl="6" w:tplc="AA2847D2">
      <w:numFmt w:val="bullet"/>
      <w:lvlText w:val="•"/>
      <w:lvlJc w:val="left"/>
      <w:pPr>
        <w:ind w:left="5832" w:hanging="720"/>
      </w:pPr>
      <w:rPr>
        <w:rFonts w:hint="default"/>
        <w:lang w:val="en-US" w:eastAsia="en-US" w:bidi="ar-SA"/>
      </w:rPr>
    </w:lvl>
    <w:lvl w:ilvl="7" w:tplc="AF96BE5C">
      <w:numFmt w:val="bullet"/>
      <w:lvlText w:val="•"/>
      <w:lvlJc w:val="left"/>
      <w:pPr>
        <w:ind w:left="6624" w:hanging="720"/>
      </w:pPr>
      <w:rPr>
        <w:rFonts w:hint="default"/>
        <w:lang w:val="en-US" w:eastAsia="en-US" w:bidi="ar-SA"/>
      </w:rPr>
    </w:lvl>
    <w:lvl w:ilvl="8" w:tplc="51FA6E80">
      <w:numFmt w:val="bullet"/>
      <w:lvlText w:val="•"/>
      <w:lvlJc w:val="left"/>
      <w:pPr>
        <w:ind w:left="7416" w:hanging="720"/>
      </w:pPr>
      <w:rPr>
        <w:rFonts w:hint="default"/>
        <w:lang w:val="en-US" w:eastAsia="en-US" w:bidi="ar-SA"/>
      </w:rPr>
    </w:lvl>
  </w:abstractNum>
  <w:num w:numId="1" w16cid:durableId="1607272295">
    <w:abstractNumId w:val="1"/>
  </w:num>
  <w:num w:numId="2" w16cid:durableId="630404587">
    <w:abstractNumId w:val="3"/>
  </w:num>
  <w:num w:numId="3" w16cid:durableId="21168902">
    <w:abstractNumId w:val="0"/>
  </w:num>
  <w:num w:numId="4" w16cid:durableId="1979336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CD9"/>
    <w:rsid w:val="00017697"/>
    <w:rsid w:val="00060239"/>
    <w:rsid w:val="00157568"/>
    <w:rsid w:val="002250FC"/>
    <w:rsid w:val="002504F1"/>
    <w:rsid w:val="002C2AC0"/>
    <w:rsid w:val="002E57D7"/>
    <w:rsid w:val="003147A0"/>
    <w:rsid w:val="0033230A"/>
    <w:rsid w:val="003E3EB0"/>
    <w:rsid w:val="00421751"/>
    <w:rsid w:val="006139FE"/>
    <w:rsid w:val="007140A9"/>
    <w:rsid w:val="00820DDB"/>
    <w:rsid w:val="00A10E36"/>
    <w:rsid w:val="00A85F0D"/>
    <w:rsid w:val="00A93CD9"/>
    <w:rsid w:val="00BE5520"/>
    <w:rsid w:val="00C15C9D"/>
    <w:rsid w:val="00C2677F"/>
    <w:rsid w:val="00D40D26"/>
    <w:rsid w:val="00DB56CC"/>
    <w:rsid w:val="00E33A3A"/>
    <w:rsid w:val="00EA2B33"/>
    <w:rsid w:val="00EB0F26"/>
    <w:rsid w:val="00F42ECC"/>
    <w:rsid w:val="00FB5ECE"/>
    <w:rsid w:val="00FF4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45CE5"/>
  <w15:docId w15:val="{A4A604F5-0697-443A-B4CF-8CBC98969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93" w:hanging="35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3"/>
    </w:pPr>
  </w:style>
  <w:style w:type="paragraph" w:styleId="ListParagraph">
    <w:name w:val="List Paragraph"/>
    <w:basedOn w:val="Normal"/>
    <w:uiPriority w:val="1"/>
    <w:qFormat/>
    <w:pPr>
      <w:ind w:left="1080" w:hanging="72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42ECC"/>
    <w:rPr>
      <w:color w:val="0000FF" w:themeColor="hyperlink"/>
      <w:u w:val="single"/>
    </w:rPr>
  </w:style>
  <w:style w:type="character" w:styleId="UnresolvedMention">
    <w:name w:val="Unresolved Mention"/>
    <w:basedOn w:val="DefaultParagraphFont"/>
    <w:uiPriority w:val="99"/>
    <w:semiHidden/>
    <w:unhideWhenUsed/>
    <w:rsid w:val="00F42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regory.noland@nih.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m.gov/" TargetMode="External"/><Relationship Id="rId5" Type="http://schemas.openxmlformats.org/officeDocument/2006/relationships/hyperlink" Target="mailto:gregory.noland@nih.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108</TotalTime>
  <Pages>3</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antoninimp</dc:creator>
  <cp:lastModifiedBy>Noland, Gregory (NIH/OD) [E]</cp:lastModifiedBy>
  <cp:revision>22</cp:revision>
  <dcterms:created xsi:type="dcterms:W3CDTF">2026-04-30T16:06:00Z</dcterms:created>
  <dcterms:modified xsi:type="dcterms:W3CDTF">2026-05-04T14:18:00Z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for Microsoft 365</vt:lpwstr>
  </property>
  <property fmtid="{D5CDD505-2E9C-101B-9397-08002B2CF9AE}" pid="4" name="LastSaved">
    <vt:filetime>2026-04-30T00:00:00Z</vt:filetime>
  </property>
  <property fmtid="{D5CDD505-2E9C-101B-9397-08002B2CF9AE}" pid="5" name="Producer">
    <vt:lpwstr>Microsoft® Word for Microsoft 365</vt:lpwstr>
  </property>
</Properties>
</file>