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F5CF" w14:textId="77777777" w:rsidR="00047A90" w:rsidRPr="00047A90" w:rsidRDefault="00047A90" w:rsidP="00047A90">
      <w:pPr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047A90">
        <w:rPr>
          <w:rFonts w:eastAsia="Times New Roman" w:cs="Times New Roman"/>
          <w:b/>
          <w:bCs/>
          <w:color w:val="000000" w:themeColor="text1"/>
          <w:sz w:val="28"/>
          <w:szCs w:val="28"/>
        </w:rPr>
        <w:t>Attachment 1: Draft Capability Areas</w:t>
      </w:r>
    </w:p>
    <w:p w14:paraId="419FDA45" w14:textId="77777777" w:rsidR="00047A90" w:rsidRPr="00047A90" w:rsidRDefault="00047A90" w:rsidP="00047A90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47A90">
        <w:rPr>
          <w:rStyle w:val="normaltextrun"/>
          <w:rFonts w:eastAsiaTheme="majorEastAsia"/>
          <w:sz w:val="28"/>
          <w:szCs w:val="28"/>
        </w:rPr>
        <w:t xml:space="preserve">The </w:t>
      </w:r>
      <w:proofErr w:type="spellStart"/>
      <w:r w:rsidRPr="00047A90">
        <w:rPr>
          <w:rStyle w:val="normaltextrun"/>
          <w:rFonts w:eastAsiaTheme="majorEastAsia"/>
          <w:sz w:val="28"/>
          <w:szCs w:val="28"/>
        </w:rPr>
        <w:t>DiPSS</w:t>
      </w:r>
      <w:proofErr w:type="spellEnd"/>
      <w:r w:rsidRPr="00047A90">
        <w:rPr>
          <w:rStyle w:val="normaltextrun"/>
          <w:rFonts w:eastAsiaTheme="majorEastAsia"/>
          <w:sz w:val="28"/>
          <w:szCs w:val="28"/>
        </w:rPr>
        <w:t xml:space="preserve"> II IDIQ will establish seven (7) overarching capability areas that the Contractors will be required to support. Each capability area has several illustrative but not exhaustive sub-capability areas and an associated primary objective: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4746"/>
        <w:gridCol w:w="2629"/>
      </w:tblGrid>
      <w:tr w:rsidR="00047A90" w:rsidRPr="00047A90" w14:paraId="7EDD7572" w14:textId="77777777" w:rsidTr="00973FE0">
        <w:tc>
          <w:tcPr>
            <w:tcW w:w="1795" w:type="dxa"/>
          </w:tcPr>
          <w:p w14:paraId="2C855B44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</w:pPr>
            <w:r w:rsidRPr="00047A90"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  <w:t>CAPABILITY AREA</w:t>
            </w:r>
          </w:p>
        </w:tc>
        <w:tc>
          <w:tcPr>
            <w:tcW w:w="4860" w:type="dxa"/>
          </w:tcPr>
          <w:p w14:paraId="130AFD26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</w:pPr>
            <w:r w:rsidRPr="00047A90"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  <w:t>SUB-CAPABILITY AREA</w:t>
            </w:r>
          </w:p>
        </w:tc>
        <w:tc>
          <w:tcPr>
            <w:tcW w:w="2695" w:type="dxa"/>
          </w:tcPr>
          <w:p w14:paraId="279E4C2F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</w:pPr>
            <w:r w:rsidRPr="00047A90"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  <w:t>PRIMARY OBJECTIVE</w:t>
            </w:r>
          </w:p>
        </w:tc>
      </w:tr>
      <w:tr w:rsidR="00047A90" w:rsidRPr="00047A90" w14:paraId="7451CFFC" w14:textId="77777777" w:rsidTr="00973FE0">
        <w:tc>
          <w:tcPr>
            <w:tcW w:w="1795" w:type="dxa"/>
          </w:tcPr>
          <w:p w14:paraId="10EF9678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  <w:t xml:space="preserve">Program Management </w:t>
            </w:r>
          </w:p>
        </w:tc>
        <w:tc>
          <w:tcPr>
            <w:tcW w:w="4860" w:type="dxa"/>
          </w:tcPr>
          <w:p w14:paraId="526C3D67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Program governance and compliance oversight</w:t>
            </w:r>
          </w:p>
          <w:p w14:paraId="1D7C8105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TO management and reporting</w:t>
            </w:r>
          </w:p>
          <w:p w14:paraId="4C6E662C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Budget planning and cost control</w:t>
            </w:r>
          </w:p>
          <w:p w14:paraId="42527928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Scheduling and resource allocation</w:t>
            </w:r>
          </w:p>
          <w:p w14:paraId="70FEBED5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Quality assurance and performance monitoring</w:t>
            </w:r>
          </w:p>
          <w:p w14:paraId="77EBE045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Risk management and mitigation planning</w:t>
            </w:r>
          </w:p>
          <w:p w14:paraId="2F07B0A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Stakeholder communication and coordination</w:t>
            </w:r>
          </w:p>
          <w:p w14:paraId="5511AF31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Document control and data management</w:t>
            </w:r>
          </w:p>
          <w:p w14:paraId="227ADC8B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 xml:space="preserve">Proposal development </w:t>
            </w:r>
            <w:proofErr w:type="gramStart"/>
            <w:r w:rsidRPr="00047A90">
              <w:rPr>
                <w:rFonts w:ascii="Times New Roman" w:hAnsi="Times New Roman"/>
                <w:sz w:val="28"/>
                <w:szCs w:val="28"/>
              </w:rPr>
              <w:t>and TO</w:t>
            </w:r>
            <w:proofErr w:type="gramEnd"/>
            <w:r w:rsidRPr="00047A90">
              <w:rPr>
                <w:rFonts w:ascii="Times New Roman" w:hAnsi="Times New Roman"/>
                <w:sz w:val="28"/>
                <w:szCs w:val="28"/>
              </w:rPr>
              <w:t xml:space="preserve"> response</w:t>
            </w:r>
          </w:p>
          <w:p w14:paraId="5E6B8FFE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Subcontractor and team partner oversight</w:t>
            </w:r>
          </w:p>
          <w:p w14:paraId="5F7FF8C2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Safety and security program integration</w:t>
            </w:r>
          </w:p>
          <w:p w14:paraId="4B77237C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Contract closeout and lessons learned analysis</w:t>
            </w:r>
          </w:p>
        </w:tc>
        <w:tc>
          <w:tcPr>
            <w:tcW w:w="2695" w:type="dxa"/>
          </w:tcPr>
          <w:p w14:paraId="3499334D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Oversee the effective execution of all TO through coordinated planning, resource management, compliance monitoring, and communication with government stakeholders.</w:t>
            </w:r>
          </w:p>
        </w:tc>
      </w:tr>
      <w:tr w:rsidR="00047A90" w:rsidRPr="00047A90" w14:paraId="5C5BF2DC" w14:textId="77777777" w:rsidTr="00973FE0">
        <w:tc>
          <w:tcPr>
            <w:tcW w:w="1795" w:type="dxa"/>
          </w:tcPr>
          <w:p w14:paraId="01A4ED8A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>Construction</w:t>
            </w:r>
          </w:p>
        </w:tc>
        <w:tc>
          <w:tcPr>
            <w:tcW w:w="4860" w:type="dxa"/>
          </w:tcPr>
          <w:p w14:paraId="2F396555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New construction (vertical and horizontal)</w:t>
            </w:r>
          </w:p>
          <w:p w14:paraId="47F12913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Renovation and remodeling of existing structures</w:t>
            </w:r>
          </w:p>
          <w:p w14:paraId="09C18FEA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Secure facility construction (SCIFs, SAVs, etc.)</w:t>
            </w:r>
          </w:p>
          <w:p w14:paraId="61BAC33F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Structural, electrical, and mechanical systems installation</w:t>
            </w:r>
          </w:p>
          <w:p w14:paraId="54E12D6A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Site work and utilities installation</w:t>
            </w:r>
          </w:p>
          <w:p w14:paraId="5D981A11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Construction quality assurance/control (QA/QC)</w:t>
            </w:r>
          </w:p>
          <w:p w14:paraId="2F2CE0DC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lastRenderedPageBreak/>
              <w:t>Construction safety and accident prevention</w:t>
            </w:r>
          </w:p>
          <w:p w14:paraId="67BB13D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Temporary structures and modular buildings</w:t>
            </w:r>
          </w:p>
          <w:p w14:paraId="0EF5EB1E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 xml:space="preserve">Cost estimating and scheduling </w:t>
            </w:r>
          </w:p>
          <w:p w14:paraId="0B498B9C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Materials testing and commissioning</w:t>
            </w:r>
          </w:p>
          <w:p w14:paraId="1F7D8B82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Handover and as-built documentation</w:t>
            </w:r>
          </w:p>
        </w:tc>
        <w:tc>
          <w:tcPr>
            <w:tcW w:w="2695" w:type="dxa"/>
          </w:tcPr>
          <w:p w14:paraId="2E5DB7AB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lastRenderedPageBreak/>
              <w:t>Execute high-quality, secure, and code-compliant construction and renovation projects that support the expansion, maintenance, and security of diplomatic facilities.</w:t>
            </w:r>
          </w:p>
        </w:tc>
      </w:tr>
      <w:tr w:rsidR="00047A90" w:rsidRPr="00047A90" w14:paraId="7D7D1F51" w14:textId="77777777" w:rsidTr="00973FE0">
        <w:tc>
          <w:tcPr>
            <w:tcW w:w="1795" w:type="dxa"/>
          </w:tcPr>
          <w:p w14:paraId="4E80D6A9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>Life Support</w:t>
            </w:r>
          </w:p>
        </w:tc>
        <w:tc>
          <w:tcPr>
            <w:tcW w:w="4860" w:type="dxa"/>
          </w:tcPr>
          <w:p w14:paraId="3FB7EB16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Temporary housing and camp setup</w:t>
            </w:r>
          </w:p>
          <w:p w14:paraId="0DC26EBB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Dining facility operations (DFAC) and catering</w:t>
            </w:r>
          </w:p>
          <w:p w14:paraId="771EB733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Potable water supply and purification</w:t>
            </w:r>
          </w:p>
          <w:p w14:paraId="7067135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Waste management (solid and wastewater)</w:t>
            </w:r>
          </w:p>
          <w:p w14:paraId="3D5ED018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Laundry and sanitation services</w:t>
            </w:r>
          </w:p>
          <w:p w14:paraId="7962058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Fuel supply and management</w:t>
            </w:r>
          </w:p>
          <w:p w14:paraId="407BF473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Facilities cleaning and janitorial services</w:t>
            </w:r>
          </w:p>
          <w:p w14:paraId="6E5DADE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Morale, welfare, and recreation (MWR) support</w:t>
            </w:r>
          </w:p>
          <w:p w14:paraId="1AE6483F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Camp power generation and distribution</w:t>
            </w:r>
          </w:p>
          <w:p w14:paraId="0F6E6923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Pest control services</w:t>
            </w:r>
          </w:p>
          <w:p w14:paraId="19C42BCC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Health, safety, and hygiene compliance</w:t>
            </w:r>
          </w:p>
          <w:p w14:paraId="15D100E9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Environmental services and camp closure support</w:t>
            </w:r>
          </w:p>
        </w:tc>
        <w:tc>
          <w:tcPr>
            <w:tcW w:w="2695" w:type="dxa"/>
          </w:tcPr>
          <w:p w14:paraId="0E1CAF48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Provide comprehensive and compliant life support services that ensure the health, safety, and well-being of deployed personnel in remote or high-risk environments.</w:t>
            </w:r>
          </w:p>
        </w:tc>
      </w:tr>
      <w:tr w:rsidR="00047A90" w:rsidRPr="00047A90" w14:paraId="2306F1ED" w14:textId="77777777" w:rsidTr="00973FE0">
        <w:tc>
          <w:tcPr>
            <w:tcW w:w="1795" w:type="dxa"/>
          </w:tcPr>
          <w:p w14:paraId="44274F2D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>Logistics and Supplies</w:t>
            </w:r>
          </w:p>
        </w:tc>
        <w:tc>
          <w:tcPr>
            <w:tcW w:w="4860" w:type="dxa"/>
          </w:tcPr>
          <w:p w14:paraId="331548CA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International and domestic freight forwarding</w:t>
            </w:r>
          </w:p>
          <w:p w14:paraId="5296463F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Customs brokerage and clearance</w:t>
            </w:r>
          </w:p>
          <w:p w14:paraId="6A11C90F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Warehouse and inventory management</w:t>
            </w:r>
          </w:p>
          <w:p w14:paraId="475B2D0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Procurement and sourcing (local &amp; international)</w:t>
            </w:r>
          </w:p>
          <w:p w14:paraId="0FDC1515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Asset tracking and property accountability</w:t>
            </w:r>
          </w:p>
          <w:p w14:paraId="09217371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Transportation and convoy support</w:t>
            </w:r>
          </w:p>
          <w:p w14:paraId="63565AF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Material handling and distribution</w:t>
            </w:r>
          </w:p>
          <w:p w14:paraId="02ED8ACF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Cold chain logistics (if applicable)</w:t>
            </w:r>
          </w:p>
          <w:p w14:paraId="6DF2D414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lastRenderedPageBreak/>
              <w:t>Containerization and packaging</w:t>
            </w:r>
          </w:p>
          <w:p w14:paraId="17BEFBE8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Supply chain risk management</w:t>
            </w:r>
          </w:p>
          <w:p w14:paraId="14D2A869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Mobilization/demobilization logistics</w:t>
            </w:r>
          </w:p>
          <w:p w14:paraId="70936F4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Hazardous materials (HAZMAT) handling</w:t>
            </w:r>
          </w:p>
        </w:tc>
        <w:tc>
          <w:tcPr>
            <w:tcW w:w="2695" w:type="dxa"/>
          </w:tcPr>
          <w:p w14:paraId="6321CEC9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proofErr w:type="gramStart"/>
            <w:r w:rsidRPr="00047A90">
              <w:rPr>
                <w:rFonts w:ascii="Times New Roman" w:hAnsi="Times New Roman"/>
                <w:sz w:val="28"/>
                <w:szCs w:val="28"/>
              </w:rPr>
              <w:lastRenderedPageBreak/>
              <w:t>Deliver</w:t>
            </w:r>
            <w:proofErr w:type="gramEnd"/>
            <w:r w:rsidRPr="00047A90">
              <w:rPr>
                <w:rFonts w:ascii="Times New Roman" w:hAnsi="Times New Roman"/>
                <w:sz w:val="28"/>
                <w:szCs w:val="28"/>
              </w:rPr>
              <w:t xml:space="preserve"> timely, secure, and reliable procurement, transportation, and distribution of materials and equipment necessary to sustain overseas operations.</w:t>
            </w:r>
          </w:p>
        </w:tc>
      </w:tr>
      <w:tr w:rsidR="00047A90" w:rsidRPr="00047A90" w14:paraId="3BEBF525" w14:textId="77777777" w:rsidTr="00973FE0">
        <w:tc>
          <w:tcPr>
            <w:tcW w:w="1795" w:type="dxa"/>
          </w:tcPr>
          <w:p w14:paraId="5C7BE311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 xml:space="preserve">Medical and Emergency </w:t>
            </w:r>
          </w:p>
        </w:tc>
        <w:tc>
          <w:tcPr>
            <w:tcW w:w="4860" w:type="dxa"/>
          </w:tcPr>
          <w:p w14:paraId="17C2F871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On-site medical personnel (EMTs, paramedics, physicians)</w:t>
            </w:r>
          </w:p>
          <w:p w14:paraId="2DC1C4CB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Primary and urgent care services</w:t>
            </w:r>
          </w:p>
          <w:p w14:paraId="7DA76CFE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Field clinic setup and operation</w:t>
            </w:r>
          </w:p>
          <w:p w14:paraId="1B0D56E5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Emergency medical response planning</w:t>
            </w:r>
          </w:p>
          <w:p w14:paraId="69CB442A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Medical evacuation (MEDEVAC) coordination</w:t>
            </w:r>
          </w:p>
          <w:p w14:paraId="3602E935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Occupational health and safety services</w:t>
            </w:r>
          </w:p>
          <w:p w14:paraId="28B969F3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Health surveillance and disease prevention</w:t>
            </w:r>
          </w:p>
          <w:p w14:paraId="6C2264FE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Mental health and stress management services</w:t>
            </w:r>
          </w:p>
          <w:p w14:paraId="7E895CAE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Medical supply procurement and cold storage</w:t>
            </w:r>
          </w:p>
          <w:p w14:paraId="76B57B84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First aid training and CPR certification</w:t>
            </w:r>
          </w:p>
          <w:p w14:paraId="2B505DFB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Environmental health and public sanitation</w:t>
            </w:r>
          </w:p>
          <w:p w14:paraId="453236BB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Pandemic or outbreak response support</w:t>
            </w:r>
          </w:p>
        </w:tc>
        <w:tc>
          <w:tcPr>
            <w:tcW w:w="2695" w:type="dxa"/>
          </w:tcPr>
          <w:p w14:paraId="326A87E4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Provide responsive, reliable medical services and emergency response capabilities to safeguard the health and safety of U.S. government personnel overseas.</w:t>
            </w:r>
          </w:p>
        </w:tc>
      </w:tr>
      <w:tr w:rsidR="00047A90" w:rsidRPr="00047A90" w14:paraId="0BE1D7DA" w14:textId="77777777" w:rsidTr="00973FE0">
        <w:tc>
          <w:tcPr>
            <w:tcW w:w="1795" w:type="dxa"/>
          </w:tcPr>
          <w:p w14:paraId="66285293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>Operations and Maintenance</w:t>
            </w:r>
          </w:p>
        </w:tc>
        <w:tc>
          <w:tcPr>
            <w:tcW w:w="4860" w:type="dxa"/>
          </w:tcPr>
          <w:p w14:paraId="33F4ABD8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HVAC maintenance and repair</w:t>
            </w:r>
          </w:p>
          <w:p w14:paraId="4C713A29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Electrical and power systems (generators, UPS, etc.)</w:t>
            </w:r>
          </w:p>
          <w:p w14:paraId="2ED115AE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Plumbing and water systems</w:t>
            </w:r>
          </w:p>
          <w:p w14:paraId="2639856F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Fire protection and life safety systems</w:t>
            </w:r>
          </w:p>
          <w:p w14:paraId="07C0C945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Preventive and corrective maintenance</w:t>
            </w:r>
          </w:p>
          <w:p w14:paraId="09F61CA9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Elevator and conveyance systems maintenance</w:t>
            </w:r>
          </w:p>
          <w:p w14:paraId="41B62289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Facility condition assessments</w:t>
            </w:r>
          </w:p>
          <w:p w14:paraId="0357C2E1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Energy management and sustainability programs</w:t>
            </w:r>
          </w:p>
          <w:p w14:paraId="58DBF4CC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Groundskeeping and exterior maintenance</w:t>
            </w:r>
          </w:p>
          <w:p w14:paraId="094B25C2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lastRenderedPageBreak/>
              <w:t>24/7 emergency response services</w:t>
            </w:r>
          </w:p>
        </w:tc>
        <w:tc>
          <w:tcPr>
            <w:tcW w:w="2695" w:type="dxa"/>
          </w:tcPr>
          <w:p w14:paraId="22F42951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lastRenderedPageBreak/>
              <w:t>Ensure the continuous, safe, and efficient operation of critical infrastructure and facilities in support of U.S. diplomatic missions worldwide.</w:t>
            </w:r>
          </w:p>
        </w:tc>
      </w:tr>
      <w:tr w:rsidR="00047A90" w:rsidRPr="00047A90" w14:paraId="6697E762" w14:textId="77777777" w:rsidTr="00973FE0">
        <w:tc>
          <w:tcPr>
            <w:tcW w:w="1795" w:type="dxa"/>
          </w:tcPr>
          <w:p w14:paraId="72228E59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Fonts w:ascii="Times New Roman" w:hAnsi="Times New Roman"/>
                <w:bCs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 xml:space="preserve">Security Support </w:t>
            </w:r>
          </w:p>
        </w:tc>
        <w:tc>
          <w:tcPr>
            <w:tcW w:w="4860" w:type="dxa"/>
          </w:tcPr>
          <w:p w14:paraId="32BBE977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Physical access control systems (PACS)</w:t>
            </w:r>
          </w:p>
          <w:p w14:paraId="6DF83AE4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Intrusion detection and alarm systems</w:t>
            </w:r>
          </w:p>
          <w:p w14:paraId="66F833AA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Video surveillance (CCTV and analytics)</w:t>
            </w:r>
          </w:p>
          <w:p w14:paraId="5AE2DDE4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Perimeter security (barriers, gates, fencing)</w:t>
            </w:r>
          </w:p>
          <w:p w14:paraId="4C676B90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Secure communications infrastructure</w:t>
            </w:r>
          </w:p>
          <w:p w14:paraId="36965731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Electronic key management systems</w:t>
            </w:r>
          </w:p>
          <w:p w14:paraId="409BD183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Blast mitigation and forced-entry systems</w:t>
            </w:r>
          </w:p>
          <w:p w14:paraId="34C158D8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Security system integration and networking</w:t>
            </w:r>
          </w:p>
          <w:p w14:paraId="787A3088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Maintenance and upgrades of existing systems</w:t>
            </w:r>
          </w:p>
          <w:p w14:paraId="02A4B7FD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Emergency notification and mass communication systems</w:t>
            </w:r>
          </w:p>
          <w:p w14:paraId="04330BA7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Cybersecurity integration (where applicable)</w:t>
            </w:r>
          </w:p>
          <w:p w14:paraId="3552B5A0" w14:textId="77777777" w:rsidR="00047A90" w:rsidRPr="00047A90" w:rsidRDefault="00047A90" w:rsidP="00047A9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SCIF systems installation and certification</w:t>
            </w:r>
          </w:p>
        </w:tc>
        <w:tc>
          <w:tcPr>
            <w:tcW w:w="2695" w:type="dxa"/>
          </w:tcPr>
          <w:p w14:paraId="410E8F2F" w14:textId="77777777" w:rsidR="00047A90" w:rsidRPr="00047A90" w:rsidRDefault="00047A90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sz w:val="28"/>
                <w:szCs w:val="28"/>
              </w:rPr>
              <w:t>Design, install, and maintain integrated physical and electronic security systems that protect U.S. personnel, property, and sensitive information.</w:t>
            </w:r>
          </w:p>
        </w:tc>
      </w:tr>
    </w:tbl>
    <w:p w14:paraId="6C9492EF" w14:textId="77777777" w:rsidR="00047A90" w:rsidRPr="00047A90" w:rsidRDefault="00047A90" w:rsidP="00047A90">
      <w:pPr>
        <w:spacing w:after="0"/>
        <w:rPr>
          <w:rFonts w:eastAsia="Times New Roman" w:cs="Times New Roman"/>
          <w:sz w:val="28"/>
          <w:szCs w:val="28"/>
        </w:rPr>
      </w:pPr>
    </w:p>
    <w:p w14:paraId="1AD5D017" w14:textId="7CC63A7C" w:rsidR="00047A90" w:rsidRPr="00047A90" w:rsidRDefault="00047A90" w:rsidP="00047A90">
      <w:pPr>
        <w:spacing w:after="200" w:line="276" w:lineRule="auto"/>
        <w:rPr>
          <w:rFonts w:eastAsia="Times New Roman" w:cs="Times New Roman"/>
          <w:sz w:val="28"/>
          <w:szCs w:val="28"/>
        </w:rPr>
      </w:pPr>
    </w:p>
    <w:sectPr w:rsidR="00047A90" w:rsidRPr="00047A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BC6BA" w14:textId="77777777" w:rsidR="00047A90" w:rsidRDefault="00047A90" w:rsidP="00047A90">
      <w:pPr>
        <w:spacing w:after="0"/>
      </w:pPr>
      <w:r>
        <w:separator/>
      </w:r>
    </w:p>
  </w:endnote>
  <w:endnote w:type="continuationSeparator" w:id="0">
    <w:p w14:paraId="51C1AEEB" w14:textId="77777777" w:rsidR="00047A90" w:rsidRDefault="00047A90" w:rsidP="00047A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AD1B" w14:textId="77777777" w:rsidR="00047A90" w:rsidRDefault="00047A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58C1" w14:textId="77777777" w:rsidR="00047A90" w:rsidRDefault="00047A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736A" w14:textId="77777777" w:rsidR="00047A90" w:rsidRDefault="00047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987D" w14:textId="77777777" w:rsidR="00047A90" w:rsidRDefault="00047A90" w:rsidP="00047A90">
      <w:pPr>
        <w:spacing w:after="0"/>
      </w:pPr>
      <w:r>
        <w:separator/>
      </w:r>
    </w:p>
  </w:footnote>
  <w:footnote w:type="continuationSeparator" w:id="0">
    <w:p w14:paraId="7723091C" w14:textId="77777777" w:rsidR="00047A90" w:rsidRDefault="00047A90" w:rsidP="00047A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3E1F" w14:textId="77777777" w:rsidR="00047A90" w:rsidRDefault="00047A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2424691"/>
      <w:docPartObj>
        <w:docPartGallery w:val="Watermarks"/>
        <w:docPartUnique/>
      </w:docPartObj>
    </w:sdtPr>
    <w:sdtContent>
      <w:p w14:paraId="148B003F" w14:textId="50862C94" w:rsidR="00047A90" w:rsidRDefault="00047A90">
        <w:pPr>
          <w:pStyle w:val="Header"/>
        </w:pPr>
        <w:r>
          <w:rPr>
            <w:noProof/>
          </w:rPr>
          <w:pict w14:anchorId="16786EB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DFCE" w14:textId="77777777" w:rsidR="00047A90" w:rsidRDefault="00047A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44E1A"/>
    <w:multiLevelType w:val="hybridMultilevel"/>
    <w:tmpl w:val="249A7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9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90"/>
    <w:rsid w:val="00047A90"/>
    <w:rsid w:val="0015252C"/>
    <w:rsid w:val="003B0234"/>
    <w:rsid w:val="00C04845"/>
    <w:rsid w:val="00C26EA3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39F14E"/>
  <w15:chartTrackingRefBased/>
  <w15:docId w15:val="{F574A96A-4EC4-4D40-B51C-92DFA9A1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90"/>
    <w:pPr>
      <w:spacing w:after="240" w:line="240" w:lineRule="auto"/>
    </w:pPr>
    <w:rPr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9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9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9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047A90"/>
  </w:style>
  <w:style w:type="table" w:styleId="TableGrid">
    <w:name w:val="Table Grid"/>
    <w:basedOn w:val="TableNormal"/>
    <w:uiPriority w:val="39"/>
    <w:rsid w:val="00047A90"/>
    <w:pPr>
      <w:spacing w:after="0" w:line="240" w:lineRule="auto"/>
    </w:pPr>
    <w:rPr>
      <w:rFonts w:asciiTheme="minorHAnsi" w:hAnsiTheme="minorHAns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047A90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047A9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47A90"/>
    <w:rPr>
      <w:kern w:val="0"/>
      <w:sz w:val="24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7A9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47A90"/>
    <w:rPr>
      <w:kern w:val="0"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572</Words>
  <Characters>4237</Characters>
  <Application>Microsoft Office Word</Application>
  <DocSecurity>0</DocSecurity>
  <Lines>146</Lines>
  <Paragraphs>104</Paragraphs>
  <ScaleCrop>false</ScaleCrop>
  <Company>Department of State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Rautenbach, Justin</dc:creator>
  <cp:keywords/>
  <dc:description/>
  <cp:lastModifiedBy>Rautenbach, Justin</cp:lastModifiedBy>
  <cp:revision>1</cp:revision>
  <dcterms:created xsi:type="dcterms:W3CDTF">2026-03-26T13:21:00Z</dcterms:created>
  <dcterms:modified xsi:type="dcterms:W3CDTF">2026-03-26T13:25:00Z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2026-03-26T13:25:19Z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771bb2c9-5f22-40c6-a9ee-5e73298d723c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