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98B83" w14:textId="77777777" w:rsidR="008730EB" w:rsidRPr="00AA4D92" w:rsidRDefault="008730EB" w:rsidP="008730EB">
      <w:pPr>
        <w:rPr>
          <w:rFonts w:ascii="Times New Roman" w:hAnsi="Times New Roman" w:cs="Times New Roman"/>
        </w:rPr>
      </w:pPr>
      <w:r w:rsidRPr="00AA4D92">
        <w:rPr>
          <w:rFonts w:ascii="Times New Roman" w:hAnsi="Times New Roman" w:cs="Times New Roman"/>
          <w:b/>
          <w:bCs/>
        </w:rPr>
        <w:t>Requested Information / Minimum Essential Characteristics:</w:t>
      </w:r>
    </w:p>
    <w:p w14:paraId="715A0571" w14:textId="77777777" w:rsidR="008730EB" w:rsidRPr="00AA4D92" w:rsidRDefault="008730EB" w:rsidP="008730EB">
      <w:pPr>
        <w:rPr>
          <w:rFonts w:ascii="Times New Roman" w:hAnsi="Times New Roman" w:cs="Times New Roman"/>
        </w:rPr>
      </w:pPr>
      <w:r w:rsidRPr="00AA4D92">
        <w:rPr>
          <w:rFonts w:ascii="Times New Roman" w:hAnsi="Times New Roman" w:cs="Times New Roman"/>
        </w:rPr>
        <w:t>We are seeking information on systems that meet the following minimum characteristics. Please describe your company's ability to provide a system that includes the following components and features:</w:t>
      </w:r>
    </w:p>
    <w:p w14:paraId="258FACA0" w14:textId="77777777" w:rsidR="008730EB" w:rsidRDefault="008730EB" w:rsidP="008730EB">
      <w:pPr>
        <w:pStyle w:val="ListParagraph"/>
        <w:numPr>
          <w:ilvl w:val="0"/>
          <w:numId w:val="1"/>
        </w:numPr>
        <w:rPr>
          <w:rFonts w:ascii="Times New Roman" w:hAnsi="Times New Roman" w:cs="Times New Roman"/>
        </w:rPr>
      </w:pPr>
      <w:r w:rsidRPr="00FF7819">
        <w:rPr>
          <w:rFonts w:ascii="Times New Roman" w:hAnsi="Times New Roman" w:cs="Times New Roman"/>
          <w:b/>
          <w:bCs/>
        </w:rPr>
        <w:t>High-Density Microelectrode Array (MEA) System (Quantity: 1)</w:t>
      </w:r>
    </w:p>
    <w:p w14:paraId="13DE313F" w14:textId="77777777" w:rsidR="008730EB" w:rsidRDefault="008730EB" w:rsidP="008730EB">
      <w:pPr>
        <w:pStyle w:val="ListParagraph"/>
        <w:numPr>
          <w:ilvl w:val="1"/>
          <w:numId w:val="1"/>
        </w:numPr>
        <w:rPr>
          <w:rFonts w:ascii="Times New Roman" w:hAnsi="Times New Roman" w:cs="Times New Roman"/>
        </w:rPr>
      </w:pPr>
      <w:r w:rsidRPr="00FF7819">
        <w:rPr>
          <w:rFonts w:ascii="Times New Roman" w:hAnsi="Times New Roman" w:cs="Times New Roman"/>
          <w:b/>
          <w:bCs/>
        </w:rPr>
        <w:t>Primary Function:</w:t>
      </w:r>
      <w:r w:rsidRPr="00FF7819">
        <w:rPr>
          <w:rFonts w:ascii="Times New Roman" w:hAnsi="Times New Roman" w:cs="Times New Roman"/>
        </w:rPr>
        <w:t xml:space="preserve"> Capable of detecting, monitoring, and analyzing intracellular electrochemical activity and membrane potentiation.</w:t>
      </w:r>
    </w:p>
    <w:p w14:paraId="4E13FD6D" w14:textId="77777777" w:rsidR="008730EB" w:rsidRDefault="008730EB" w:rsidP="008730EB">
      <w:pPr>
        <w:pStyle w:val="ListParagraph"/>
        <w:numPr>
          <w:ilvl w:val="1"/>
          <w:numId w:val="1"/>
        </w:numPr>
        <w:rPr>
          <w:rFonts w:ascii="Times New Roman" w:hAnsi="Times New Roman" w:cs="Times New Roman"/>
        </w:rPr>
      </w:pPr>
      <w:r w:rsidRPr="00FF7819">
        <w:rPr>
          <w:rFonts w:ascii="Times New Roman" w:hAnsi="Times New Roman" w:cs="Times New Roman"/>
          <w:b/>
          <w:bCs/>
        </w:rPr>
        <w:t>Performance:</w:t>
      </w:r>
      <w:r w:rsidRPr="00FF7819">
        <w:rPr>
          <w:rFonts w:ascii="Times New Roman" w:hAnsi="Times New Roman" w:cs="Times New Roman"/>
        </w:rPr>
        <w:br/>
        <w:t>* Electrode density greater than 1,000 electrodes.</w:t>
      </w:r>
      <w:r w:rsidRPr="00FF7819">
        <w:rPr>
          <w:rFonts w:ascii="Times New Roman" w:hAnsi="Times New Roman" w:cs="Times New Roman"/>
        </w:rPr>
        <w:br/>
        <w:t>* Simultaneous recording, readout, and stimulation capabilities.</w:t>
      </w:r>
      <w:r w:rsidRPr="00FF7819">
        <w:rPr>
          <w:rFonts w:ascii="Times New Roman" w:hAnsi="Times New Roman" w:cs="Times New Roman"/>
        </w:rPr>
        <w:br/>
        <w:t>* Minimum sampling frequency of 10 kHz per electrode.</w:t>
      </w:r>
      <w:r w:rsidRPr="00FF7819">
        <w:rPr>
          <w:rFonts w:ascii="Times New Roman" w:hAnsi="Times New Roman" w:cs="Times New Roman"/>
        </w:rPr>
        <w:br/>
        <w:t>* Integrated stimulation from at least two (2) separate programmable channels.</w:t>
      </w:r>
    </w:p>
    <w:p w14:paraId="6FEE19A2" w14:textId="77777777" w:rsidR="008730EB" w:rsidRDefault="008730EB" w:rsidP="008730EB">
      <w:pPr>
        <w:pStyle w:val="ListParagraph"/>
        <w:numPr>
          <w:ilvl w:val="1"/>
          <w:numId w:val="1"/>
        </w:numPr>
        <w:rPr>
          <w:rFonts w:ascii="Times New Roman" w:hAnsi="Times New Roman" w:cs="Times New Roman"/>
        </w:rPr>
      </w:pPr>
      <w:r w:rsidRPr="00FF7819">
        <w:rPr>
          <w:rFonts w:ascii="Times New Roman" w:hAnsi="Times New Roman" w:cs="Times New Roman"/>
          <w:b/>
          <w:bCs/>
        </w:rPr>
        <w:t>Compatibility:</w:t>
      </w:r>
      <w:r w:rsidRPr="00FF7819">
        <w:rPr>
          <w:rFonts w:ascii="Times New Roman" w:hAnsi="Times New Roman" w:cs="Times New Roman"/>
        </w:rPr>
        <w:br/>
        <w:t>* Compatible with 3D tissue penetration technology (e.g., micropillars) for recording activity within spheroids, organoids, and tissue slices at depths greater than a single layer.</w:t>
      </w:r>
      <w:r w:rsidRPr="00FF7819">
        <w:rPr>
          <w:rFonts w:ascii="Times New Roman" w:hAnsi="Times New Roman" w:cs="Times New Roman"/>
        </w:rPr>
        <w:br/>
        <w:t>* Suitable for use with excised tissue slices, including brain, heart, and skeletal muscle.</w:t>
      </w:r>
    </w:p>
    <w:p w14:paraId="1C5A504B" w14:textId="77777777" w:rsidR="008730EB" w:rsidRDefault="008730EB" w:rsidP="008730EB">
      <w:pPr>
        <w:pStyle w:val="ListParagraph"/>
        <w:numPr>
          <w:ilvl w:val="1"/>
          <w:numId w:val="1"/>
        </w:numPr>
        <w:rPr>
          <w:rFonts w:ascii="Times New Roman" w:hAnsi="Times New Roman" w:cs="Times New Roman"/>
        </w:rPr>
      </w:pPr>
      <w:r w:rsidRPr="00FF7819">
        <w:rPr>
          <w:rFonts w:ascii="Times New Roman" w:hAnsi="Times New Roman" w:cs="Times New Roman"/>
          <w:b/>
          <w:bCs/>
        </w:rPr>
        <w:t>Environmental Control:</w:t>
      </w:r>
      <w:r w:rsidRPr="00FF7819">
        <w:rPr>
          <w:rFonts w:ascii="Times New Roman" w:hAnsi="Times New Roman" w:cs="Times New Roman"/>
        </w:rPr>
        <w:br/>
        <w:t>* Includes an associated mini-incubator or housing with active heating and cooling to maintain a stable environment of 37°C with 5% CO2 for long-term recording sessions.</w:t>
      </w:r>
    </w:p>
    <w:p w14:paraId="4FC70B36" w14:textId="77777777" w:rsidR="008730EB" w:rsidRDefault="008730EB" w:rsidP="008730EB">
      <w:pPr>
        <w:pStyle w:val="ListParagraph"/>
        <w:numPr>
          <w:ilvl w:val="0"/>
          <w:numId w:val="1"/>
        </w:numPr>
        <w:rPr>
          <w:rFonts w:ascii="Times New Roman" w:hAnsi="Times New Roman" w:cs="Times New Roman"/>
        </w:rPr>
      </w:pPr>
      <w:r w:rsidRPr="00FF7819">
        <w:rPr>
          <w:rFonts w:ascii="Times New Roman" w:hAnsi="Times New Roman" w:cs="Times New Roman"/>
          <w:b/>
          <w:bCs/>
        </w:rPr>
        <w:t>Compatible Sample Holders and Plates</w:t>
      </w:r>
    </w:p>
    <w:p w14:paraId="2205F8C7" w14:textId="77777777" w:rsidR="008730EB" w:rsidRDefault="008730EB" w:rsidP="008730EB">
      <w:pPr>
        <w:pStyle w:val="ListParagraph"/>
        <w:numPr>
          <w:ilvl w:val="1"/>
          <w:numId w:val="1"/>
        </w:numPr>
        <w:rPr>
          <w:rFonts w:ascii="Times New Roman" w:hAnsi="Times New Roman" w:cs="Times New Roman"/>
        </w:rPr>
      </w:pPr>
      <w:r w:rsidRPr="00FF7819">
        <w:rPr>
          <w:rFonts w:ascii="Times New Roman" w:hAnsi="Times New Roman" w:cs="Times New Roman"/>
          <w:b/>
          <w:bCs/>
        </w:rPr>
        <w:t>Sample Holders (Quantity: 1):</w:t>
      </w:r>
      <w:r w:rsidRPr="00FF7819">
        <w:rPr>
          <w:rFonts w:ascii="Times New Roman" w:hAnsi="Times New Roman" w:cs="Times New Roman"/>
        </w:rPr>
        <w:t xml:space="preserve"> A set of holders with various net sizes, including 1000/60, 1000/90, 300/60, and 300/90, to accommodate different test objects.</w:t>
      </w:r>
    </w:p>
    <w:p w14:paraId="5A259BD2" w14:textId="77777777" w:rsidR="008730EB" w:rsidRDefault="008730EB" w:rsidP="008730EB">
      <w:pPr>
        <w:pStyle w:val="ListParagraph"/>
        <w:numPr>
          <w:ilvl w:val="1"/>
          <w:numId w:val="1"/>
        </w:numPr>
        <w:rPr>
          <w:rFonts w:ascii="Times New Roman" w:hAnsi="Times New Roman" w:cs="Times New Roman"/>
        </w:rPr>
      </w:pPr>
      <w:r w:rsidRPr="00FF7819">
        <w:rPr>
          <w:rFonts w:ascii="Times New Roman" w:hAnsi="Times New Roman" w:cs="Times New Roman"/>
          <w:b/>
          <w:bCs/>
        </w:rPr>
        <w:t>Single-Well Microchip Plates (Quantity: 5):</w:t>
      </w:r>
      <w:r w:rsidRPr="00FF7819">
        <w:rPr>
          <w:rFonts w:ascii="Times New Roman" w:hAnsi="Times New Roman" w:cs="Times New Roman"/>
        </w:rPr>
        <w:t xml:space="preserve"> Plates incorporating 3D tissue technology with a well size of at least 25mm in diameter.</w:t>
      </w:r>
    </w:p>
    <w:p w14:paraId="6FD7A399" w14:textId="77777777" w:rsidR="008730EB" w:rsidRDefault="008730EB" w:rsidP="008730EB">
      <w:pPr>
        <w:pStyle w:val="ListParagraph"/>
        <w:numPr>
          <w:ilvl w:val="1"/>
          <w:numId w:val="1"/>
        </w:numPr>
        <w:rPr>
          <w:rFonts w:ascii="Times New Roman" w:hAnsi="Times New Roman" w:cs="Times New Roman"/>
        </w:rPr>
      </w:pPr>
      <w:r w:rsidRPr="00FF7819">
        <w:rPr>
          <w:rFonts w:ascii="Times New Roman" w:hAnsi="Times New Roman" w:cs="Times New Roman"/>
          <w:b/>
          <w:bCs/>
        </w:rPr>
        <w:t>Integration Components (Quantity: 1):</w:t>
      </w:r>
      <w:r w:rsidRPr="00FF7819">
        <w:rPr>
          <w:rFonts w:ascii="Times New Roman" w:hAnsi="Times New Roman" w:cs="Times New Roman"/>
        </w:rPr>
        <w:t xml:space="preserve"> All necessary components to integrate the sample holders, nets, and plates with the primary MEA device.</w:t>
      </w:r>
    </w:p>
    <w:p w14:paraId="3EAC1C65" w14:textId="77777777" w:rsidR="008730EB" w:rsidRDefault="008730EB" w:rsidP="008730EB">
      <w:pPr>
        <w:pStyle w:val="ListParagraph"/>
        <w:numPr>
          <w:ilvl w:val="0"/>
          <w:numId w:val="1"/>
        </w:numPr>
        <w:rPr>
          <w:rFonts w:ascii="Times New Roman" w:hAnsi="Times New Roman" w:cs="Times New Roman"/>
        </w:rPr>
      </w:pPr>
      <w:r w:rsidRPr="00FF7819">
        <w:rPr>
          <w:rFonts w:ascii="Times New Roman" w:hAnsi="Times New Roman" w:cs="Times New Roman"/>
          <w:b/>
          <w:bCs/>
        </w:rPr>
        <w:t>Software and Workstation (Quantity: 1)</w:t>
      </w:r>
    </w:p>
    <w:p w14:paraId="6BCA1340" w14:textId="77777777" w:rsidR="008730EB" w:rsidRDefault="008730EB" w:rsidP="008730EB">
      <w:pPr>
        <w:pStyle w:val="ListParagraph"/>
        <w:numPr>
          <w:ilvl w:val="1"/>
          <w:numId w:val="1"/>
        </w:numPr>
        <w:rPr>
          <w:rFonts w:ascii="Times New Roman" w:hAnsi="Times New Roman" w:cs="Times New Roman"/>
        </w:rPr>
      </w:pPr>
      <w:r w:rsidRPr="00FF7819">
        <w:rPr>
          <w:rFonts w:ascii="Times New Roman" w:hAnsi="Times New Roman" w:cs="Times New Roman"/>
          <w:b/>
          <w:bCs/>
        </w:rPr>
        <w:t>Software:</w:t>
      </w:r>
      <w:r w:rsidRPr="00FF7819">
        <w:rPr>
          <w:rFonts w:ascii="Times New Roman" w:hAnsi="Times New Roman" w:cs="Times New Roman"/>
        </w:rPr>
        <w:br/>
        <w:t>* Must be capable of sorting and analyzing spikes from all electrodes without requiring external support or additional programming requirements (e.g., Python).</w:t>
      </w:r>
      <w:r w:rsidRPr="00FF7819">
        <w:rPr>
          <w:rFonts w:ascii="Times New Roman" w:hAnsi="Times New Roman" w:cs="Times New Roman"/>
        </w:rPr>
        <w:br/>
        <w:t>* Includes a perpetual license that is compatible with future software versions.</w:t>
      </w:r>
    </w:p>
    <w:p w14:paraId="42515FCF" w14:textId="77777777" w:rsidR="008730EB" w:rsidRDefault="008730EB" w:rsidP="008730EB">
      <w:pPr>
        <w:pStyle w:val="ListParagraph"/>
        <w:numPr>
          <w:ilvl w:val="1"/>
          <w:numId w:val="1"/>
        </w:numPr>
        <w:rPr>
          <w:rFonts w:ascii="Times New Roman" w:hAnsi="Times New Roman" w:cs="Times New Roman"/>
        </w:rPr>
      </w:pPr>
      <w:r w:rsidRPr="00FF7819">
        <w:rPr>
          <w:rFonts w:ascii="Times New Roman" w:hAnsi="Times New Roman" w:cs="Times New Roman"/>
          <w:b/>
          <w:bCs/>
        </w:rPr>
        <w:t>Workstation:</w:t>
      </w:r>
      <w:r w:rsidRPr="00FF7819">
        <w:rPr>
          <w:rFonts w:ascii="Times New Roman" w:hAnsi="Times New Roman" w:cs="Times New Roman"/>
        </w:rPr>
        <w:br/>
        <w:t>* A high-performance workstation operating on Windows 11.</w:t>
      </w:r>
      <w:r w:rsidRPr="00FF7819">
        <w:rPr>
          <w:rFonts w:ascii="Times New Roman" w:hAnsi="Times New Roman" w:cs="Times New Roman"/>
        </w:rPr>
        <w:br/>
        <w:t>* Includes a 4TB Solid State Drive (SSD) and a GDDR5 graphics card.</w:t>
      </w:r>
      <w:r w:rsidRPr="00FF7819">
        <w:rPr>
          <w:rFonts w:ascii="Times New Roman" w:hAnsi="Times New Roman" w:cs="Times New Roman"/>
        </w:rPr>
        <w:br/>
        <w:t>* TAA compliance is preferred.</w:t>
      </w:r>
    </w:p>
    <w:p w14:paraId="46D54EDB" w14:textId="77777777" w:rsidR="008730EB" w:rsidRDefault="008730EB" w:rsidP="008730EB">
      <w:pPr>
        <w:pStyle w:val="ListParagraph"/>
        <w:numPr>
          <w:ilvl w:val="1"/>
          <w:numId w:val="1"/>
        </w:numPr>
        <w:rPr>
          <w:rFonts w:ascii="Times New Roman" w:hAnsi="Times New Roman" w:cs="Times New Roman"/>
        </w:rPr>
      </w:pPr>
      <w:r w:rsidRPr="00FF7819">
        <w:rPr>
          <w:rFonts w:ascii="Times New Roman" w:hAnsi="Times New Roman" w:cs="Times New Roman"/>
          <w:b/>
          <w:bCs/>
        </w:rPr>
        <w:t>Monitor:</w:t>
      </w:r>
      <w:r w:rsidRPr="00FF7819">
        <w:rPr>
          <w:rFonts w:ascii="Times New Roman" w:hAnsi="Times New Roman" w:cs="Times New Roman"/>
        </w:rPr>
        <w:t xml:space="preserve"> A high-resolution monitor (&gt;2000x1000) suitable for viewing imaging data.</w:t>
      </w:r>
    </w:p>
    <w:p w14:paraId="003F0C6B" w14:textId="77777777" w:rsidR="008730EB" w:rsidRDefault="008730EB" w:rsidP="008730EB">
      <w:pPr>
        <w:pStyle w:val="ListParagraph"/>
        <w:numPr>
          <w:ilvl w:val="1"/>
          <w:numId w:val="1"/>
        </w:numPr>
        <w:rPr>
          <w:rFonts w:ascii="Times New Roman" w:hAnsi="Times New Roman" w:cs="Times New Roman"/>
        </w:rPr>
      </w:pPr>
      <w:r w:rsidRPr="00FF7819">
        <w:rPr>
          <w:rFonts w:ascii="Times New Roman" w:hAnsi="Times New Roman" w:cs="Times New Roman"/>
          <w:b/>
          <w:bCs/>
        </w:rPr>
        <w:lastRenderedPageBreak/>
        <w:t>Interface:</w:t>
      </w:r>
      <w:r w:rsidRPr="00FF7819">
        <w:rPr>
          <w:rFonts w:ascii="Times New Roman" w:hAnsi="Times New Roman" w:cs="Times New Roman"/>
        </w:rPr>
        <w:t xml:space="preserve"> All necessary interfaces for the complete integration of MEA components, system, and software.</w:t>
      </w:r>
    </w:p>
    <w:p w14:paraId="0DCC04B8" w14:textId="77777777" w:rsidR="008730EB" w:rsidRDefault="008730EB" w:rsidP="008730EB">
      <w:pPr>
        <w:pStyle w:val="ListParagraph"/>
        <w:numPr>
          <w:ilvl w:val="0"/>
          <w:numId w:val="1"/>
        </w:numPr>
        <w:rPr>
          <w:rFonts w:ascii="Times New Roman" w:hAnsi="Times New Roman" w:cs="Times New Roman"/>
        </w:rPr>
      </w:pPr>
      <w:r w:rsidRPr="00FF7819">
        <w:rPr>
          <w:rFonts w:ascii="Times New Roman" w:hAnsi="Times New Roman" w:cs="Times New Roman"/>
          <w:b/>
          <w:bCs/>
        </w:rPr>
        <w:t>Services and Delivery</w:t>
      </w:r>
    </w:p>
    <w:p w14:paraId="66DDC1E3" w14:textId="77777777" w:rsidR="008730EB" w:rsidRDefault="008730EB" w:rsidP="008730EB">
      <w:pPr>
        <w:pStyle w:val="ListParagraph"/>
        <w:numPr>
          <w:ilvl w:val="1"/>
          <w:numId w:val="1"/>
        </w:numPr>
        <w:rPr>
          <w:rFonts w:ascii="Times New Roman" w:hAnsi="Times New Roman" w:cs="Times New Roman"/>
        </w:rPr>
      </w:pPr>
      <w:r w:rsidRPr="00FF7819">
        <w:rPr>
          <w:rFonts w:ascii="Times New Roman" w:hAnsi="Times New Roman" w:cs="Times New Roman"/>
          <w:b/>
          <w:bCs/>
        </w:rPr>
        <w:t>Training:</w:t>
      </w:r>
      <w:r w:rsidRPr="00FF7819">
        <w:rPr>
          <w:rFonts w:ascii="Times New Roman" w:hAnsi="Times New Roman" w:cs="Times New Roman"/>
        </w:rPr>
        <w:t xml:space="preserve"> A comprehensive training session on system function and use to be conducted no later than thirty (30) days after USAMRICD confirms receipt of all items. Training may be performed remotely or on-site.</w:t>
      </w:r>
    </w:p>
    <w:p w14:paraId="64640EC4" w14:textId="77777777" w:rsidR="008730EB" w:rsidRDefault="008730EB" w:rsidP="008730EB">
      <w:pPr>
        <w:pStyle w:val="ListParagraph"/>
        <w:numPr>
          <w:ilvl w:val="1"/>
          <w:numId w:val="1"/>
        </w:numPr>
        <w:rPr>
          <w:rFonts w:ascii="Times New Roman" w:hAnsi="Times New Roman" w:cs="Times New Roman"/>
        </w:rPr>
      </w:pPr>
      <w:r w:rsidRPr="00FF7819">
        <w:rPr>
          <w:rFonts w:ascii="Times New Roman" w:hAnsi="Times New Roman" w:cs="Times New Roman"/>
          <w:b/>
          <w:bCs/>
        </w:rPr>
        <w:t>Delivery:</w:t>
      </w:r>
      <w:r w:rsidRPr="00FF7819">
        <w:rPr>
          <w:rFonts w:ascii="Times New Roman" w:hAnsi="Times New Roman" w:cs="Times New Roman"/>
        </w:rPr>
        <w:t xml:space="preserve"> All items must be delivered within 12 weeks post-award.</w:t>
      </w:r>
    </w:p>
    <w:p w14:paraId="6D97576F" w14:textId="77777777" w:rsidR="008730EB" w:rsidRDefault="008730EB" w:rsidP="008730EB">
      <w:pPr>
        <w:pStyle w:val="ListParagraph"/>
        <w:ind w:left="1080"/>
        <w:rPr>
          <w:rFonts w:ascii="Times New Roman" w:hAnsi="Times New Roman" w:cs="Times New Roman"/>
        </w:rPr>
      </w:pPr>
    </w:p>
    <w:p w14:paraId="62021C2F" w14:textId="77777777" w:rsidR="008730EB" w:rsidRDefault="008730EB" w:rsidP="008730EB">
      <w:pPr>
        <w:pStyle w:val="ListParagraph"/>
        <w:numPr>
          <w:ilvl w:val="0"/>
          <w:numId w:val="1"/>
        </w:numPr>
        <w:rPr>
          <w:rFonts w:ascii="Times New Roman" w:hAnsi="Times New Roman" w:cs="Times New Roman"/>
        </w:rPr>
      </w:pPr>
      <w:r w:rsidRPr="00FF7819">
        <w:rPr>
          <w:rFonts w:ascii="Times New Roman" w:hAnsi="Times New Roman" w:cs="Times New Roman"/>
          <w:b/>
          <w:bCs/>
        </w:rPr>
        <w:t>Extended Warranty</w:t>
      </w:r>
    </w:p>
    <w:p w14:paraId="06000F6B" w14:textId="77777777" w:rsidR="008730EB" w:rsidRPr="00FF7819" w:rsidRDefault="008730EB" w:rsidP="008730EB">
      <w:pPr>
        <w:pStyle w:val="ListParagraph"/>
        <w:numPr>
          <w:ilvl w:val="1"/>
          <w:numId w:val="1"/>
        </w:numPr>
        <w:rPr>
          <w:rFonts w:ascii="Times New Roman" w:hAnsi="Times New Roman" w:cs="Times New Roman"/>
        </w:rPr>
      </w:pPr>
      <w:r w:rsidRPr="00FF7819">
        <w:rPr>
          <w:rFonts w:ascii="Times New Roman" w:hAnsi="Times New Roman" w:cs="Times New Roman"/>
        </w:rPr>
        <w:t xml:space="preserve">Please provide information </w:t>
      </w:r>
      <w:proofErr w:type="gramStart"/>
      <w:r w:rsidRPr="00FF7819">
        <w:rPr>
          <w:rFonts w:ascii="Times New Roman" w:hAnsi="Times New Roman" w:cs="Times New Roman"/>
        </w:rPr>
        <w:t>on availability</w:t>
      </w:r>
      <w:proofErr w:type="gramEnd"/>
      <w:r w:rsidRPr="00FF7819">
        <w:rPr>
          <w:rFonts w:ascii="Times New Roman" w:hAnsi="Times New Roman" w:cs="Times New Roman"/>
        </w:rPr>
        <w:t xml:space="preserve"> extended warrant</w:t>
      </w:r>
      <w:r>
        <w:rPr>
          <w:rFonts w:ascii="Times New Roman" w:hAnsi="Times New Roman" w:cs="Times New Roman"/>
        </w:rPr>
        <w:t>ies</w:t>
      </w:r>
      <w:r w:rsidRPr="00FF7819">
        <w:rPr>
          <w:rFonts w:ascii="Times New Roman" w:hAnsi="Times New Roman" w:cs="Times New Roman"/>
        </w:rPr>
        <w:t>.</w:t>
      </w:r>
    </w:p>
    <w:p w14:paraId="6527F65D" w14:textId="77777777" w:rsidR="00926277" w:rsidRDefault="00926277"/>
    <w:sectPr w:rsidR="009262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83F2C"/>
    <w:multiLevelType w:val="hybridMultilevel"/>
    <w:tmpl w:val="58AE641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07493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0EB"/>
    <w:rsid w:val="00003A42"/>
    <w:rsid w:val="002E2508"/>
    <w:rsid w:val="006C7111"/>
    <w:rsid w:val="00723350"/>
    <w:rsid w:val="007420CE"/>
    <w:rsid w:val="007C1FCD"/>
    <w:rsid w:val="008730EB"/>
    <w:rsid w:val="00926277"/>
    <w:rsid w:val="00946ED2"/>
    <w:rsid w:val="00B208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A573"/>
  <w15:chartTrackingRefBased/>
  <w15:docId w15:val="{71D6F768-1271-43CB-863A-B25629343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0EB"/>
  </w:style>
  <w:style w:type="paragraph" w:styleId="Heading1">
    <w:name w:val="heading 1"/>
    <w:basedOn w:val="Normal"/>
    <w:next w:val="Normal"/>
    <w:link w:val="Heading1Char"/>
    <w:uiPriority w:val="9"/>
    <w:qFormat/>
    <w:rsid w:val="008730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0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0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0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0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0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0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0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0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0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30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0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0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0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0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0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0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0EB"/>
    <w:rPr>
      <w:rFonts w:eastAsiaTheme="majorEastAsia" w:cstheme="majorBidi"/>
      <w:color w:val="272727" w:themeColor="text1" w:themeTint="D8"/>
    </w:rPr>
  </w:style>
  <w:style w:type="paragraph" w:styleId="Title">
    <w:name w:val="Title"/>
    <w:basedOn w:val="Normal"/>
    <w:next w:val="Normal"/>
    <w:link w:val="TitleChar"/>
    <w:uiPriority w:val="10"/>
    <w:qFormat/>
    <w:rsid w:val="00873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0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0EB"/>
    <w:pPr>
      <w:spacing w:before="160"/>
      <w:jc w:val="center"/>
    </w:pPr>
    <w:rPr>
      <w:i/>
      <w:iCs/>
      <w:color w:val="404040" w:themeColor="text1" w:themeTint="BF"/>
    </w:rPr>
  </w:style>
  <w:style w:type="character" w:customStyle="1" w:styleId="QuoteChar">
    <w:name w:val="Quote Char"/>
    <w:basedOn w:val="DefaultParagraphFont"/>
    <w:link w:val="Quote"/>
    <w:uiPriority w:val="29"/>
    <w:rsid w:val="008730EB"/>
    <w:rPr>
      <w:i/>
      <w:iCs/>
      <w:color w:val="404040" w:themeColor="text1" w:themeTint="BF"/>
    </w:rPr>
  </w:style>
  <w:style w:type="paragraph" w:styleId="ListParagraph">
    <w:name w:val="List Paragraph"/>
    <w:basedOn w:val="Normal"/>
    <w:uiPriority w:val="34"/>
    <w:qFormat/>
    <w:rsid w:val="008730EB"/>
    <w:pPr>
      <w:ind w:left="720"/>
      <w:contextualSpacing/>
    </w:pPr>
  </w:style>
  <w:style w:type="character" w:styleId="IntenseEmphasis">
    <w:name w:val="Intense Emphasis"/>
    <w:basedOn w:val="DefaultParagraphFont"/>
    <w:uiPriority w:val="21"/>
    <w:qFormat/>
    <w:rsid w:val="008730EB"/>
    <w:rPr>
      <w:i/>
      <w:iCs/>
      <w:color w:val="0F4761" w:themeColor="accent1" w:themeShade="BF"/>
    </w:rPr>
  </w:style>
  <w:style w:type="paragraph" w:styleId="IntenseQuote">
    <w:name w:val="Intense Quote"/>
    <w:basedOn w:val="Normal"/>
    <w:next w:val="Normal"/>
    <w:link w:val="IntenseQuoteChar"/>
    <w:uiPriority w:val="30"/>
    <w:qFormat/>
    <w:rsid w:val="008730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0EB"/>
    <w:rPr>
      <w:i/>
      <w:iCs/>
      <w:color w:val="0F4761" w:themeColor="accent1" w:themeShade="BF"/>
    </w:rPr>
  </w:style>
  <w:style w:type="character" w:styleId="IntenseReference">
    <w:name w:val="Intense Reference"/>
    <w:basedOn w:val="DefaultParagraphFont"/>
    <w:uiPriority w:val="32"/>
    <w:qFormat/>
    <w:rsid w:val="008730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a3f6ad-3d9b-49ad-9486-10bfd8fef73e}" enabled="1" method="Privileged" siteId="{8903a443-af33-4ed4-acf5-ee613bcb2f59}"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386</Words>
  <Characters>2309</Characters>
  <Application>Microsoft Office Word</Application>
  <DocSecurity>0</DocSecurity>
  <Lines>164</Lines>
  <Paragraphs>96</Paragraphs>
  <ScaleCrop>false</ScaleCrop>
  <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Vandevander, Nicholas A CIV DHA DHA CONTRACTING ACT (USA)</dc:creator>
  <cp:keywords/>
  <dc:description/>
  <cp:lastModifiedBy>Vandevander, Nicholas A CIV DHA DHA CONTRACTING ACT (USA)</cp:lastModifiedBy>
  <cp:revision>1</cp:revision>
  <dcterms:created xsi:type="dcterms:W3CDTF">2026-04-06T14:35:00Z</dcterms:created>
  <dcterms:modified xsi:type="dcterms:W3CDTF">2026-04-06T14:36:00Z</dcterms:modified>
</cp:coreProperties>
</file>