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>
      <w:pPr>
        <w:ind w:left="360"/>
        <w:sectPr>
          <w:type w:val="continuous"/>
          <w:pgMar w:top="1080" w:right="1440" w:bottom="1080" w:left="1440" w:header="360" w:footer="360"/>
          <w:cols w:space="720"/>
        </w:sectPr>
      </w:pPr>
      <w:r>
        <w:t>See attached document: DRAFT PWS Vascular Ulcer Care Pathway 4.17.26.</w:t>
      </w:r>
    </w:p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NEW AWARD - Vascular Ulcer Care Pathway (VA-25-00104851)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07724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36C10B26Q0354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04-22-2026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10AM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7A20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AA2CFA">
      <w:r>
        <w:t>See attached RFI and DRAFT PWS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AA2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CFA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A2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CF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CFA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CFA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2026-04-17T11:34:44Z</dcterms:created>
  <dcterms:modified xsi:type="dcterms:W3CDTF">2026-04-17T11:34:44Z</dcterms:modified>
</cp:coreProperties>
</file>