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0E14F" w14:textId="77777777" w:rsidR="00C32F3B" w:rsidRPr="002F1703" w:rsidRDefault="00C32F3B" w:rsidP="00635513">
      <w:pPr>
        <w:pStyle w:val="Heading1Custom"/>
        <w:spacing w:before="280" w:after="80"/>
        <w:jc w:val="center"/>
        <w:rPr>
          <w:rFonts w:ascii="Times New Roman" w:hAnsi="Times New Roman" w:cs="Times New Roman"/>
          <w:color w:val="auto"/>
          <w:sz w:val="24"/>
          <w:szCs w:val="24"/>
        </w:rPr>
      </w:pPr>
    </w:p>
    <w:p w14:paraId="66B21181" w14:textId="77777777" w:rsidR="00C32F3B" w:rsidRPr="002F1703" w:rsidRDefault="00C32F3B" w:rsidP="00635513">
      <w:pPr>
        <w:pStyle w:val="Heading1Custom"/>
        <w:spacing w:before="280" w:after="80"/>
        <w:jc w:val="center"/>
        <w:rPr>
          <w:rFonts w:ascii="Times New Roman" w:hAnsi="Times New Roman" w:cs="Times New Roman"/>
          <w:color w:val="auto"/>
          <w:sz w:val="24"/>
          <w:szCs w:val="24"/>
        </w:rPr>
      </w:pPr>
    </w:p>
    <w:p w14:paraId="18259E78" w14:textId="1CE05F3B" w:rsidR="00A34580" w:rsidRPr="00A34580" w:rsidRDefault="00A34580" w:rsidP="00635513">
      <w:pPr>
        <w:pStyle w:val="Heading1Custom"/>
        <w:spacing w:before="280" w:after="80"/>
        <w:jc w:val="center"/>
        <w:rPr>
          <w:rFonts w:ascii="Times New Roman" w:hAnsi="Times New Roman" w:cs="Times New Roman"/>
          <w:color w:val="auto"/>
          <w:sz w:val="24"/>
          <w:szCs w:val="24"/>
        </w:rPr>
      </w:pPr>
      <w:r w:rsidRPr="002F1703">
        <w:rPr>
          <w:rFonts w:ascii="Times New Roman" w:hAnsi="Times New Roman" w:cs="Times New Roman"/>
          <w:noProof/>
          <w:color w:val="auto"/>
          <w:sz w:val="24"/>
          <w:szCs w:val="24"/>
        </w:rPr>
        <w:drawing>
          <wp:inline distT="0" distB="0" distL="0" distR="0" wp14:anchorId="51C1F01E" wp14:editId="1F35B5A4">
            <wp:extent cx="1727200" cy="1727200"/>
            <wp:effectExtent l="0" t="0" r="6350" b="6350"/>
            <wp:docPr id="951644149" name="Picture 6" descr="officialfbi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officialfbiseal.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7200" cy="1727200"/>
                    </a:xfrm>
                    <a:prstGeom prst="rect">
                      <a:avLst/>
                    </a:prstGeom>
                    <a:noFill/>
                    <a:ln>
                      <a:noFill/>
                    </a:ln>
                  </pic:spPr>
                </pic:pic>
              </a:graphicData>
            </a:graphic>
          </wp:inline>
        </w:drawing>
      </w:r>
    </w:p>
    <w:p w14:paraId="763D26D3" w14:textId="77777777" w:rsidR="00A34580" w:rsidRPr="00A34580" w:rsidRDefault="00A34580" w:rsidP="00635513">
      <w:pPr>
        <w:pStyle w:val="Heading1Custom"/>
        <w:spacing w:before="280" w:after="80"/>
        <w:jc w:val="center"/>
        <w:rPr>
          <w:rFonts w:ascii="Times New Roman" w:hAnsi="Times New Roman" w:cs="Times New Roman"/>
          <w:color w:val="auto"/>
          <w:sz w:val="24"/>
          <w:szCs w:val="24"/>
        </w:rPr>
      </w:pPr>
    </w:p>
    <w:p w14:paraId="23076690" w14:textId="77777777" w:rsidR="00A34580" w:rsidRPr="00A34580" w:rsidRDefault="00A34580" w:rsidP="00635513">
      <w:pPr>
        <w:pStyle w:val="Heading1Custom"/>
        <w:spacing w:before="280" w:after="80"/>
        <w:jc w:val="center"/>
        <w:rPr>
          <w:rFonts w:ascii="Times New Roman" w:hAnsi="Times New Roman" w:cs="Times New Roman"/>
          <w:color w:val="auto"/>
          <w:sz w:val="24"/>
          <w:szCs w:val="24"/>
        </w:rPr>
      </w:pPr>
      <w:r w:rsidRPr="00A34580">
        <w:rPr>
          <w:rFonts w:ascii="Times New Roman" w:hAnsi="Times New Roman" w:cs="Times New Roman"/>
          <w:bCs/>
          <w:color w:val="auto"/>
          <w:sz w:val="24"/>
          <w:szCs w:val="24"/>
        </w:rPr>
        <w:t>Performance Work Statement (PWS)</w:t>
      </w:r>
    </w:p>
    <w:p w14:paraId="06F15892" w14:textId="2A0ACA1D" w:rsidR="00C32F3B" w:rsidRPr="00C966F6" w:rsidRDefault="009A789E" w:rsidP="00635513">
      <w:pPr>
        <w:pStyle w:val="Heading1Custom"/>
        <w:spacing w:before="280" w:after="80"/>
        <w:jc w:val="center"/>
        <w:rPr>
          <w:rFonts w:ascii="Times New Roman" w:hAnsi="Times New Roman" w:cs="Times New Roman"/>
          <w:bCs/>
          <w:color w:val="auto"/>
          <w:sz w:val="32"/>
          <w:szCs w:val="32"/>
        </w:rPr>
      </w:pPr>
      <w:r w:rsidRPr="00C966F6">
        <w:rPr>
          <w:rFonts w:ascii="Times New Roman" w:hAnsi="Times New Roman" w:cs="Times New Roman"/>
          <w:bCs/>
          <w:color w:val="auto"/>
          <w:sz w:val="32"/>
          <w:szCs w:val="32"/>
        </w:rPr>
        <w:t>Drug</w:t>
      </w:r>
      <w:r w:rsidR="00635513" w:rsidRPr="00C966F6">
        <w:rPr>
          <w:rFonts w:ascii="Times New Roman" w:hAnsi="Times New Roman" w:cs="Times New Roman"/>
          <w:bCs/>
          <w:color w:val="auto"/>
          <w:sz w:val="32"/>
          <w:szCs w:val="32"/>
        </w:rPr>
        <w:t xml:space="preserve"> Evidence Destruction Services </w:t>
      </w:r>
    </w:p>
    <w:p w14:paraId="1D9BAF71" w14:textId="77777777" w:rsidR="00A34580" w:rsidRPr="00A34580" w:rsidRDefault="00A34580" w:rsidP="00635513">
      <w:pPr>
        <w:pStyle w:val="Heading1Custom"/>
        <w:spacing w:before="280" w:after="80"/>
        <w:jc w:val="center"/>
        <w:rPr>
          <w:rFonts w:ascii="Times New Roman" w:hAnsi="Times New Roman" w:cs="Times New Roman"/>
          <w:color w:val="auto"/>
          <w:sz w:val="24"/>
          <w:szCs w:val="24"/>
        </w:rPr>
      </w:pPr>
    </w:p>
    <w:p w14:paraId="78A646C2" w14:textId="54029069" w:rsidR="00A34580" w:rsidRPr="00A34580" w:rsidRDefault="00C32F3B" w:rsidP="00635513">
      <w:pPr>
        <w:pStyle w:val="Heading1Custom"/>
        <w:spacing w:before="280" w:after="80"/>
        <w:jc w:val="center"/>
        <w:rPr>
          <w:rFonts w:ascii="Times New Roman" w:hAnsi="Times New Roman" w:cs="Times New Roman"/>
          <w:bCs/>
          <w:color w:val="auto"/>
          <w:sz w:val="24"/>
          <w:szCs w:val="24"/>
        </w:rPr>
      </w:pPr>
      <w:r w:rsidRPr="002F1703">
        <w:rPr>
          <w:rFonts w:ascii="Times New Roman" w:hAnsi="Times New Roman" w:cs="Times New Roman"/>
          <w:bCs/>
          <w:color w:val="auto"/>
          <w:sz w:val="24"/>
          <w:szCs w:val="24"/>
        </w:rPr>
        <w:t>8</w:t>
      </w:r>
      <w:r w:rsidR="00A34580" w:rsidRPr="00A34580">
        <w:rPr>
          <w:rFonts w:ascii="Times New Roman" w:hAnsi="Times New Roman" w:cs="Times New Roman"/>
          <w:bCs/>
          <w:color w:val="auto"/>
          <w:sz w:val="24"/>
          <w:szCs w:val="24"/>
        </w:rPr>
        <w:t xml:space="preserve"> </w:t>
      </w:r>
      <w:r w:rsidRPr="002F1703">
        <w:rPr>
          <w:rFonts w:ascii="Times New Roman" w:hAnsi="Times New Roman" w:cs="Times New Roman"/>
          <w:bCs/>
          <w:color w:val="auto"/>
          <w:sz w:val="24"/>
          <w:szCs w:val="24"/>
        </w:rPr>
        <w:t>APRIL</w:t>
      </w:r>
      <w:r w:rsidR="00A34580" w:rsidRPr="00A34580">
        <w:rPr>
          <w:rFonts w:ascii="Times New Roman" w:hAnsi="Times New Roman" w:cs="Times New Roman"/>
          <w:bCs/>
          <w:color w:val="auto"/>
          <w:sz w:val="24"/>
          <w:szCs w:val="24"/>
        </w:rPr>
        <w:t xml:space="preserve"> 2026</w:t>
      </w:r>
    </w:p>
    <w:p w14:paraId="3EB609BB" w14:textId="77777777" w:rsidR="00A34580" w:rsidRPr="002F1703" w:rsidRDefault="00A34580">
      <w:pPr>
        <w:rPr>
          <w:rFonts w:ascii="Times New Roman" w:hAnsi="Times New Roman" w:cs="Times New Roman"/>
          <w:b/>
          <w:sz w:val="24"/>
          <w:szCs w:val="24"/>
        </w:rPr>
      </w:pPr>
      <w:r w:rsidRPr="002F1703">
        <w:rPr>
          <w:rFonts w:ascii="Times New Roman" w:hAnsi="Times New Roman" w:cs="Times New Roman"/>
          <w:sz w:val="24"/>
          <w:szCs w:val="24"/>
        </w:rPr>
        <w:br w:type="page"/>
      </w:r>
    </w:p>
    <w:p w14:paraId="66D339AA" w14:textId="0036505F" w:rsidR="00761020" w:rsidRPr="002F1703" w:rsidRDefault="00000000" w:rsidP="002F1703">
      <w:pPr>
        <w:pStyle w:val="Heading1"/>
        <w:rPr>
          <w:sz w:val="24"/>
          <w:szCs w:val="24"/>
        </w:rPr>
      </w:pPr>
      <w:r w:rsidRPr="002F1703">
        <w:rPr>
          <w:sz w:val="24"/>
          <w:szCs w:val="24"/>
        </w:rPr>
        <w:lastRenderedPageBreak/>
        <w:t>1. Background</w:t>
      </w:r>
    </w:p>
    <w:p w14:paraId="50582358" w14:textId="77777777" w:rsidR="00761020" w:rsidRPr="002F1703" w:rsidRDefault="00000000">
      <w:pPr>
        <w:spacing w:after="120"/>
        <w:rPr>
          <w:rFonts w:ascii="Times New Roman" w:hAnsi="Times New Roman" w:cs="Times New Roman"/>
          <w:sz w:val="24"/>
          <w:szCs w:val="24"/>
        </w:rPr>
      </w:pPr>
      <w:r w:rsidRPr="002F1703">
        <w:rPr>
          <w:rFonts w:ascii="Times New Roman" w:hAnsi="Times New Roman" w:cs="Times New Roman"/>
          <w:sz w:val="24"/>
          <w:szCs w:val="24"/>
        </w:rPr>
        <w:t>The FBI and other federal agencies are experiencing sustained growth in narcotics seizures while legacy West Coast incineration capacity has declined due to facility closures and limited disposal availability. Field offices must continue to store narcotics in secure vaults under strict ventilation, security, and evidentiary controls while awaiting lawful destruction.</w:t>
      </w:r>
    </w:p>
    <w:p w14:paraId="0A23C6FB" w14:textId="77777777" w:rsidR="00761020" w:rsidRPr="002F1703" w:rsidRDefault="00000000" w:rsidP="002F1703">
      <w:pPr>
        <w:pStyle w:val="Heading1"/>
        <w:rPr>
          <w:sz w:val="24"/>
          <w:szCs w:val="24"/>
        </w:rPr>
      </w:pPr>
      <w:r w:rsidRPr="002F1703">
        <w:rPr>
          <w:sz w:val="24"/>
          <w:szCs w:val="24"/>
        </w:rPr>
        <w:t>2. Scope</w:t>
      </w:r>
    </w:p>
    <w:p w14:paraId="19953958" w14:textId="77777777" w:rsidR="00761020" w:rsidRPr="002F1703" w:rsidRDefault="00000000">
      <w:pPr>
        <w:spacing w:after="120"/>
        <w:rPr>
          <w:rFonts w:ascii="Times New Roman" w:hAnsi="Times New Roman" w:cs="Times New Roman"/>
          <w:sz w:val="24"/>
          <w:szCs w:val="24"/>
        </w:rPr>
      </w:pPr>
      <w:r w:rsidRPr="002F1703">
        <w:rPr>
          <w:rFonts w:ascii="Times New Roman" w:hAnsi="Times New Roman" w:cs="Times New Roman"/>
          <w:sz w:val="24"/>
          <w:szCs w:val="24"/>
        </w:rPr>
        <w:t>The Contractor shall provide all labor, supervision, management, equipment, materials, packaging, transportation support, documentation, regulatory support, and technical processes necessary to perform narcotics evidence destruction services in a manner that is safe, secure, auditable, environmentally responsible, and compliant with all applicable FBI requirements.</w:t>
      </w:r>
    </w:p>
    <w:p w14:paraId="0CC59441"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Receipt planning, scheduling, and mobilization for destruction events.</w:t>
      </w:r>
    </w:p>
    <w:p w14:paraId="12D52655"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On-site or off-site destruction using FBI-approved methods that render narcotics non-retrievable.</w:t>
      </w:r>
    </w:p>
    <w:p w14:paraId="162C3E82"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Handling of associated drug paraphernalia, contaminated consumables, and other related waste streams when specifically authorized.</w:t>
      </w:r>
    </w:p>
    <w:p w14:paraId="3A66BA79"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Chain-of-custody support, witnessing support, reconciliation, recordkeeping, and destruction certification.</w:t>
      </w:r>
    </w:p>
    <w:p w14:paraId="120C851C"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Regulatory, environmental, and safety documentation required to perform services legally.</w:t>
      </w:r>
    </w:p>
    <w:p w14:paraId="055B2BC9"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Contingency support for mobile, regional, or alternate destruction solutions where traditional incineration capacity is unavailable.</w:t>
      </w:r>
    </w:p>
    <w:p w14:paraId="15AB82BB" w14:textId="77777777" w:rsidR="00761020" w:rsidRPr="002F1703" w:rsidRDefault="00000000" w:rsidP="002F1703">
      <w:pPr>
        <w:pStyle w:val="Heading1"/>
        <w:rPr>
          <w:sz w:val="24"/>
          <w:szCs w:val="24"/>
        </w:rPr>
      </w:pPr>
      <w:r w:rsidRPr="002F1703">
        <w:rPr>
          <w:sz w:val="24"/>
          <w:szCs w:val="24"/>
        </w:rPr>
        <w:t>3. Objectives</w:t>
      </w:r>
    </w:p>
    <w:p w14:paraId="6FC30910"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Reduce operational and public risk associated with long-term narcotics storage and long-distance transport.</w:t>
      </w:r>
    </w:p>
    <w:p w14:paraId="283F8F71"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Provide safe, reliable, and environmentally sound destruction capacity for FBI evidence.</w:t>
      </w:r>
    </w:p>
    <w:p w14:paraId="296EB9CB"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Ensure destruction outcomes satisfy the non-retrievable standard and all approved policy requirements.</w:t>
      </w:r>
    </w:p>
    <w:p w14:paraId="17DA6F20"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Improve scheduling responsiveness for field offices with limited vault capacity or urgent destruction backlogs.</w:t>
      </w:r>
    </w:p>
    <w:p w14:paraId="31E5D1F4"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Produce complete, defensible documentation supporting audit, inspection, and evidentiary accountability.</w:t>
      </w:r>
    </w:p>
    <w:p w14:paraId="58B44160" w14:textId="77777777" w:rsidR="00761020" w:rsidRPr="002F1703" w:rsidRDefault="00000000" w:rsidP="002F1703">
      <w:pPr>
        <w:pStyle w:val="Heading1"/>
        <w:rPr>
          <w:sz w:val="24"/>
          <w:szCs w:val="24"/>
        </w:rPr>
      </w:pPr>
      <w:r w:rsidRPr="002F1703">
        <w:rPr>
          <w:sz w:val="24"/>
          <w:szCs w:val="24"/>
        </w:rPr>
        <w:lastRenderedPageBreak/>
        <w:t>4. Applicable Documents and Authorities</w:t>
      </w:r>
    </w:p>
    <w:p w14:paraId="163CE182" w14:textId="77777777" w:rsidR="00761020" w:rsidRPr="002F1703" w:rsidRDefault="00000000">
      <w:pPr>
        <w:spacing w:after="120"/>
        <w:rPr>
          <w:rFonts w:ascii="Times New Roman" w:hAnsi="Times New Roman" w:cs="Times New Roman"/>
          <w:sz w:val="24"/>
          <w:szCs w:val="24"/>
        </w:rPr>
      </w:pPr>
      <w:r w:rsidRPr="002F1703">
        <w:rPr>
          <w:rFonts w:ascii="Times New Roman" w:hAnsi="Times New Roman" w:cs="Times New Roman"/>
          <w:sz w:val="24"/>
          <w:szCs w:val="24"/>
        </w:rPr>
        <w:t>The Contractor shall comply with the latest versions of all laws, regulations, permits, standards, and policy documents identified by the Government at award or task order issuance. At a minimum, the following authorities are expected to apply:</w:t>
      </w:r>
    </w:p>
    <w:p w14:paraId="38A405B4"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21 CFR 1317.05 and 21 CFR 1300.05, or successor provisions governing non-retrievable destruction.</w:t>
      </w:r>
    </w:p>
    <w:p w14:paraId="077B9D31"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Applicable DEA, EPA, DOT, OSHA, state environmental, and local permitting requirements.</w:t>
      </w:r>
    </w:p>
    <w:p w14:paraId="2C4A0943"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Current FBI evidence handling, witness, transport, security, and destruction policies.</w:t>
      </w:r>
    </w:p>
    <w:p w14:paraId="2F522C7A"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Any FBI Criminal Division and Laboratory Division guidance issued to implement alternative disposal methods.</w:t>
      </w:r>
    </w:p>
    <w:p w14:paraId="7E8115B0"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Site-specific security, badging, escort, and operational requirements for FBI or partner facilities.</w:t>
      </w:r>
    </w:p>
    <w:p w14:paraId="392A0B2E" w14:textId="77777777" w:rsidR="00761020" w:rsidRPr="002F1703" w:rsidRDefault="00000000" w:rsidP="002F1703">
      <w:pPr>
        <w:pStyle w:val="Heading1"/>
        <w:rPr>
          <w:sz w:val="24"/>
          <w:szCs w:val="24"/>
        </w:rPr>
      </w:pPr>
      <w:r w:rsidRPr="002F1703">
        <w:rPr>
          <w:sz w:val="24"/>
          <w:szCs w:val="24"/>
        </w:rPr>
        <w:t>5. Performance Requirements</w:t>
      </w:r>
    </w:p>
    <w:p w14:paraId="1CFBC27F" w14:textId="77777777" w:rsidR="00761020" w:rsidRPr="002F1703" w:rsidRDefault="00000000" w:rsidP="002F1703">
      <w:pPr>
        <w:pStyle w:val="Heading2"/>
      </w:pPr>
      <w:r w:rsidRPr="002F1703">
        <w:t>5.1 General Service Requirements</w:t>
      </w:r>
    </w:p>
    <w:p w14:paraId="0161535D"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Perform destruction only after Government authorization and only at approved sites or by approved mobile processes.</w:t>
      </w:r>
    </w:p>
    <w:p w14:paraId="0DC7C65E"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Use destruction processes that permanently alter the controlled substance, are irreversible, and prevent future distribution, retrieval, or practical extraction.</w:t>
      </w:r>
    </w:p>
    <w:p w14:paraId="4411C4BD"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Maintain complete traceability from receipt through final destruction/disposal.</w:t>
      </w:r>
    </w:p>
    <w:p w14:paraId="78B55BAA"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Provide sufficient trained personnel, equipment, and surge capacity to execute scheduled events without avoidable delay.</w:t>
      </w:r>
    </w:p>
    <w:p w14:paraId="608A788D"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Protect personnel, the public, property, and the environment during all phases of performance.</w:t>
      </w:r>
    </w:p>
    <w:p w14:paraId="3B3F935D" w14:textId="77777777" w:rsidR="00761020" w:rsidRPr="002F1703" w:rsidRDefault="00000000" w:rsidP="002F1703">
      <w:pPr>
        <w:pStyle w:val="Heading2"/>
      </w:pPr>
      <w:r w:rsidRPr="002F1703">
        <w:t>5.2 Destruction Methods</w:t>
      </w:r>
    </w:p>
    <w:p w14:paraId="11051DF8" w14:textId="77777777" w:rsidR="00761020" w:rsidRPr="002F1703" w:rsidRDefault="00000000">
      <w:pPr>
        <w:spacing w:after="120"/>
        <w:rPr>
          <w:rFonts w:ascii="Times New Roman" w:hAnsi="Times New Roman" w:cs="Times New Roman"/>
          <w:sz w:val="24"/>
          <w:szCs w:val="24"/>
        </w:rPr>
      </w:pPr>
      <w:r w:rsidRPr="002F1703">
        <w:rPr>
          <w:rFonts w:ascii="Times New Roman" w:hAnsi="Times New Roman" w:cs="Times New Roman"/>
          <w:sz w:val="24"/>
          <w:szCs w:val="24"/>
        </w:rPr>
        <w:t>Approved methods may include incineration and other Government-authorized non-retrievable methods such as pyrolysis, chemical digestion/adsorption, chemical solidification/encapsulation, alkaline hydrolysis, or other processes specifically approved in writing by the Government. The Contractor shall not substitute methods without prior written approval.</w:t>
      </w:r>
    </w:p>
    <w:p w14:paraId="0C5B7C01" w14:textId="77777777" w:rsidR="00761020" w:rsidRPr="002F1703" w:rsidRDefault="00000000">
      <w:pPr>
        <w:spacing w:after="120"/>
        <w:rPr>
          <w:rFonts w:ascii="Times New Roman" w:hAnsi="Times New Roman" w:cs="Times New Roman"/>
          <w:sz w:val="24"/>
          <w:szCs w:val="24"/>
        </w:rPr>
      </w:pPr>
      <w:r w:rsidRPr="002F1703">
        <w:rPr>
          <w:rFonts w:ascii="Times New Roman" w:hAnsi="Times New Roman" w:cs="Times New Roman"/>
          <w:sz w:val="24"/>
          <w:szCs w:val="24"/>
        </w:rPr>
        <w:t>For each proposed method, the Contractor shall furnish a technical package describing the process, equipment, operating controls, emissions or waste profile, safety controls, final residual disposition, and rationale demonstrating that the method satisfies the non-retrievable standard.</w:t>
      </w:r>
    </w:p>
    <w:p w14:paraId="2CB0DBBA" w14:textId="77777777" w:rsidR="00761020" w:rsidRPr="002F1703" w:rsidRDefault="00000000" w:rsidP="002F1703">
      <w:pPr>
        <w:pStyle w:val="Heading2"/>
      </w:pPr>
      <w:r w:rsidRPr="002F1703">
        <w:t>5.3 Chain of Custody and Security</w:t>
      </w:r>
    </w:p>
    <w:p w14:paraId="17EA2C3D"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Maintain positive control of all material during handling, staging, processing, and final disposition.</w:t>
      </w:r>
    </w:p>
    <w:p w14:paraId="0DAFE672"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Use tamper-evident practices and documented transfer points.</w:t>
      </w:r>
    </w:p>
    <w:p w14:paraId="3028656D"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Support Government witness requirements and reconciliation procedures at each event.</w:t>
      </w:r>
    </w:p>
    <w:p w14:paraId="18C7E16A"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lastRenderedPageBreak/>
        <w:t>Immediately report discrepancies, seal breaks, shortages, overages, spills, safety incidents, or suspected diversion.</w:t>
      </w:r>
    </w:p>
    <w:p w14:paraId="471F58AE" w14:textId="77777777" w:rsidR="00761020" w:rsidRPr="002F1703" w:rsidRDefault="00000000" w:rsidP="002F1703">
      <w:pPr>
        <w:pStyle w:val="Heading2"/>
      </w:pPr>
      <w:r w:rsidRPr="002F1703">
        <w:t>5.4 Environmental, Health, and Safety</w:t>
      </w:r>
    </w:p>
    <w:p w14:paraId="1899D565"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Prepare and follow activity hazard analyses, emergency procedures, spill response procedures, and exposure controls appropriate to the materials handled.</w:t>
      </w:r>
    </w:p>
    <w:p w14:paraId="609C306C"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Comply with all permit conditions and waste-management requirements for process residuals.</w:t>
      </w:r>
    </w:p>
    <w:p w14:paraId="62FA89EE"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Ensure personnel have required training, personal protective equipment, and medical or respiratory clearances where applicable.</w:t>
      </w:r>
    </w:p>
    <w:p w14:paraId="408A627A"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Minimize emissions, secondary waste, and transport risk to the maximum extent practicable.</w:t>
      </w:r>
    </w:p>
    <w:p w14:paraId="17F0B532" w14:textId="77777777" w:rsidR="00761020" w:rsidRPr="002F1703" w:rsidRDefault="00000000" w:rsidP="002F1703">
      <w:pPr>
        <w:pStyle w:val="Heading2"/>
      </w:pPr>
      <w:r w:rsidRPr="002F1703">
        <w:t>5.5 Geographic Coverage</w:t>
      </w:r>
    </w:p>
    <w:p w14:paraId="0863EE99" w14:textId="77777777" w:rsidR="00761020" w:rsidRPr="002F1703" w:rsidRDefault="00000000">
      <w:pPr>
        <w:spacing w:after="120"/>
        <w:rPr>
          <w:rFonts w:ascii="Times New Roman" w:hAnsi="Times New Roman" w:cs="Times New Roman"/>
          <w:sz w:val="24"/>
          <w:szCs w:val="24"/>
        </w:rPr>
      </w:pPr>
      <w:r w:rsidRPr="002F1703">
        <w:rPr>
          <w:rFonts w:ascii="Times New Roman" w:hAnsi="Times New Roman" w:cs="Times New Roman"/>
          <w:sz w:val="24"/>
          <w:szCs w:val="24"/>
        </w:rPr>
        <w:t>The Contractor shall be capable of servicing FBI field offices identified by the Government. Initial emphasis is expected to include West Coast and western-region offices experiencing disposal constraints, such as Los Angeles, San Diego, San Francisco, El Paso, and Salt Lake City, as well as any additional locations identified during contract performance.</w:t>
      </w:r>
    </w:p>
    <w:p w14:paraId="7CC5163B" w14:textId="77777777" w:rsidR="00761020" w:rsidRPr="002F1703" w:rsidRDefault="00000000" w:rsidP="002F1703">
      <w:pPr>
        <w:pStyle w:val="Heading1"/>
      </w:pPr>
      <w:r w:rsidRPr="002F1703">
        <w:t>6. Tasks</w:t>
      </w:r>
    </w:p>
    <w:tbl>
      <w:tblPr>
        <w:tblStyle w:val="TableGrid"/>
        <w:tblW w:w="0" w:type="auto"/>
        <w:jc w:val="center"/>
        <w:tblLook w:val="04A0" w:firstRow="1" w:lastRow="0" w:firstColumn="1" w:lastColumn="0" w:noHBand="0" w:noVBand="1"/>
      </w:tblPr>
      <w:tblGrid>
        <w:gridCol w:w="2484"/>
        <w:gridCol w:w="2484"/>
        <w:gridCol w:w="2484"/>
        <w:gridCol w:w="2484"/>
      </w:tblGrid>
      <w:tr w:rsidR="002F1703" w:rsidRPr="002F1703" w14:paraId="7EDAC21F" w14:textId="77777777">
        <w:trPr>
          <w:jc w:val="center"/>
        </w:trPr>
        <w:tc>
          <w:tcPr>
            <w:tcW w:w="2484" w:type="dxa"/>
            <w:shd w:val="clear" w:color="auto" w:fill="D9E2F3"/>
            <w:tcMar>
              <w:top w:w="80" w:type="dxa"/>
              <w:left w:w="100" w:type="dxa"/>
              <w:bottom w:w="80" w:type="dxa"/>
              <w:right w:w="100" w:type="dxa"/>
            </w:tcMar>
            <w:vAlign w:val="center"/>
          </w:tcPr>
          <w:p w14:paraId="2FF2CD8C" w14:textId="77777777" w:rsidR="00761020" w:rsidRPr="002F1703" w:rsidRDefault="00000000">
            <w:pPr>
              <w:spacing w:before="40" w:after="40"/>
              <w:jc w:val="center"/>
              <w:rPr>
                <w:rFonts w:ascii="Times New Roman" w:hAnsi="Times New Roman" w:cs="Times New Roman"/>
                <w:sz w:val="24"/>
                <w:szCs w:val="24"/>
              </w:rPr>
            </w:pPr>
            <w:r w:rsidRPr="002F1703">
              <w:rPr>
                <w:rFonts w:ascii="Times New Roman" w:hAnsi="Times New Roman" w:cs="Times New Roman"/>
                <w:b/>
                <w:sz w:val="24"/>
                <w:szCs w:val="24"/>
              </w:rPr>
              <w:t>Task</w:t>
            </w:r>
          </w:p>
        </w:tc>
        <w:tc>
          <w:tcPr>
            <w:tcW w:w="2484" w:type="dxa"/>
            <w:shd w:val="clear" w:color="auto" w:fill="D9E2F3"/>
            <w:tcMar>
              <w:top w:w="80" w:type="dxa"/>
              <w:left w:w="100" w:type="dxa"/>
              <w:bottom w:w="80" w:type="dxa"/>
              <w:right w:w="100" w:type="dxa"/>
            </w:tcMar>
            <w:vAlign w:val="center"/>
          </w:tcPr>
          <w:p w14:paraId="10C42DEF" w14:textId="77777777" w:rsidR="00761020" w:rsidRPr="002F1703" w:rsidRDefault="00000000">
            <w:pPr>
              <w:spacing w:before="40" w:after="40"/>
              <w:jc w:val="center"/>
              <w:rPr>
                <w:rFonts w:ascii="Times New Roman" w:hAnsi="Times New Roman" w:cs="Times New Roman"/>
                <w:sz w:val="24"/>
                <w:szCs w:val="24"/>
              </w:rPr>
            </w:pPr>
            <w:r w:rsidRPr="002F1703">
              <w:rPr>
                <w:rFonts w:ascii="Times New Roman" w:hAnsi="Times New Roman" w:cs="Times New Roman"/>
                <w:b/>
                <w:sz w:val="24"/>
                <w:szCs w:val="24"/>
              </w:rPr>
              <w:t>Description</w:t>
            </w:r>
          </w:p>
        </w:tc>
        <w:tc>
          <w:tcPr>
            <w:tcW w:w="2484" w:type="dxa"/>
            <w:shd w:val="clear" w:color="auto" w:fill="D9E2F3"/>
            <w:tcMar>
              <w:top w:w="80" w:type="dxa"/>
              <w:left w:w="100" w:type="dxa"/>
              <w:bottom w:w="80" w:type="dxa"/>
              <w:right w:w="100" w:type="dxa"/>
            </w:tcMar>
            <w:vAlign w:val="center"/>
          </w:tcPr>
          <w:p w14:paraId="5122D488" w14:textId="77777777" w:rsidR="00761020" w:rsidRPr="002F1703" w:rsidRDefault="00000000">
            <w:pPr>
              <w:spacing w:before="40" w:after="40"/>
              <w:jc w:val="center"/>
              <w:rPr>
                <w:rFonts w:ascii="Times New Roman" w:hAnsi="Times New Roman" w:cs="Times New Roman"/>
                <w:sz w:val="24"/>
                <w:szCs w:val="24"/>
              </w:rPr>
            </w:pPr>
            <w:r w:rsidRPr="002F1703">
              <w:rPr>
                <w:rFonts w:ascii="Times New Roman" w:hAnsi="Times New Roman" w:cs="Times New Roman"/>
                <w:b/>
                <w:sz w:val="24"/>
                <w:szCs w:val="24"/>
              </w:rPr>
              <w:t>Minimum Output</w:t>
            </w:r>
          </w:p>
        </w:tc>
        <w:tc>
          <w:tcPr>
            <w:tcW w:w="2484" w:type="dxa"/>
            <w:shd w:val="clear" w:color="auto" w:fill="D9E2F3"/>
            <w:tcMar>
              <w:top w:w="80" w:type="dxa"/>
              <w:left w:w="100" w:type="dxa"/>
              <w:bottom w:w="80" w:type="dxa"/>
              <w:right w:w="100" w:type="dxa"/>
            </w:tcMar>
            <w:vAlign w:val="center"/>
          </w:tcPr>
          <w:p w14:paraId="404053C7" w14:textId="77777777" w:rsidR="00761020" w:rsidRPr="002F1703" w:rsidRDefault="00000000">
            <w:pPr>
              <w:spacing w:before="40" w:after="40"/>
              <w:jc w:val="center"/>
              <w:rPr>
                <w:rFonts w:ascii="Times New Roman" w:hAnsi="Times New Roman" w:cs="Times New Roman"/>
                <w:sz w:val="24"/>
                <w:szCs w:val="24"/>
              </w:rPr>
            </w:pPr>
            <w:r w:rsidRPr="002F1703">
              <w:rPr>
                <w:rFonts w:ascii="Times New Roman" w:hAnsi="Times New Roman" w:cs="Times New Roman"/>
                <w:b/>
                <w:sz w:val="24"/>
                <w:szCs w:val="24"/>
              </w:rPr>
              <w:t>Standard</w:t>
            </w:r>
          </w:p>
        </w:tc>
      </w:tr>
      <w:tr w:rsidR="002F1703" w:rsidRPr="002F1703" w14:paraId="74B95FFE" w14:textId="77777777">
        <w:trPr>
          <w:jc w:val="center"/>
        </w:trPr>
        <w:tc>
          <w:tcPr>
            <w:tcW w:w="2484" w:type="dxa"/>
            <w:tcMar>
              <w:top w:w="90" w:type="dxa"/>
              <w:left w:w="90" w:type="dxa"/>
              <w:bottom w:w="90" w:type="dxa"/>
              <w:right w:w="90" w:type="dxa"/>
            </w:tcMar>
            <w:vAlign w:val="center"/>
          </w:tcPr>
          <w:p w14:paraId="29560E62"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Task 1</w:t>
            </w:r>
          </w:p>
        </w:tc>
        <w:tc>
          <w:tcPr>
            <w:tcW w:w="2484" w:type="dxa"/>
            <w:tcMar>
              <w:top w:w="90" w:type="dxa"/>
              <w:left w:w="90" w:type="dxa"/>
              <w:bottom w:w="90" w:type="dxa"/>
              <w:right w:w="90" w:type="dxa"/>
            </w:tcMar>
            <w:vAlign w:val="center"/>
          </w:tcPr>
          <w:p w14:paraId="65728776"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Project kickoff, site assessment, and method validation.</w:t>
            </w:r>
          </w:p>
        </w:tc>
        <w:tc>
          <w:tcPr>
            <w:tcW w:w="2484" w:type="dxa"/>
            <w:tcMar>
              <w:top w:w="90" w:type="dxa"/>
              <w:left w:w="90" w:type="dxa"/>
              <w:bottom w:w="90" w:type="dxa"/>
              <w:right w:w="90" w:type="dxa"/>
            </w:tcMar>
            <w:vAlign w:val="center"/>
          </w:tcPr>
          <w:p w14:paraId="75C3AD1B"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Kickoff brief, site support plan, technical method package.</w:t>
            </w:r>
          </w:p>
        </w:tc>
        <w:tc>
          <w:tcPr>
            <w:tcW w:w="2484" w:type="dxa"/>
            <w:tcMar>
              <w:top w:w="90" w:type="dxa"/>
              <w:left w:w="90" w:type="dxa"/>
              <w:bottom w:w="90" w:type="dxa"/>
              <w:right w:w="90" w:type="dxa"/>
            </w:tcMar>
            <w:vAlign w:val="center"/>
          </w:tcPr>
          <w:p w14:paraId="6ED4CC95"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Accepted by COR/CO.</w:t>
            </w:r>
          </w:p>
        </w:tc>
      </w:tr>
      <w:tr w:rsidR="002F1703" w:rsidRPr="002F1703" w14:paraId="6D258DA9" w14:textId="77777777">
        <w:trPr>
          <w:jc w:val="center"/>
        </w:trPr>
        <w:tc>
          <w:tcPr>
            <w:tcW w:w="2484" w:type="dxa"/>
            <w:tcMar>
              <w:top w:w="90" w:type="dxa"/>
              <w:left w:w="90" w:type="dxa"/>
              <w:bottom w:w="90" w:type="dxa"/>
              <w:right w:w="90" w:type="dxa"/>
            </w:tcMar>
            <w:vAlign w:val="center"/>
          </w:tcPr>
          <w:p w14:paraId="06A49AD3"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Task 2</w:t>
            </w:r>
          </w:p>
        </w:tc>
        <w:tc>
          <w:tcPr>
            <w:tcW w:w="2484" w:type="dxa"/>
            <w:tcMar>
              <w:top w:w="90" w:type="dxa"/>
              <w:left w:w="90" w:type="dxa"/>
              <w:bottom w:w="90" w:type="dxa"/>
              <w:right w:w="90" w:type="dxa"/>
            </w:tcMar>
            <w:vAlign w:val="center"/>
          </w:tcPr>
          <w:p w14:paraId="73D43464"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Mobilization and scheduling of destruction events.</w:t>
            </w:r>
          </w:p>
        </w:tc>
        <w:tc>
          <w:tcPr>
            <w:tcW w:w="2484" w:type="dxa"/>
            <w:tcMar>
              <w:top w:w="90" w:type="dxa"/>
              <w:left w:w="90" w:type="dxa"/>
              <w:bottom w:w="90" w:type="dxa"/>
              <w:right w:w="90" w:type="dxa"/>
            </w:tcMar>
            <w:vAlign w:val="center"/>
          </w:tcPr>
          <w:p w14:paraId="2EEAD2D2"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Event plan with staffing, equipment, sequence, and witness support.</w:t>
            </w:r>
          </w:p>
        </w:tc>
        <w:tc>
          <w:tcPr>
            <w:tcW w:w="2484" w:type="dxa"/>
            <w:tcMar>
              <w:top w:w="90" w:type="dxa"/>
              <w:left w:w="90" w:type="dxa"/>
              <w:bottom w:w="90" w:type="dxa"/>
              <w:right w:w="90" w:type="dxa"/>
            </w:tcMar>
            <w:vAlign w:val="center"/>
          </w:tcPr>
          <w:p w14:paraId="01A68AC0"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Submitted before each event.</w:t>
            </w:r>
          </w:p>
        </w:tc>
      </w:tr>
      <w:tr w:rsidR="002F1703" w:rsidRPr="002F1703" w14:paraId="117E8311" w14:textId="77777777">
        <w:trPr>
          <w:jc w:val="center"/>
        </w:trPr>
        <w:tc>
          <w:tcPr>
            <w:tcW w:w="2484" w:type="dxa"/>
            <w:tcMar>
              <w:top w:w="90" w:type="dxa"/>
              <w:left w:w="90" w:type="dxa"/>
              <w:bottom w:w="90" w:type="dxa"/>
              <w:right w:w="90" w:type="dxa"/>
            </w:tcMar>
            <w:vAlign w:val="center"/>
          </w:tcPr>
          <w:p w14:paraId="54B88926"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Task 3</w:t>
            </w:r>
          </w:p>
        </w:tc>
        <w:tc>
          <w:tcPr>
            <w:tcW w:w="2484" w:type="dxa"/>
            <w:tcMar>
              <w:top w:w="90" w:type="dxa"/>
              <w:left w:w="90" w:type="dxa"/>
              <w:bottom w:w="90" w:type="dxa"/>
              <w:right w:w="90" w:type="dxa"/>
            </w:tcMar>
            <w:vAlign w:val="center"/>
          </w:tcPr>
          <w:p w14:paraId="46726CD1"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Execution of destruction services.</w:t>
            </w:r>
          </w:p>
        </w:tc>
        <w:tc>
          <w:tcPr>
            <w:tcW w:w="2484" w:type="dxa"/>
            <w:tcMar>
              <w:top w:w="90" w:type="dxa"/>
              <w:left w:w="90" w:type="dxa"/>
              <w:bottom w:w="90" w:type="dxa"/>
              <w:right w:w="90" w:type="dxa"/>
            </w:tcMar>
            <w:vAlign w:val="center"/>
          </w:tcPr>
          <w:p w14:paraId="2EC56AFD"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Completed destruction event with reconciliation and no unresolved discrepancy.</w:t>
            </w:r>
          </w:p>
        </w:tc>
        <w:tc>
          <w:tcPr>
            <w:tcW w:w="2484" w:type="dxa"/>
            <w:tcMar>
              <w:top w:w="90" w:type="dxa"/>
              <w:left w:w="90" w:type="dxa"/>
              <w:bottom w:w="90" w:type="dxa"/>
              <w:right w:w="90" w:type="dxa"/>
            </w:tcMar>
            <w:vAlign w:val="center"/>
          </w:tcPr>
          <w:p w14:paraId="66A63650"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Performed safely and in compliance with approved method.</w:t>
            </w:r>
          </w:p>
        </w:tc>
      </w:tr>
      <w:tr w:rsidR="002F1703" w:rsidRPr="002F1703" w14:paraId="7CC9382D" w14:textId="77777777">
        <w:trPr>
          <w:jc w:val="center"/>
        </w:trPr>
        <w:tc>
          <w:tcPr>
            <w:tcW w:w="2484" w:type="dxa"/>
            <w:tcMar>
              <w:top w:w="90" w:type="dxa"/>
              <w:left w:w="90" w:type="dxa"/>
              <w:bottom w:w="90" w:type="dxa"/>
              <w:right w:w="90" w:type="dxa"/>
            </w:tcMar>
            <w:vAlign w:val="center"/>
          </w:tcPr>
          <w:p w14:paraId="3D76DB26"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Task 4</w:t>
            </w:r>
          </w:p>
        </w:tc>
        <w:tc>
          <w:tcPr>
            <w:tcW w:w="2484" w:type="dxa"/>
            <w:tcMar>
              <w:top w:w="90" w:type="dxa"/>
              <w:left w:w="90" w:type="dxa"/>
              <w:bottom w:w="90" w:type="dxa"/>
              <w:right w:w="90" w:type="dxa"/>
            </w:tcMar>
            <w:vAlign w:val="center"/>
          </w:tcPr>
          <w:p w14:paraId="13C20E95"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Residuals and waste disposition.</w:t>
            </w:r>
          </w:p>
        </w:tc>
        <w:tc>
          <w:tcPr>
            <w:tcW w:w="2484" w:type="dxa"/>
            <w:tcMar>
              <w:top w:w="90" w:type="dxa"/>
              <w:left w:w="90" w:type="dxa"/>
              <w:bottom w:w="90" w:type="dxa"/>
              <w:right w:w="90" w:type="dxa"/>
            </w:tcMar>
            <w:vAlign w:val="center"/>
          </w:tcPr>
          <w:p w14:paraId="16B63270"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 xml:space="preserve">Manifesting/disposal records for ash, solids, liquids, filters, or other </w:t>
            </w:r>
            <w:r w:rsidRPr="002F1703">
              <w:rPr>
                <w:rFonts w:ascii="Times New Roman" w:hAnsi="Times New Roman" w:cs="Times New Roman"/>
                <w:sz w:val="24"/>
                <w:szCs w:val="24"/>
              </w:rPr>
              <w:lastRenderedPageBreak/>
              <w:t>residuals.</w:t>
            </w:r>
          </w:p>
        </w:tc>
        <w:tc>
          <w:tcPr>
            <w:tcW w:w="2484" w:type="dxa"/>
            <w:tcMar>
              <w:top w:w="90" w:type="dxa"/>
              <w:left w:w="90" w:type="dxa"/>
              <w:bottom w:w="90" w:type="dxa"/>
              <w:right w:w="90" w:type="dxa"/>
            </w:tcMar>
            <w:vAlign w:val="center"/>
          </w:tcPr>
          <w:p w14:paraId="66B9B107"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lastRenderedPageBreak/>
              <w:t>Legally compliant and traceable.</w:t>
            </w:r>
          </w:p>
        </w:tc>
      </w:tr>
      <w:tr w:rsidR="002F1703" w:rsidRPr="002F1703" w14:paraId="1421D927" w14:textId="77777777">
        <w:trPr>
          <w:jc w:val="center"/>
        </w:trPr>
        <w:tc>
          <w:tcPr>
            <w:tcW w:w="2484" w:type="dxa"/>
            <w:tcMar>
              <w:top w:w="90" w:type="dxa"/>
              <w:left w:w="90" w:type="dxa"/>
              <w:bottom w:w="90" w:type="dxa"/>
              <w:right w:w="90" w:type="dxa"/>
            </w:tcMar>
            <w:vAlign w:val="center"/>
          </w:tcPr>
          <w:p w14:paraId="4E7CFFFF"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Task 5</w:t>
            </w:r>
          </w:p>
        </w:tc>
        <w:tc>
          <w:tcPr>
            <w:tcW w:w="2484" w:type="dxa"/>
            <w:tcMar>
              <w:top w:w="90" w:type="dxa"/>
              <w:left w:w="90" w:type="dxa"/>
              <w:bottom w:w="90" w:type="dxa"/>
              <w:right w:w="90" w:type="dxa"/>
            </w:tcMar>
            <w:vAlign w:val="center"/>
          </w:tcPr>
          <w:p w14:paraId="2C75B7F9"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Documentation and certification.</w:t>
            </w:r>
          </w:p>
        </w:tc>
        <w:tc>
          <w:tcPr>
            <w:tcW w:w="2484" w:type="dxa"/>
            <w:tcMar>
              <w:top w:w="90" w:type="dxa"/>
              <w:left w:w="90" w:type="dxa"/>
              <w:bottom w:w="90" w:type="dxa"/>
              <w:right w:w="90" w:type="dxa"/>
            </w:tcMar>
            <w:vAlign w:val="center"/>
          </w:tcPr>
          <w:p w14:paraId="3B1F993C"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Certificate of destruction, inventory reconciliation, incident log if applicable.</w:t>
            </w:r>
          </w:p>
        </w:tc>
        <w:tc>
          <w:tcPr>
            <w:tcW w:w="2484" w:type="dxa"/>
            <w:tcMar>
              <w:top w:w="90" w:type="dxa"/>
              <w:left w:w="90" w:type="dxa"/>
              <w:bottom w:w="90" w:type="dxa"/>
              <w:right w:w="90" w:type="dxa"/>
            </w:tcMar>
            <w:vAlign w:val="center"/>
          </w:tcPr>
          <w:p w14:paraId="46465B1A"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Accurate, complete, and delivered on time.</w:t>
            </w:r>
          </w:p>
        </w:tc>
      </w:tr>
      <w:tr w:rsidR="002F1703" w:rsidRPr="002F1703" w14:paraId="713C43F3" w14:textId="77777777">
        <w:trPr>
          <w:jc w:val="center"/>
        </w:trPr>
        <w:tc>
          <w:tcPr>
            <w:tcW w:w="2484" w:type="dxa"/>
            <w:tcMar>
              <w:top w:w="90" w:type="dxa"/>
              <w:left w:w="90" w:type="dxa"/>
              <w:bottom w:w="90" w:type="dxa"/>
              <w:right w:w="90" w:type="dxa"/>
            </w:tcMar>
            <w:vAlign w:val="center"/>
          </w:tcPr>
          <w:p w14:paraId="71946570"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Task 6</w:t>
            </w:r>
          </w:p>
        </w:tc>
        <w:tc>
          <w:tcPr>
            <w:tcW w:w="2484" w:type="dxa"/>
            <w:tcMar>
              <w:top w:w="90" w:type="dxa"/>
              <w:left w:w="90" w:type="dxa"/>
              <w:bottom w:w="90" w:type="dxa"/>
              <w:right w:w="90" w:type="dxa"/>
            </w:tcMar>
            <w:vAlign w:val="center"/>
          </w:tcPr>
          <w:p w14:paraId="65046356"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Continuous improvement and reporting.</w:t>
            </w:r>
          </w:p>
        </w:tc>
        <w:tc>
          <w:tcPr>
            <w:tcW w:w="2484" w:type="dxa"/>
            <w:tcMar>
              <w:top w:w="90" w:type="dxa"/>
              <w:left w:w="90" w:type="dxa"/>
              <w:bottom w:w="90" w:type="dxa"/>
              <w:right w:w="90" w:type="dxa"/>
            </w:tcMar>
            <w:vAlign w:val="center"/>
          </w:tcPr>
          <w:p w14:paraId="7463B893"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Monthly status report, lessons learned, capacity constraints, corrective actions.</w:t>
            </w:r>
          </w:p>
        </w:tc>
        <w:tc>
          <w:tcPr>
            <w:tcW w:w="2484" w:type="dxa"/>
            <w:tcMar>
              <w:top w:w="90" w:type="dxa"/>
              <w:left w:w="90" w:type="dxa"/>
              <w:bottom w:w="90" w:type="dxa"/>
              <w:right w:w="90" w:type="dxa"/>
            </w:tcMar>
            <w:vAlign w:val="center"/>
          </w:tcPr>
          <w:p w14:paraId="30ACD38B"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Useful, concise, and actionable.</w:t>
            </w:r>
          </w:p>
        </w:tc>
      </w:tr>
    </w:tbl>
    <w:p w14:paraId="3007B3EB" w14:textId="77777777" w:rsidR="00761020" w:rsidRPr="002F1703" w:rsidRDefault="00000000" w:rsidP="002F1703">
      <w:pPr>
        <w:pStyle w:val="Heading1"/>
      </w:pPr>
      <w:r w:rsidRPr="002F1703">
        <w:t>7. Deliverables</w:t>
      </w:r>
    </w:p>
    <w:tbl>
      <w:tblPr>
        <w:tblStyle w:val="TableGrid"/>
        <w:tblW w:w="0" w:type="auto"/>
        <w:jc w:val="center"/>
        <w:tblLook w:val="04A0" w:firstRow="1" w:lastRow="0" w:firstColumn="1" w:lastColumn="0" w:noHBand="0" w:noVBand="1"/>
      </w:tblPr>
      <w:tblGrid>
        <w:gridCol w:w="2484"/>
        <w:gridCol w:w="2484"/>
        <w:gridCol w:w="2484"/>
        <w:gridCol w:w="2484"/>
      </w:tblGrid>
      <w:tr w:rsidR="002F1703" w:rsidRPr="002F1703" w14:paraId="202EC88D" w14:textId="77777777">
        <w:trPr>
          <w:jc w:val="center"/>
        </w:trPr>
        <w:tc>
          <w:tcPr>
            <w:tcW w:w="2484" w:type="dxa"/>
            <w:shd w:val="clear" w:color="auto" w:fill="D9EAD3"/>
            <w:tcMar>
              <w:top w:w="80" w:type="dxa"/>
              <w:left w:w="100" w:type="dxa"/>
              <w:bottom w:w="80" w:type="dxa"/>
              <w:right w:w="100" w:type="dxa"/>
            </w:tcMar>
            <w:vAlign w:val="center"/>
          </w:tcPr>
          <w:p w14:paraId="328E14EA" w14:textId="77777777" w:rsidR="00761020" w:rsidRPr="002F1703" w:rsidRDefault="00000000">
            <w:pPr>
              <w:spacing w:before="40" w:after="40"/>
              <w:jc w:val="center"/>
              <w:rPr>
                <w:rFonts w:ascii="Times New Roman" w:hAnsi="Times New Roman" w:cs="Times New Roman"/>
                <w:sz w:val="24"/>
                <w:szCs w:val="24"/>
              </w:rPr>
            </w:pPr>
            <w:r w:rsidRPr="002F1703">
              <w:rPr>
                <w:rFonts w:ascii="Times New Roman" w:hAnsi="Times New Roman" w:cs="Times New Roman"/>
                <w:b/>
                <w:sz w:val="24"/>
                <w:szCs w:val="24"/>
              </w:rPr>
              <w:t>Deliverable</w:t>
            </w:r>
          </w:p>
        </w:tc>
        <w:tc>
          <w:tcPr>
            <w:tcW w:w="2484" w:type="dxa"/>
            <w:shd w:val="clear" w:color="auto" w:fill="D9EAD3"/>
            <w:tcMar>
              <w:top w:w="80" w:type="dxa"/>
              <w:left w:w="100" w:type="dxa"/>
              <w:bottom w:w="80" w:type="dxa"/>
              <w:right w:w="100" w:type="dxa"/>
            </w:tcMar>
            <w:vAlign w:val="center"/>
          </w:tcPr>
          <w:p w14:paraId="0FC526FC" w14:textId="77777777" w:rsidR="00761020" w:rsidRPr="002F1703" w:rsidRDefault="00000000">
            <w:pPr>
              <w:spacing w:before="40" w:after="40"/>
              <w:jc w:val="center"/>
              <w:rPr>
                <w:rFonts w:ascii="Times New Roman" w:hAnsi="Times New Roman" w:cs="Times New Roman"/>
                <w:sz w:val="24"/>
                <w:szCs w:val="24"/>
              </w:rPr>
            </w:pPr>
            <w:r w:rsidRPr="002F1703">
              <w:rPr>
                <w:rFonts w:ascii="Times New Roman" w:hAnsi="Times New Roman" w:cs="Times New Roman"/>
                <w:b/>
                <w:sz w:val="24"/>
                <w:szCs w:val="24"/>
              </w:rPr>
              <w:t>Content</w:t>
            </w:r>
          </w:p>
        </w:tc>
        <w:tc>
          <w:tcPr>
            <w:tcW w:w="2484" w:type="dxa"/>
            <w:shd w:val="clear" w:color="auto" w:fill="D9EAD3"/>
            <w:tcMar>
              <w:top w:w="80" w:type="dxa"/>
              <w:left w:w="100" w:type="dxa"/>
              <w:bottom w:w="80" w:type="dxa"/>
              <w:right w:w="100" w:type="dxa"/>
            </w:tcMar>
            <w:vAlign w:val="center"/>
          </w:tcPr>
          <w:p w14:paraId="19753A16" w14:textId="77777777" w:rsidR="00761020" w:rsidRPr="002F1703" w:rsidRDefault="00000000">
            <w:pPr>
              <w:spacing w:before="40" w:after="40"/>
              <w:jc w:val="center"/>
              <w:rPr>
                <w:rFonts w:ascii="Times New Roman" w:hAnsi="Times New Roman" w:cs="Times New Roman"/>
                <w:sz w:val="24"/>
                <w:szCs w:val="24"/>
              </w:rPr>
            </w:pPr>
            <w:r w:rsidRPr="002F1703">
              <w:rPr>
                <w:rFonts w:ascii="Times New Roman" w:hAnsi="Times New Roman" w:cs="Times New Roman"/>
                <w:b/>
                <w:sz w:val="24"/>
                <w:szCs w:val="24"/>
              </w:rPr>
              <w:t>Due</w:t>
            </w:r>
          </w:p>
        </w:tc>
        <w:tc>
          <w:tcPr>
            <w:tcW w:w="2484" w:type="dxa"/>
            <w:shd w:val="clear" w:color="auto" w:fill="D9EAD3"/>
            <w:tcMar>
              <w:top w:w="80" w:type="dxa"/>
              <w:left w:w="100" w:type="dxa"/>
              <w:bottom w:w="80" w:type="dxa"/>
              <w:right w:w="100" w:type="dxa"/>
            </w:tcMar>
            <w:vAlign w:val="center"/>
          </w:tcPr>
          <w:p w14:paraId="41421BBC" w14:textId="77777777" w:rsidR="00761020" w:rsidRPr="002F1703" w:rsidRDefault="00000000">
            <w:pPr>
              <w:spacing w:before="40" w:after="40"/>
              <w:jc w:val="center"/>
              <w:rPr>
                <w:rFonts w:ascii="Times New Roman" w:hAnsi="Times New Roman" w:cs="Times New Roman"/>
                <w:sz w:val="24"/>
                <w:szCs w:val="24"/>
              </w:rPr>
            </w:pPr>
            <w:r w:rsidRPr="002F1703">
              <w:rPr>
                <w:rFonts w:ascii="Times New Roman" w:hAnsi="Times New Roman" w:cs="Times New Roman"/>
                <w:b/>
                <w:sz w:val="24"/>
                <w:szCs w:val="24"/>
              </w:rPr>
              <w:t>Format</w:t>
            </w:r>
          </w:p>
        </w:tc>
      </w:tr>
      <w:tr w:rsidR="002F1703" w:rsidRPr="002F1703" w14:paraId="4AEB1220" w14:textId="77777777">
        <w:trPr>
          <w:jc w:val="center"/>
        </w:trPr>
        <w:tc>
          <w:tcPr>
            <w:tcW w:w="2484" w:type="dxa"/>
            <w:tcMar>
              <w:top w:w="90" w:type="dxa"/>
              <w:left w:w="90" w:type="dxa"/>
              <w:bottom w:w="90" w:type="dxa"/>
              <w:right w:w="90" w:type="dxa"/>
            </w:tcMar>
            <w:vAlign w:val="center"/>
          </w:tcPr>
          <w:p w14:paraId="3DD0871D"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Project Management Plan</w:t>
            </w:r>
          </w:p>
        </w:tc>
        <w:tc>
          <w:tcPr>
            <w:tcW w:w="2484" w:type="dxa"/>
            <w:tcMar>
              <w:top w:w="90" w:type="dxa"/>
              <w:left w:w="90" w:type="dxa"/>
              <w:bottom w:w="90" w:type="dxa"/>
              <w:right w:w="90" w:type="dxa"/>
            </w:tcMar>
            <w:vAlign w:val="center"/>
          </w:tcPr>
          <w:p w14:paraId="03DC3EBA"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Organization, staffing, communication, quality control, risk management, and escalation paths.</w:t>
            </w:r>
          </w:p>
        </w:tc>
        <w:tc>
          <w:tcPr>
            <w:tcW w:w="2484" w:type="dxa"/>
            <w:tcMar>
              <w:top w:w="90" w:type="dxa"/>
              <w:left w:w="90" w:type="dxa"/>
              <w:bottom w:w="90" w:type="dxa"/>
              <w:right w:w="90" w:type="dxa"/>
            </w:tcMar>
            <w:vAlign w:val="center"/>
          </w:tcPr>
          <w:p w14:paraId="335F1B38"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15 calendar days after award</w:t>
            </w:r>
          </w:p>
        </w:tc>
        <w:tc>
          <w:tcPr>
            <w:tcW w:w="2484" w:type="dxa"/>
            <w:tcMar>
              <w:top w:w="90" w:type="dxa"/>
              <w:left w:w="90" w:type="dxa"/>
              <w:bottom w:w="90" w:type="dxa"/>
              <w:right w:w="90" w:type="dxa"/>
            </w:tcMar>
            <w:vAlign w:val="center"/>
          </w:tcPr>
          <w:p w14:paraId="62A40F47"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Electronic PDF / editable source</w:t>
            </w:r>
          </w:p>
        </w:tc>
      </w:tr>
      <w:tr w:rsidR="002F1703" w:rsidRPr="002F1703" w14:paraId="5C3E8629" w14:textId="77777777">
        <w:trPr>
          <w:jc w:val="center"/>
        </w:trPr>
        <w:tc>
          <w:tcPr>
            <w:tcW w:w="2484" w:type="dxa"/>
            <w:tcMar>
              <w:top w:w="90" w:type="dxa"/>
              <w:left w:w="90" w:type="dxa"/>
              <w:bottom w:w="90" w:type="dxa"/>
              <w:right w:w="90" w:type="dxa"/>
            </w:tcMar>
            <w:vAlign w:val="center"/>
          </w:tcPr>
          <w:p w14:paraId="37232EB7"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Technical Method Package</w:t>
            </w:r>
          </w:p>
        </w:tc>
        <w:tc>
          <w:tcPr>
            <w:tcW w:w="2484" w:type="dxa"/>
            <w:tcMar>
              <w:top w:w="90" w:type="dxa"/>
              <w:left w:w="90" w:type="dxa"/>
              <w:bottom w:w="90" w:type="dxa"/>
              <w:right w:w="90" w:type="dxa"/>
            </w:tcMar>
            <w:vAlign w:val="center"/>
          </w:tcPr>
          <w:p w14:paraId="5BC3FB32"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Method description, non-retrievable basis, permits, waste profile, safety controls, and residual handling.</w:t>
            </w:r>
          </w:p>
        </w:tc>
        <w:tc>
          <w:tcPr>
            <w:tcW w:w="2484" w:type="dxa"/>
            <w:tcMar>
              <w:top w:w="90" w:type="dxa"/>
              <w:left w:w="90" w:type="dxa"/>
              <w:bottom w:w="90" w:type="dxa"/>
              <w:right w:w="90" w:type="dxa"/>
            </w:tcMar>
            <w:vAlign w:val="center"/>
          </w:tcPr>
          <w:p w14:paraId="08888968"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Before method approval</w:t>
            </w:r>
          </w:p>
        </w:tc>
        <w:tc>
          <w:tcPr>
            <w:tcW w:w="2484" w:type="dxa"/>
            <w:tcMar>
              <w:top w:w="90" w:type="dxa"/>
              <w:left w:w="90" w:type="dxa"/>
              <w:bottom w:w="90" w:type="dxa"/>
              <w:right w:w="90" w:type="dxa"/>
            </w:tcMar>
            <w:vAlign w:val="center"/>
          </w:tcPr>
          <w:p w14:paraId="790BFEE5"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Electronic PDF</w:t>
            </w:r>
          </w:p>
        </w:tc>
      </w:tr>
      <w:tr w:rsidR="002F1703" w:rsidRPr="002F1703" w14:paraId="40E30465" w14:textId="77777777">
        <w:trPr>
          <w:jc w:val="center"/>
        </w:trPr>
        <w:tc>
          <w:tcPr>
            <w:tcW w:w="2484" w:type="dxa"/>
            <w:tcMar>
              <w:top w:w="90" w:type="dxa"/>
              <w:left w:w="90" w:type="dxa"/>
              <w:bottom w:w="90" w:type="dxa"/>
              <w:right w:w="90" w:type="dxa"/>
            </w:tcMar>
            <w:vAlign w:val="center"/>
          </w:tcPr>
          <w:p w14:paraId="65ADAD2E"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Site/Event Execution Plan</w:t>
            </w:r>
          </w:p>
        </w:tc>
        <w:tc>
          <w:tcPr>
            <w:tcW w:w="2484" w:type="dxa"/>
            <w:tcMar>
              <w:top w:w="90" w:type="dxa"/>
              <w:left w:w="90" w:type="dxa"/>
              <w:bottom w:w="90" w:type="dxa"/>
              <w:right w:w="90" w:type="dxa"/>
            </w:tcMar>
            <w:vAlign w:val="center"/>
          </w:tcPr>
          <w:p w14:paraId="52D9B931"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Date, location, staffing, equipment, witness support, emergency contacts, and sequence of operations.</w:t>
            </w:r>
          </w:p>
        </w:tc>
        <w:tc>
          <w:tcPr>
            <w:tcW w:w="2484" w:type="dxa"/>
            <w:tcMar>
              <w:top w:w="90" w:type="dxa"/>
              <w:left w:w="90" w:type="dxa"/>
              <w:bottom w:w="90" w:type="dxa"/>
              <w:right w:w="90" w:type="dxa"/>
            </w:tcMar>
            <w:vAlign w:val="center"/>
          </w:tcPr>
          <w:p w14:paraId="05A273D5"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At least 5 business days before event unless otherwise directed</w:t>
            </w:r>
          </w:p>
        </w:tc>
        <w:tc>
          <w:tcPr>
            <w:tcW w:w="2484" w:type="dxa"/>
            <w:tcMar>
              <w:top w:w="90" w:type="dxa"/>
              <w:left w:w="90" w:type="dxa"/>
              <w:bottom w:w="90" w:type="dxa"/>
              <w:right w:w="90" w:type="dxa"/>
            </w:tcMar>
            <w:vAlign w:val="center"/>
          </w:tcPr>
          <w:p w14:paraId="44425C7D"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Electronic PDF</w:t>
            </w:r>
          </w:p>
        </w:tc>
      </w:tr>
      <w:tr w:rsidR="002F1703" w:rsidRPr="002F1703" w14:paraId="1EB61754" w14:textId="77777777">
        <w:trPr>
          <w:jc w:val="center"/>
        </w:trPr>
        <w:tc>
          <w:tcPr>
            <w:tcW w:w="2484" w:type="dxa"/>
            <w:tcMar>
              <w:top w:w="90" w:type="dxa"/>
              <w:left w:w="90" w:type="dxa"/>
              <w:bottom w:w="90" w:type="dxa"/>
              <w:right w:w="90" w:type="dxa"/>
            </w:tcMar>
            <w:vAlign w:val="center"/>
          </w:tcPr>
          <w:p w14:paraId="602C807D"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Certificate of Destruction</w:t>
            </w:r>
          </w:p>
        </w:tc>
        <w:tc>
          <w:tcPr>
            <w:tcW w:w="2484" w:type="dxa"/>
            <w:tcMar>
              <w:top w:w="90" w:type="dxa"/>
              <w:left w:w="90" w:type="dxa"/>
              <w:bottom w:w="90" w:type="dxa"/>
              <w:right w:w="90" w:type="dxa"/>
            </w:tcMar>
            <w:vAlign w:val="center"/>
          </w:tcPr>
          <w:p w14:paraId="264A2789"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 xml:space="preserve">Date, location, inventory reference, quantity destroyed, method used, witness identifiers, and </w:t>
            </w:r>
            <w:r w:rsidRPr="002F1703">
              <w:rPr>
                <w:rFonts w:ascii="Times New Roman" w:hAnsi="Times New Roman" w:cs="Times New Roman"/>
                <w:sz w:val="24"/>
                <w:szCs w:val="24"/>
              </w:rPr>
              <w:lastRenderedPageBreak/>
              <w:t>contractor certification.</w:t>
            </w:r>
          </w:p>
        </w:tc>
        <w:tc>
          <w:tcPr>
            <w:tcW w:w="2484" w:type="dxa"/>
            <w:tcMar>
              <w:top w:w="90" w:type="dxa"/>
              <w:left w:w="90" w:type="dxa"/>
              <w:bottom w:w="90" w:type="dxa"/>
              <w:right w:w="90" w:type="dxa"/>
            </w:tcMar>
            <w:vAlign w:val="center"/>
          </w:tcPr>
          <w:p w14:paraId="05DB6A5F"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lastRenderedPageBreak/>
              <w:t>Within 2 business days after event</w:t>
            </w:r>
          </w:p>
        </w:tc>
        <w:tc>
          <w:tcPr>
            <w:tcW w:w="2484" w:type="dxa"/>
            <w:tcMar>
              <w:top w:w="90" w:type="dxa"/>
              <w:left w:w="90" w:type="dxa"/>
              <w:bottom w:w="90" w:type="dxa"/>
              <w:right w:w="90" w:type="dxa"/>
            </w:tcMar>
            <w:vAlign w:val="center"/>
          </w:tcPr>
          <w:p w14:paraId="4D8C6972"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Electronic PDF</w:t>
            </w:r>
          </w:p>
        </w:tc>
      </w:tr>
      <w:tr w:rsidR="002F1703" w:rsidRPr="002F1703" w14:paraId="605B2858" w14:textId="77777777">
        <w:trPr>
          <w:jc w:val="center"/>
        </w:trPr>
        <w:tc>
          <w:tcPr>
            <w:tcW w:w="2484" w:type="dxa"/>
            <w:tcMar>
              <w:top w:w="90" w:type="dxa"/>
              <w:left w:w="90" w:type="dxa"/>
              <w:bottom w:w="90" w:type="dxa"/>
              <w:right w:w="90" w:type="dxa"/>
            </w:tcMar>
            <w:vAlign w:val="center"/>
          </w:tcPr>
          <w:p w14:paraId="4AA9ADFC"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Incident Report</w:t>
            </w:r>
          </w:p>
        </w:tc>
        <w:tc>
          <w:tcPr>
            <w:tcW w:w="2484" w:type="dxa"/>
            <w:tcMar>
              <w:top w:w="90" w:type="dxa"/>
              <w:left w:w="90" w:type="dxa"/>
              <w:bottom w:w="90" w:type="dxa"/>
              <w:right w:w="90" w:type="dxa"/>
            </w:tcMar>
            <w:vAlign w:val="center"/>
          </w:tcPr>
          <w:p w14:paraId="6A84666D"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Description of discrepancy, spill, injury, equipment failure, or security concern; corrective actions.</w:t>
            </w:r>
          </w:p>
        </w:tc>
        <w:tc>
          <w:tcPr>
            <w:tcW w:w="2484" w:type="dxa"/>
            <w:tcMar>
              <w:top w:w="90" w:type="dxa"/>
              <w:left w:w="90" w:type="dxa"/>
              <w:bottom w:w="90" w:type="dxa"/>
              <w:right w:w="90" w:type="dxa"/>
            </w:tcMar>
            <w:vAlign w:val="center"/>
          </w:tcPr>
          <w:p w14:paraId="745A412E"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Within 24 hours of incident</w:t>
            </w:r>
          </w:p>
        </w:tc>
        <w:tc>
          <w:tcPr>
            <w:tcW w:w="2484" w:type="dxa"/>
            <w:tcMar>
              <w:top w:w="90" w:type="dxa"/>
              <w:left w:w="90" w:type="dxa"/>
              <w:bottom w:w="90" w:type="dxa"/>
              <w:right w:w="90" w:type="dxa"/>
            </w:tcMar>
            <w:vAlign w:val="center"/>
          </w:tcPr>
          <w:p w14:paraId="45837CE5"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Electronic PDF</w:t>
            </w:r>
          </w:p>
        </w:tc>
      </w:tr>
      <w:tr w:rsidR="002F1703" w:rsidRPr="002F1703" w14:paraId="0F5C8DC0" w14:textId="77777777">
        <w:trPr>
          <w:jc w:val="center"/>
        </w:trPr>
        <w:tc>
          <w:tcPr>
            <w:tcW w:w="2484" w:type="dxa"/>
            <w:tcMar>
              <w:top w:w="90" w:type="dxa"/>
              <w:left w:w="90" w:type="dxa"/>
              <w:bottom w:w="90" w:type="dxa"/>
              <w:right w:w="90" w:type="dxa"/>
            </w:tcMar>
            <w:vAlign w:val="center"/>
          </w:tcPr>
          <w:p w14:paraId="242798EE"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Monthly Status Report</w:t>
            </w:r>
          </w:p>
        </w:tc>
        <w:tc>
          <w:tcPr>
            <w:tcW w:w="2484" w:type="dxa"/>
            <w:tcMar>
              <w:top w:w="90" w:type="dxa"/>
              <w:left w:w="90" w:type="dxa"/>
              <w:bottom w:w="90" w:type="dxa"/>
              <w:right w:w="90" w:type="dxa"/>
            </w:tcMar>
            <w:vAlign w:val="center"/>
          </w:tcPr>
          <w:p w14:paraId="1E229796"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Events completed, quantities processed, pending sites, issues, corrective actions, and forecast.</w:t>
            </w:r>
          </w:p>
        </w:tc>
        <w:tc>
          <w:tcPr>
            <w:tcW w:w="2484" w:type="dxa"/>
            <w:tcMar>
              <w:top w:w="90" w:type="dxa"/>
              <w:left w:w="90" w:type="dxa"/>
              <w:bottom w:w="90" w:type="dxa"/>
              <w:right w:w="90" w:type="dxa"/>
            </w:tcMar>
            <w:vAlign w:val="center"/>
          </w:tcPr>
          <w:p w14:paraId="301E2704"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Monthly</w:t>
            </w:r>
          </w:p>
        </w:tc>
        <w:tc>
          <w:tcPr>
            <w:tcW w:w="2484" w:type="dxa"/>
            <w:tcMar>
              <w:top w:w="90" w:type="dxa"/>
              <w:left w:w="90" w:type="dxa"/>
              <w:bottom w:w="90" w:type="dxa"/>
              <w:right w:w="90" w:type="dxa"/>
            </w:tcMar>
            <w:vAlign w:val="center"/>
          </w:tcPr>
          <w:p w14:paraId="0FCB8FE9"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Electronic PDF</w:t>
            </w:r>
          </w:p>
        </w:tc>
      </w:tr>
    </w:tbl>
    <w:p w14:paraId="6CB6C9C0" w14:textId="77777777" w:rsidR="00761020" w:rsidRPr="002F1703" w:rsidRDefault="00000000" w:rsidP="002F1703">
      <w:pPr>
        <w:pStyle w:val="Heading1"/>
      </w:pPr>
      <w:r w:rsidRPr="002F1703">
        <w:t>8. Quality Assurance Surveillance Summary</w:t>
      </w:r>
    </w:p>
    <w:p w14:paraId="3B66C422" w14:textId="77777777" w:rsidR="00761020" w:rsidRPr="002F1703" w:rsidRDefault="00000000">
      <w:pPr>
        <w:spacing w:after="120"/>
        <w:rPr>
          <w:rFonts w:ascii="Times New Roman" w:hAnsi="Times New Roman" w:cs="Times New Roman"/>
          <w:sz w:val="24"/>
          <w:szCs w:val="24"/>
        </w:rPr>
      </w:pPr>
      <w:r w:rsidRPr="002F1703">
        <w:rPr>
          <w:rFonts w:ascii="Times New Roman" w:hAnsi="Times New Roman" w:cs="Times New Roman"/>
          <w:sz w:val="24"/>
          <w:szCs w:val="24"/>
        </w:rPr>
        <w:t>The Government may use inspection, observation, document review, witness verification, trend analysis, corrective action requests, and invoice validation to assess performance.</w:t>
      </w:r>
    </w:p>
    <w:tbl>
      <w:tblPr>
        <w:tblStyle w:val="TableGrid"/>
        <w:tblW w:w="0" w:type="auto"/>
        <w:jc w:val="center"/>
        <w:tblLook w:val="04A0" w:firstRow="1" w:lastRow="0" w:firstColumn="1" w:lastColumn="0" w:noHBand="0" w:noVBand="1"/>
      </w:tblPr>
      <w:tblGrid>
        <w:gridCol w:w="2460"/>
        <w:gridCol w:w="2766"/>
        <w:gridCol w:w="2454"/>
        <w:gridCol w:w="2456"/>
      </w:tblGrid>
      <w:tr w:rsidR="002F1703" w:rsidRPr="002F1703" w14:paraId="5E9C1430" w14:textId="77777777">
        <w:trPr>
          <w:jc w:val="center"/>
        </w:trPr>
        <w:tc>
          <w:tcPr>
            <w:tcW w:w="2484" w:type="dxa"/>
            <w:shd w:val="clear" w:color="auto" w:fill="FCE5CD"/>
            <w:tcMar>
              <w:top w:w="80" w:type="dxa"/>
              <w:left w:w="100" w:type="dxa"/>
              <w:bottom w:w="80" w:type="dxa"/>
              <w:right w:w="100" w:type="dxa"/>
            </w:tcMar>
            <w:vAlign w:val="center"/>
          </w:tcPr>
          <w:p w14:paraId="707F3014" w14:textId="77777777" w:rsidR="00761020" w:rsidRPr="002F1703" w:rsidRDefault="00000000">
            <w:pPr>
              <w:spacing w:before="40" w:after="40"/>
              <w:jc w:val="center"/>
              <w:rPr>
                <w:rFonts w:ascii="Times New Roman" w:hAnsi="Times New Roman" w:cs="Times New Roman"/>
                <w:sz w:val="24"/>
                <w:szCs w:val="24"/>
              </w:rPr>
            </w:pPr>
            <w:r w:rsidRPr="002F1703">
              <w:rPr>
                <w:rFonts w:ascii="Times New Roman" w:hAnsi="Times New Roman" w:cs="Times New Roman"/>
                <w:b/>
                <w:sz w:val="24"/>
                <w:szCs w:val="24"/>
              </w:rPr>
              <w:t>Performance Objective</w:t>
            </w:r>
          </w:p>
        </w:tc>
        <w:tc>
          <w:tcPr>
            <w:tcW w:w="2484" w:type="dxa"/>
            <w:shd w:val="clear" w:color="auto" w:fill="FCE5CD"/>
            <w:tcMar>
              <w:top w:w="80" w:type="dxa"/>
              <w:left w:w="100" w:type="dxa"/>
              <w:bottom w:w="80" w:type="dxa"/>
              <w:right w:w="100" w:type="dxa"/>
            </w:tcMar>
            <w:vAlign w:val="center"/>
          </w:tcPr>
          <w:p w14:paraId="5A646666" w14:textId="77777777" w:rsidR="00761020" w:rsidRPr="002F1703" w:rsidRDefault="00000000">
            <w:pPr>
              <w:spacing w:before="40" w:after="40"/>
              <w:jc w:val="center"/>
              <w:rPr>
                <w:rFonts w:ascii="Times New Roman" w:hAnsi="Times New Roman" w:cs="Times New Roman"/>
                <w:sz w:val="24"/>
                <w:szCs w:val="24"/>
              </w:rPr>
            </w:pPr>
            <w:r w:rsidRPr="002F1703">
              <w:rPr>
                <w:rFonts w:ascii="Times New Roman" w:hAnsi="Times New Roman" w:cs="Times New Roman"/>
                <w:b/>
                <w:sz w:val="24"/>
                <w:szCs w:val="24"/>
              </w:rPr>
              <w:t>Metric</w:t>
            </w:r>
          </w:p>
        </w:tc>
        <w:tc>
          <w:tcPr>
            <w:tcW w:w="2484" w:type="dxa"/>
            <w:shd w:val="clear" w:color="auto" w:fill="FCE5CD"/>
            <w:tcMar>
              <w:top w:w="80" w:type="dxa"/>
              <w:left w:w="100" w:type="dxa"/>
              <w:bottom w:w="80" w:type="dxa"/>
              <w:right w:w="100" w:type="dxa"/>
            </w:tcMar>
            <w:vAlign w:val="center"/>
          </w:tcPr>
          <w:p w14:paraId="58B95010" w14:textId="77777777" w:rsidR="00761020" w:rsidRPr="002F1703" w:rsidRDefault="00000000">
            <w:pPr>
              <w:spacing w:before="40" w:after="40"/>
              <w:jc w:val="center"/>
              <w:rPr>
                <w:rFonts w:ascii="Times New Roman" w:hAnsi="Times New Roman" w:cs="Times New Roman"/>
                <w:sz w:val="24"/>
                <w:szCs w:val="24"/>
              </w:rPr>
            </w:pPr>
            <w:r w:rsidRPr="002F1703">
              <w:rPr>
                <w:rFonts w:ascii="Times New Roman" w:hAnsi="Times New Roman" w:cs="Times New Roman"/>
                <w:b/>
                <w:sz w:val="24"/>
                <w:szCs w:val="24"/>
              </w:rPr>
              <w:t>Threshold</w:t>
            </w:r>
          </w:p>
        </w:tc>
        <w:tc>
          <w:tcPr>
            <w:tcW w:w="2484" w:type="dxa"/>
            <w:shd w:val="clear" w:color="auto" w:fill="FCE5CD"/>
            <w:tcMar>
              <w:top w:w="80" w:type="dxa"/>
              <w:left w:w="100" w:type="dxa"/>
              <w:bottom w:w="80" w:type="dxa"/>
              <w:right w:w="100" w:type="dxa"/>
            </w:tcMar>
            <w:vAlign w:val="center"/>
          </w:tcPr>
          <w:p w14:paraId="58415D10" w14:textId="77777777" w:rsidR="00761020" w:rsidRPr="002F1703" w:rsidRDefault="00000000">
            <w:pPr>
              <w:spacing w:before="40" w:after="40"/>
              <w:jc w:val="center"/>
              <w:rPr>
                <w:rFonts w:ascii="Times New Roman" w:hAnsi="Times New Roman" w:cs="Times New Roman"/>
                <w:sz w:val="24"/>
                <w:szCs w:val="24"/>
              </w:rPr>
            </w:pPr>
            <w:r w:rsidRPr="002F1703">
              <w:rPr>
                <w:rFonts w:ascii="Times New Roman" w:hAnsi="Times New Roman" w:cs="Times New Roman"/>
                <w:b/>
                <w:sz w:val="24"/>
                <w:szCs w:val="24"/>
              </w:rPr>
              <w:t>Surveillance</w:t>
            </w:r>
          </w:p>
        </w:tc>
      </w:tr>
      <w:tr w:rsidR="002F1703" w:rsidRPr="002F1703" w14:paraId="6030DB33" w14:textId="77777777">
        <w:trPr>
          <w:jc w:val="center"/>
        </w:trPr>
        <w:tc>
          <w:tcPr>
            <w:tcW w:w="2484" w:type="dxa"/>
            <w:tcMar>
              <w:top w:w="90" w:type="dxa"/>
              <w:left w:w="90" w:type="dxa"/>
              <w:bottom w:w="90" w:type="dxa"/>
              <w:right w:w="90" w:type="dxa"/>
            </w:tcMar>
            <w:vAlign w:val="center"/>
          </w:tcPr>
          <w:p w14:paraId="24BF6C6D"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Timely event execution</w:t>
            </w:r>
          </w:p>
        </w:tc>
        <w:tc>
          <w:tcPr>
            <w:tcW w:w="2484" w:type="dxa"/>
            <w:tcMar>
              <w:top w:w="90" w:type="dxa"/>
              <w:left w:w="90" w:type="dxa"/>
              <w:bottom w:w="90" w:type="dxa"/>
              <w:right w:w="90" w:type="dxa"/>
            </w:tcMar>
            <w:vAlign w:val="center"/>
          </w:tcPr>
          <w:p w14:paraId="5EAF5628"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Scheduled events completed as approved</w:t>
            </w:r>
          </w:p>
        </w:tc>
        <w:tc>
          <w:tcPr>
            <w:tcW w:w="2484" w:type="dxa"/>
            <w:tcMar>
              <w:top w:w="90" w:type="dxa"/>
              <w:left w:w="90" w:type="dxa"/>
              <w:bottom w:w="90" w:type="dxa"/>
              <w:right w:w="90" w:type="dxa"/>
            </w:tcMar>
            <w:vAlign w:val="center"/>
          </w:tcPr>
          <w:p w14:paraId="07891E17"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&gt;= 95% absent Government-caused delay</w:t>
            </w:r>
          </w:p>
        </w:tc>
        <w:tc>
          <w:tcPr>
            <w:tcW w:w="2484" w:type="dxa"/>
            <w:tcMar>
              <w:top w:w="90" w:type="dxa"/>
              <w:left w:w="90" w:type="dxa"/>
              <w:bottom w:w="90" w:type="dxa"/>
              <w:right w:w="90" w:type="dxa"/>
            </w:tcMar>
            <w:vAlign w:val="center"/>
          </w:tcPr>
          <w:p w14:paraId="32541EDD"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Review event logs and schedule</w:t>
            </w:r>
          </w:p>
        </w:tc>
      </w:tr>
      <w:tr w:rsidR="002F1703" w:rsidRPr="002F1703" w14:paraId="5FE7C739" w14:textId="77777777">
        <w:trPr>
          <w:jc w:val="center"/>
        </w:trPr>
        <w:tc>
          <w:tcPr>
            <w:tcW w:w="2484" w:type="dxa"/>
            <w:tcMar>
              <w:top w:w="90" w:type="dxa"/>
              <w:left w:w="90" w:type="dxa"/>
              <w:bottom w:w="90" w:type="dxa"/>
              <w:right w:w="90" w:type="dxa"/>
            </w:tcMar>
            <w:vAlign w:val="center"/>
          </w:tcPr>
          <w:p w14:paraId="4D562857"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Documentation accuracy</w:t>
            </w:r>
          </w:p>
        </w:tc>
        <w:tc>
          <w:tcPr>
            <w:tcW w:w="2484" w:type="dxa"/>
            <w:tcMar>
              <w:top w:w="90" w:type="dxa"/>
              <w:left w:w="90" w:type="dxa"/>
              <w:bottom w:w="90" w:type="dxa"/>
              <w:right w:w="90" w:type="dxa"/>
            </w:tcMar>
            <w:vAlign w:val="center"/>
          </w:tcPr>
          <w:p w14:paraId="7D567242"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Certificates/reconciliations accepted without material correction</w:t>
            </w:r>
          </w:p>
        </w:tc>
        <w:tc>
          <w:tcPr>
            <w:tcW w:w="2484" w:type="dxa"/>
            <w:tcMar>
              <w:top w:w="90" w:type="dxa"/>
              <w:left w:w="90" w:type="dxa"/>
              <w:bottom w:w="90" w:type="dxa"/>
              <w:right w:w="90" w:type="dxa"/>
            </w:tcMar>
            <w:vAlign w:val="center"/>
          </w:tcPr>
          <w:p w14:paraId="786A5A50"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&gt;= 98%</w:t>
            </w:r>
          </w:p>
        </w:tc>
        <w:tc>
          <w:tcPr>
            <w:tcW w:w="2484" w:type="dxa"/>
            <w:tcMar>
              <w:top w:w="90" w:type="dxa"/>
              <w:left w:w="90" w:type="dxa"/>
              <w:bottom w:w="90" w:type="dxa"/>
              <w:right w:w="90" w:type="dxa"/>
            </w:tcMar>
            <w:vAlign w:val="center"/>
          </w:tcPr>
          <w:p w14:paraId="2317B782"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Document review</w:t>
            </w:r>
          </w:p>
        </w:tc>
      </w:tr>
      <w:tr w:rsidR="002F1703" w:rsidRPr="002F1703" w14:paraId="412F39C8" w14:textId="77777777">
        <w:trPr>
          <w:jc w:val="center"/>
        </w:trPr>
        <w:tc>
          <w:tcPr>
            <w:tcW w:w="2484" w:type="dxa"/>
            <w:tcMar>
              <w:top w:w="90" w:type="dxa"/>
              <w:left w:w="90" w:type="dxa"/>
              <w:bottom w:w="90" w:type="dxa"/>
              <w:right w:w="90" w:type="dxa"/>
            </w:tcMar>
            <w:vAlign w:val="center"/>
          </w:tcPr>
          <w:p w14:paraId="59D2BD1B"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Safety performance</w:t>
            </w:r>
          </w:p>
        </w:tc>
        <w:tc>
          <w:tcPr>
            <w:tcW w:w="2484" w:type="dxa"/>
            <w:tcMar>
              <w:top w:w="90" w:type="dxa"/>
              <w:left w:w="90" w:type="dxa"/>
              <w:bottom w:w="90" w:type="dxa"/>
              <w:right w:w="90" w:type="dxa"/>
            </w:tcMar>
            <w:vAlign w:val="center"/>
          </w:tcPr>
          <w:p w14:paraId="04ADA821"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Recordable incidents attributable to contractor negligence</w:t>
            </w:r>
          </w:p>
        </w:tc>
        <w:tc>
          <w:tcPr>
            <w:tcW w:w="2484" w:type="dxa"/>
            <w:tcMar>
              <w:top w:w="90" w:type="dxa"/>
              <w:left w:w="90" w:type="dxa"/>
              <w:bottom w:w="90" w:type="dxa"/>
              <w:right w:w="90" w:type="dxa"/>
            </w:tcMar>
            <w:vAlign w:val="center"/>
          </w:tcPr>
          <w:p w14:paraId="15179C02"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0</w:t>
            </w:r>
          </w:p>
        </w:tc>
        <w:tc>
          <w:tcPr>
            <w:tcW w:w="2484" w:type="dxa"/>
            <w:tcMar>
              <w:top w:w="90" w:type="dxa"/>
              <w:left w:w="90" w:type="dxa"/>
              <w:bottom w:w="90" w:type="dxa"/>
              <w:right w:w="90" w:type="dxa"/>
            </w:tcMar>
            <w:vAlign w:val="center"/>
          </w:tcPr>
          <w:p w14:paraId="45C8BE09"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Safety review / incident logs</w:t>
            </w:r>
          </w:p>
        </w:tc>
      </w:tr>
      <w:tr w:rsidR="002F1703" w:rsidRPr="002F1703" w14:paraId="5CA4BE16" w14:textId="77777777">
        <w:trPr>
          <w:jc w:val="center"/>
        </w:trPr>
        <w:tc>
          <w:tcPr>
            <w:tcW w:w="2484" w:type="dxa"/>
            <w:tcMar>
              <w:top w:w="90" w:type="dxa"/>
              <w:left w:w="90" w:type="dxa"/>
              <w:bottom w:w="90" w:type="dxa"/>
              <w:right w:w="90" w:type="dxa"/>
            </w:tcMar>
            <w:vAlign w:val="center"/>
          </w:tcPr>
          <w:p w14:paraId="4BC897AE"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Custody accountability</w:t>
            </w:r>
          </w:p>
        </w:tc>
        <w:tc>
          <w:tcPr>
            <w:tcW w:w="2484" w:type="dxa"/>
            <w:tcMar>
              <w:top w:w="90" w:type="dxa"/>
              <w:left w:w="90" w:type="dxa"/>
              <w:bottom w:w="90" w:type="dxa"/>
              <w:right w:w="90" w:type="dxa"/>
            </w:tcMar>
            <w:vAlign w:val="center"/>
          </w:tcPr>
          <w:p w14:paraId="696FC8DF"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Unresolved inventory discrepancy</w:t>
            </w:r>
          </w:p>
        </w:tc>
        <w:tc>
          <w:tcPr>
            <w:tcW w:w="2484" w:type="dxa"/>
            <w:tcMar>
              <w:top w:w="90" w:type="dxa"/>
              <w:left w:w="90" w:type="dxa"/>
              <w:bottom w:w="90" w:type="dxa"/>
              <w:right w:w="90" w:type="dxa"/>
            </w:tcMar>
            <w:vAlign w:val="center"/>
          </w:tcPr>
          <w:p w14:paraId="007A0AFA"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0</w:t>
            </w:r>
          </w:p>
        </w:tc>
        <w:tc>
          <w:tcPr>
            <w:tcW w:w="2484" w:type="dxa"/>
            <w:tcMar>
              <w:top w:w="90" w:type="dxa"/>
              <w:left w:w="90" w:type="dxa"/>
              <w:bottom w:w="90" w:type="dxa"/>
              <w:right w:w="90" w:type="dxa"/>
            </w:tcMar>
            <w:vAlign w:val="center"/>
          </w:tcPr>
          <w:p w14:paraId="6503C4E0"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Witness verification and reconciliation</w:t>
            </w:r>
          </w:p>
        </w:tc>
      </w:tr>
      <w:tr w:rsidR="002F1703" w:rsidRPr="002F1703" w14:paraId="2FC903B4" w14:textId="77777777">
        <w:trPr>
          <w:jc w:val="center"/>
        </w:trPr>
        <w:tc>
          <w:tcPr>
            <w:tcW w:w="2484" w:type="dxa"/>
            <w:tcMar>
              <w:top w:w="90" w:type="dxa"/>
              <w:left w:w="90" w:type="dxa"/>
              <w:bottom w:w="90" w:type="dxa"/>
              <w:right w:w="90" w:type="dxa"/>
            </w:tcMar>
            <w:vAlign w:val="center"/>
          </w:tcPr>
          <w:p w14:paraId="371D28D6"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Regulatory compliance</w:t>
            </w:r>
          </w:p>
        </w:tc>
        <w:tc>
          <w:tcPr>
            <w:tcW w:w="2484" w:type="dxa"/>
            <w:tcMar>
              <w:top w:w="90" w:type="dxa"/>
              <w:left w:w="90" w:type="dxa"/>
              <w:bottom w:w="90" w:type="dxa"/>
              <w:right w:w="90" w:type="dxa"/>
            </w:tcMar>
            <w:vAlign w:val="center"/>
          </w:tcPr>
          <w:p w14:paraId="74B46139"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Permit or compliance violation</w:t>
            </w:r>
          </w:p>
        </w:tc>
        <w:tc>
          <w:tcPr>
            <w:tcW w:w="2484" w:type="dxa"/>
            <w:tcMar>
              <w:top w:w="90" w:type="dxa"/>
              <w:left w:w="90" w:type="dxa"/>
              <w:bottom w:w="90" w:type="dxa"/>
              <w:right w:w="90" w:type="dxa"/>
            </w:tcMar>
            <w:vAlign w:val="center"/>
          </w:tcPr>
          <w:p w14:paraId="4702AC7C" w14:textId="77777777" w:rsidR="00761020" w:rsidRPr="002F1703" w:rsidRDefault="00000000">
            <w:pPr>
              <w:spacing w:before="40" w:after="40" w:line="252" w:lineRule="auto"/>
              <w:jc w:val="center"/>
              <w:rPr>
                <w:rFonts w:ascii="Times New Roman" w:hAnsi="Times New Roman" w:cs="Times New Roman"/>
                <w:sz w:val="24"/>
                <w:szCs w:val="24"/>
              </w:rPr>
            </w:pPr>
            <w:r w:rsidRPr="002F1703">
              <w:rPr>
                <w:rFonts w:ascii="Times New Roman" w:hAnsi="Times New Roman" w:cs="Times New Roman"/>
                <w:sz w:val="24"/>
                <w:szCs w:val="24"/>
              </w:rPr>
              <w:t>0</w:t>
            </w:r>
          </w:p>
        </w:tc>
        <w:tc>
          <w:tcPr>
            <w:tcW w:w="2484" w:type="dxa"/>
            <w:tcMar>
              <w:top w:w="90" w:type="dxa"/>
              <w:left w:w="90" w:type="dxa"/>
              <w:bottom w:w="90" w:type="dxa"/>
              <w:right w:w="90" w:type="dxa"/>
            </w:tcMar>
            <w:vAlign w:val="center"/>
          </w:tcPr>
          <w:p w14:paraId="4C9FF6B9" w14:textId="77777777" w:rsidR="00761020" w:rsidRPr="002F1703" w:rsidRDefault="00000000">
            <w:pPr>
              <w:spacing w:before="40" w:after="40" w:line="252" w:lineRule="auto"/>
              <w:rPr>
                <w:rFonts w:ascii="Times New Roman" w:hAnsi="Times New Roman" w:cs="Times New Roman"/>
                <w:sz w:val="24"/>
                <w:szCs w:val="24"/>
              </w:rPr>
            </w:pPr>
            <w:r w:rsidRPr="002F1703">
              <w:rPr>
                <w:rFonts w:ascii="Times New Roman" w:hAnsi="Times New Roman" w:cs="Times New Roman"/>
                <w:sz w:val="24"/>
                <w:szCs w:val="24"/>
              </w:rPr>
              <w:t>Inspection / document review</w:t>
            </w:r>
          </w:p>
        </w:tc>
      </w:tr>
    </w:tbl>
    <w:p w14:paraId="4D9FEAD4" w14:textId="77777777" w:rsidR="00761020" w:rsidRPr="002F1703" w:rsidRDefault="00000000" w:rsidP="00F30D91">
      <w:pPr>
        <w:pStyle w:val="Heading1"/>
      </w:pPr>
      <w:r w:rsidRPr="002F1703">
        <w:lastRenderedPageBreak/>
        <w:t>9. Government-Furnished Information and Responsibilities</w:t>
      </w:r>
    </w:p>
    <w:p w14:paraId="0B00AA13"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The Government will identify authorized points of contact, approve destruction methods and sites, and provide event-specific direction.</w:t>
      </w:r>
    </w:p>
    <w:p w14:paraId="33895353"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The Government will maintain control of evidentiary release decisions, witness requirements, and final acceptance of destruction documentation.</w:t>
      </w:r>
    </w:p>
    <w:p w14:paraId="364E6860"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The Government may furnish inventory listings, packaging information, site access instructions, and policy guidance needed for performance.</w:t>
      </w:r>
    </w:p>
    <w:p w14:paraId="790700D1" w14:textId="77777777" w:rsidR="00761020" w:rsidRPr="002F1703" w:rsidRDefault="00000000" w:rsidP="00F30D91">
      <w:pPr>
        <w:pStyle w:val="Heading1"/>
      </w:pPr>
      <w:r w:rsidRPr="002F1703">
        <w:t>10. Contractor Personnel, Training, and Clearances</w:t>
      </w:r>
    </w:p>
    <w:p w14:paraId="1CB738E1"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Contractor personnel shall be qualified for hazardous material handling and the specific destruction technology proposed.</w:t>
      </w:r>
    </w:p>
    <w:p w14:paraId="3C0DD965"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Personnel shall complete all background screening, site access, and badging requirements specified by the Government.</w:t>
      </w:r>
    </w:p>
    <w:p w14:paraId="7A59C05E" w14:textId="77777777" w:rsidR="00761020" w:rsidRPr="002F1703" w:rsidRDefault="00000000">
      <w:pPr>
        <w:pStyle w:val="ListBullet"/>
        <w:spacing w:after="60" w:line="264" w:lineRule="auto"/>
        <w:rPr>
          <w:rFonts w:ascii="Times New Roman" w:hAnsi="Times New Roman" w:cs="Times New Roman"/>
          <w:sz w:val="24"/>
          <w:szCs w:val="24"/>
        </w:rPr>
      </w:pPr>
      <w:r w:rsidRPr="002F1703">
        <w:rPr>
          <w:rFonts w:ascii="Times New Roman" w:hAnsi="Times New Roman" w:cs="Times New Roman"/>
          <w:sz w:val="24"/>
          <w:szCs w:val="24"/>
        </w:rPr>
        <w:t>The Contractor shall maintain training records covering safety, security, chain-of-custody, emergency response, and regulatory compliance.</w:t>
      </w:r>
    </w:p>
    <w:p w14:paraId="6035DDB1" w14:textId="77777777" w:rsidR="00761020" w:rsidRPr="002F1703" w:rsidRDefault="00000000" w:rsidP="00F30D91">
      <w:pPr>
        <w:pStyle w:val="Heading1"/>
      </w:pPr>
      <w:r w:rsidRPr="002F1703">
        <w:t>11. Place and Period of Performance</w:t>
      </w:r>
    </w:p>
    <w:p w14:paraId="0D86BFC6" w14:textId="77777777" w:rsidR="00761020" w:rsidRPr="002F1703" w:rsidRDefault="00000000">
      <w:pPr>
        <w:spacing w:after="120"/>
        <w:rPr>
          <w:rFonts w:ascii="Times New Roman" w:hAnsi="Times New Roman" w:cs="Times New Roman"/>
          <w:sz w:val="24"/>
          <w:szCs w:val="24"/>
        </w:rPr>
      </w:pPr>
      <w:r w:rsidRPr="002F1703">
        <w:rPr>
          <w:rFonts w:ascii="Times New Roman" w:hAnsi="Times New Roman" w:cs="Times New Roman"/>
          <w:sz w:val="24"/>
          <w:szCs w:val="24"/>
        </w:rPr>
        <w:t>Place of performance will be identified in the base award and/or individual task orders. Performance may occur at FBI facilities, contractor facilities, permitted third-party destruction facilities, or approved mobile processing locations.</w:t>
      </w:r>
    </w:p>
    <w:p w14:paraId="0577B4B3" w14:textId="0C7E462B" w:rsidR="00761020" w:rsidRPr="002F1703" w:rsidRDefault="00000000">
      <w:pPr>
        <w:spacing w:after="120"/>
        <w:rPr>
          <w:rFonts w:ascii="Times New Roman" w:hAnsi="Times New Roman" w:cs="Times New Roman"/>
          <w:sz w:val="24"/>
          <w:szCs w:val="24"/>
        </w:rPr>
      </w:pPr>
      <w:r w:rsidRPr="002F1703">
        <w:rPr>
          <w:rFonts w:ascii="Times New Roman" w:hAnsi="Times New Roman" w:cs="Times New Roman"/>
          <w:sz w:val="24"/>
          <w:szCs w:val="24"/>
        </w:rPr>
        <w:t xml:space="preserve">The anticipated ordering/performance period </w:t>
      </w:r>
      <w:r w:rsidR="009A789E">
        <w:rPr>
          <w:rFonts w:ascii="Times New Roman" w:hAnsi="Times New Roman" w:cs="Times New Roman"/>
          <w:sz w:val="24"/>
          <w:szCs w:val="24"/>
        </w:rPr>
        <w:t xml:space="preserve">shall be </w:t>
      </w:r>
      <w:r w:rsidRPr="002F1703">
        <w:rPr>
          <w:rFonts w:ascii="Times New Roman" w:hAnsi="Times New Roman" w:cs="Times New Roman"/>
          <w:sz w:val="24"/>
          <w:szCs w:val="24"/>
        </w:rPr>
        <w:t>one 12-month base period with four 12-month option periods, subject to continuing mission need and funding availability.</w:t>
      </w:r>
    </w:p>
    <w:sectPr w:rsidR="00761020" w:rsidRPr="002F1703" w:rsidSect="00034616">
      <w:headerReference w:type="default" r:id="rId9"/>
      <w:footerReference w:type="default" r:id="rId10"/>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673CA" w14:textId="77777777" w:rsidR="00E04E0C" w:rsidRDefault="00E04E0C">
      <w:pPr>
        <w:spacing w:after="0" w:line="240" w:lineRule="auto"/>
      </w:pPr>
      <w:r>
        <w:separator/>
      </w:r>
    </w:p>
  </w:endnote>
  <w:endnote w:type="continuationSeparator" w:id="0">
    <w:p w14:paraId="5D5AB469" w14:textId="77777777" w:rsidR="00E04E0C" w:rsidRDefault="00E04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720DA" w14:textId="77777777" w:rsidR="00761020" w:rsidRDefault="00000000">
    <w:pPr>
      <w:pStyle w:val="Footer"/>
      <w:jc w:val="center"/>
    </w:pPr>
    <w:r>
      <w:rPr>
        <w:color w:val="646464"/>
        <w:sz w:val="18"/>
      </w:rPr>
      <w:t>Narcotics Evidence Destruction 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37833" w14:textId="77777777" w:rsidR="00E04E0C" w:rsidRDefault="00E04E0C">
      <w:pPr>
        <w:spacing w:after="0" w:line="240" w:lineRule="auto"/>
      </w:pPr>
      <w:r>
        <w:separator/>
      </w:r>
    </w:p>
  </w:footnote>
  <w:footnote w:type="continuationSeparator" w:id="0">
    <w:p w14:paraId="66CDEC15" w14:textId="77777777" w:rsidR="00E04E0C" w:rsidRDefault="00E04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3273" w14:textId="0EFB9E17" w:rsidR="00C32F3B" w:rsidRPr="00C32F3B" w:rsidRDefault="00C32F3B" w:rsidP="00C32F3B">
    <w:pPr>
      <w:pStyle w:val="Header"/>
      <w:jc w:val="center"/>
      <w:rPr>
        <w:rFonts w:ascii="Times New Roman" w:hAnsi="Times New Roman" w:cs="Times New Roman"/>
        <w:b/>
        <w:sz w:val="24"/>
        <w:szCs w:val="28"/>
      </w:rPr>
    </w:pPr>
    <w:r w:rsidRPr="00C32F3B">
      <w:rPr>
        <w:rFonts w:ascii="Times New Roman" w:hAnsi="Times New Roman" w:cs="Times New Roman"/>
        <w:noProof/>
        <w:sz w:val="24"/>
        <w:szCs w:val="28"/>
      </w:rPr>
      <w:drawing>
        <wp:inline distT="0" distB="0" distL="0" distR="0" wp14:anchorId="0E192325" wp14:editId="636E067C">
          <wp:extent cx="914400" cy="914400"/>
          <wp:effectExtent l="0" t="0" r="0" b="0"/>
          <wp:docPr id="859204974" name="Picture 10" descr="officialfbi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fficialfbise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C32F3B">
      <w:rPr>
        <w:rFonts w:ascii="Times New Roman" w:hAnsi="Times New Roman" w:cs="Times New Roman"/>
        <w:b/>
        <w:sz w:val="24"/>
        <w:szCs w:val="28"/>
      </w:rPr>
      <w:t>FEDERAL BUREAU OF INVESTIGATION</w:t>
    </w:r>
    <w:r w:rsidRPr="00C32F3B">
      <w:rPr>
        <w:rFonts w:ascii="Times New Roman" w:hAnsi="Times New Roman" w:cs="Times New Roman"/>
        <w:noProof/>
        <w:sz w:val="24"/>
        <w:szCs w:val="28"/>
      </w:rPr>
      <w:drawing>
        <wp:inline distT="0" distB="0" distL="0" distR="0" wp14:anchorId="7565F10B" wp14:editId="455D8563">
          <wp:extent cx="914400" cy="914400"/>
          <wp:effectExtent l="0" t="0" r="0" b="0"/>
          <wp:docPr id="740604757" name="Picture 9" descr="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lendar&#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5AE53E91" w14:textId="77777777" w:rsidR="00C32F3B" w:rsidRDefault="00C32F3B" w:rsidP="00C32F3B">
    <w:pPr>
      <w:pStyle w:val="Header"/>
      <w:jc w:val="center"/>
      <w:rPr>
        <w:rFonts w:ascii="Times New Roman" w:hAnsi="Times New Roman" w:cs="Times New Roman"/>
        <w:b/>
        <w:sz w:val="24"/>
        <w:szCs w:val="28"/>
      </w:rPr>
    </w:pPr>
    <w:r w:rsidRPr="00C32F3B">
      <w:rPr>
        <w:rFonts w:ascii="Times New Roman" w:hAnsi="Times New Roman" w:cs="Times New Roman"/>
        <w:b/>
        <w:sz w:val="24"/>
        <w:szCs w:val="28"/>
      </w:rPr>
      <w:t>FINANCE AND FACILITIES DIVISION | PROCUREMENT SECTION</w:t>
    </w:r>
  </w:p>
  <w:p w14:paraId="33047CFD" w14:textId="77777777" w:rsidR="00C15737" w:rsidRPr="00C32F3B" w:rsidRDefault="00C15737" w:rsidP="00C32F3B">
    <w:pPr>
      <w:pStyle w:val="Header"/>
      <w:jc w:val="center"/>
      <w:rPr>
        <w:rFonts w:ascii="Times New Roman" w:hAnsi="Times New Roman" w:cs="Times New Roman"/>
        <w:sz w:val="24"/>
        <w:szCs w:val="28"/>
      </w:rPr>
    </w:pPr>
  </w:p>
  <w:p w14:paraId="42466252" w14:textId="35A4F270" w:rsidR="00761020" w:rsidRPr="00C32F3B" w:rsidRDefault="00761020" w:rsidP="00C32F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0251877">
    <w:abstractNumId w:val="8"/>
  </w:num>
  <w:num w:numId="2" w16cid:durableId="2091387192">
    <w:abstractNumId w:val="6"/>
  </w:num>
  <w:num w:numId="3" w16cid:durableId="44650325">
    <w:abstractNumId w:val="5"/>
  </w:num>
  <w:num w:numId="4" w16cid:durableId="1326393703">
    <w:abstractNumId w:val="4"/>
  </w:num>
  <w:num w:numId="5" w16cid:durableId="1109357132">
    <w:abstractNumId w:val="7"/>
  </w:num>
  <w:num w:numId="6" w16cid:durableId="212738180">
    <w:abstractNumId w:val="3"/>
  </w:num>
  <w:num w:numId="7" w16cid:durableId="1327980487">
    <w:abstractNumId w:val="2"/>
  </w:num>
  <w:num w:numId="8" w16cid:durableId="1650206374">
    <w:abstractNumId w:val="1"/>
  </w:num>
  <w:num w:numId="9" w16cid:durableId="2084253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048"/>
    <w:rsid w:val="0015074B"/>
    <w:rsid w:val="002763B7"/>
    <w:rsid w:val="0029639D"/>
    <w:rsid w:val="002F1703"/>
    <w:rsid w:val="00326F90"/>
    <w:rsid w:val="0046551B"/>
    <w:rsid w:val="004C030E"/>
    <w:rsid w:val="0057316C"/>
    <w:rsid w:val="00635513"/>
    <w:rsid w:val="00644ADA"/>
    <w:rsid w:val="00761020"/>
    <w:rsid w:val="0081524E"/>
    <w:rsid w:val="00860963"/>
    <w:rsid w:val="009A789E"/>
    <w:rsid w:val="00A34580"/>
    <w:rsid w:val="00AA1D8D"/>
    <w:rsid w:val="00B47730"/>
    <w:rsid w:val="00B96777"/>
    <w:rsid w:val="00C15737"/>
    <w:rsid w:val="00C32F3B"/>
    <w:rsid w:val="00C334A0"/>
    <w:rsid w:val="00C966F6"/>
    <w:rsid w:val="00CB0664"/>
    <w:rsid w:val="00D15DA6"/>
    <w:rsid w:val="00D306F9"/>
    <w:rsid w:val="00E04E0C"/>
    <w:rsid w:val="00F30D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4295B894-E50C-49C8-B4A9-B754418F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2F1703"/>
    <w:pPr>
      <w:keepNext/>
      <w:keepLines/>
      <w:spacing w:before="480" w:after="0"/>
      <w:outlineLvl w:val="0"/>
    </w:pPr>
    <w:rPr>
      <w:rFonts w:ascii="Times New Roman" w:eastAsiaTheme="majorEastAsia" w:hAnsi="Times New Roman" w:cs="Times New Roman"/>
      <w:b/>
      <w:bCs/>
      <w:sz w:val="28"/>
      <w:szCs w:val="28"/>
    </w:rPr>
  </w:style>
  <w:style w:type="paragraph" w:styleId="Heading2">
    <w:name w:val="heading 2"/>
    <w:basedOn w:val="Heading2Custom"/>
    <w:next w:val="Normal"/>
    <w:link w:val="Heading2Char"/>
    <w:uiPriority w:val="9"/>
    <w:unhideWhenUsed/>
    <w:qFormat/>
    <w:rsid w:val="002F1703"/>
    <w:pPr>
      <w:spacing w:before="200" w:after="40"/>
      <w:outlineLvl w:val="1"/>
    </w:pPr>
    <w:rPr>
      <w:rFonts w:ascii="Times New Roman" w:hAnsi="Times New Roman" w:cs="Times New Roman"/>
      <w:color w:val="auto"/>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F1703"/>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2F1703"/>
    <w:rPr>
      <w:rFonts w:ascii="Times New Roman" w:eastAsia="Aptos" w:hAnsi="Times New Roman" w:cs="Times New Roman"/>
      <w:b/>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w:eastAsia="Aptos" w:hAnsi="Aptos"/>
      <w:b/>
      <w:color w:val="14345E"/>
      <w:sz w:val="36"/>
    </w:rPr>
  </w:style>
  <w:style w:type="paragraph" w:customStyle="1" w:styleId="SubtitleCustom">
    <w:name w:val="SubtitleCustom"/>
    <w:rPr>
      <w:rFonts w:ascii="Aptos" w:eastAsia="Aptos" w:hAnsi="Aptos"/>
      <w:color w:val="5A5A5A"/>
      <w:sz w:val="21"/>
    </w:rPr>
  </w:style>
  <w:style w:type="paragraph" w:customStyle="1" w:styleId="Heading1Custom">
    <w:name w:val="Heading1Custom"/>
    <w:rPr>
      <w:rFonts w:ascii="Aptos" w:eastAsia="Aptos" w:hAnsi="Aptos"/>
      <w:b/>
      <w:color w:val="14345E"/>
      <w:sz w:val="26"/>
    </w:rPr>
  </w:style>
  <w:style w:type="paragraph" w:customStyle="1" w:styleId="Heading2Custom">
    <w:name w:val="Heading2Custom"/>
    <w:rPr>
      <w:rFonts w:ascii="Aptos" w:eastAsia="Aptos" w:hAnsi="Aptos"/>
      <w:b/>
      <w:color w:val="2F5496"/>
    </w:rPr>
  </w:style>
  <w:style w:type="paragraph" w:customStyle="1" w:styleId="SmallCapsLabel">
    <w:name w:val="SmallCapsLabel"/>
    <w:rPr>
      <w:rFonts w:ascii="Aptos" w:eastAsia="Aptos" w:hAnsi="Aptos"/>
      <w:b/>
      <w:color w:val="6E6E6E"/>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1442</Words>
  <Characters>8224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Golicz, Melissa (FFD) (FBI)</cp:lastModifiedBy>
  <cp:revision>18</cp:revision>
  <dcterms:created xsi:type="dcterms:W3CDTF">2013-12-23T23:15:00Z</dcterms:created>
  <dcterms:modified xsi:type="dcterms:W3CDTF">2026-04-17T13:18:00Z</dcterms:modified>
  <cp:category/>
</cp:coreProperties>
</file>