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RADFORMATION Software subscription BASE PLUS 4</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05-15-2026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Diego CA  92161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Anna Cevallos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Anna.Cevallos@va.gov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Tibor Rubin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California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90822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54163" w:rsidRPr="00BB4401" w:rsidP="00754163">
      <w:r w:rsidRPr="00BB4401">
        <w:t>This Source Sought notice is issued for market information and planning for future acquisition in accordance with (IAW) Federal Acquisition Regulation (FAR) 15.201(e). Responses to sources sought notice</w:t>
      </w:r>
      <w:r>
        <w:t xml:space="preserve"> </w:t>
      </w:r>
      <w:r>
        <w:rPr>
          <w:rFonts w:cstheme="minorHAnsi"/>
        </w:rPr>
        <w:t>36C26226Q0752</w:t>
      </w:r>
      <w:r w:rsidRPr="00BB4401">
        <w:t xml:space="preserve"> will improve the understanding of the Government</w:t>
      </w:r>
      <w:r>
        <w:t>’</w:t>
      </w:r>
      <w:r w:rsidRPr="00BB4401">
        <w:t xml:space="preserve">s requirement and industry capabilities. It will enhance the Government s ability to obtain quality equipment and allow for potential offerors to judge whether or how they can satisfy the Government s requirement. This is not a solicitation announcement. Responses to this notice cannot be accepted by the Government to form a binding contract. Information received shall be safeguarded adequately from unauthorized disclosure. The Department of Veterans Affairs (VA), Network Contracting Office 22 (NCO 22) is seeking sources that can provide </w:t>
      </w:r>
      <w:r w:rsidRPr="00A71BCB">
        <w:t>RADFORMATION SOFTWARE SUBSCRIPTION IAW</w:t>
      </w:r>
      <w:r w:rsidRPr="00BB4401">
        <w:t xml:space="preserve"> Request for Information (RFI)</w:t>
      </w:r>
      <w:r>
        <w:t xml:space="preserve"> </w:t>
      </w:r>
      <w:r w:rsidRPr="00A71BCB">
        <w:rPr>
          <w:rFonts w:cstheme="minorHAnsi"/>
        </w:rPr>
        <w:t>36C26226Q0752</w:t>
      </w:r>
      <w:r w:rsidRPr="00A71BCB">
        <w:t>,</w:t>
      </w:r>
      <w:r w:rsidRPr="00BB4401">
        <w:t xml:space="preserve"> and Salient Characteristics. </w:t>
      </w:r>
      <w:r>
        <w:t>Reference</w:t>
      </w:r>
      <w:r w:rsidRPr="00BB4401">
        <w:t xml:space="preserve"> attached RFI</w:t>
      </w:r>
      <w:r>
        <w:t xml:space="preserve"> </w:t>
      </w:r>
      <w:r>
        <w:rPr>
          <w:rFonts w:cstheme="minorHAnsi"/>
        </w:rPr>
        <w:t>36C26226Q075</w:t>
      </w:r>
      <w:r w:rsidRPr="00A71BCB">
        <w:rPr>
          <w:rFonts w:cstheme="minorHAnsi"/>
        </w:rPr>
        <w:t>2</w:t>
      </w:r>
      <w:r w:rsidRPr="00A71BCB">
        <w:t xml:space="preserve"> and</w:t>
      </w:r>
      <w:r w:rsidRPr="00BB4401">
        <w:t xml:space="preserve"> Salient Characteristics for more details. Inquiries shall be submitted via email to An</w:t>
      </w:r>
      <w:r>
        <w:t>na.Cevallos</w:t>
      </w:r>
      <w:r w:rsidRPr="00BB4401">
        <w:t xml:space="preserve">@va.gov. Please Reference RFI </w:t>
      </w:r>
      <w:r>
        <w:rPr>
          <w:rFonts w:cstheme="minorHAnsi"/>
        </w:rPr>
        <w:t>36C26226Q0752</w:t>
      </w:r>
      <w:r w:rsidRPr="00BB4401">
        <w:t xml:space="preserve"> in subject email.</w:t>
      </w:r>
    </w:p>
    <w:p w:rsidR="00F724AD" w:rsidRPr="00754163" w:rsidP="00754163">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F90DAD" w:rsidRPr="00F90DAD" w:rsidP="00F90DAD">
      <w:pPr>
        <w:rPr>
          <w:rFonts w:cstheme="minorHAnsi"/>
        </w:rPr>
      </w:pPr>
      <w:r w:rsidRPr="00F90DAD">
        <w:rPr>
          <w:rFonts w:cstheme="minorHAnsi"/>
        </w:rPr>
        <w:t>The purpose of this notice is to gain knowledge of potential qualified sources and their size classification relative to North American Industry Classification System (NAICS) code 541511, size standard $34 million dollars. If the Government</w:t>
      </w:r>
      <w:r w:rsidR="000B3441">
        <w:rPr>
          <w:rFonts w:cstheme="minorHAnsi"/>
        </w:rPr>
        <w:t>’</w:t>
      </w:r>
      <w:r w:rsidRPr="00F90DAD">
        <w:rPr>
          <w:rFonts w:cstheme="minorHAnsi"/>
        </w:rPr>
        <w:t>s pending market research establishes reasonable expectation that two or more Veteran owned businesses certified on vetbiz.go</w:t>
      </w:r>
      <w:r w:rsidR="000B3441">
        <w:rPr>
          <w:rFonts w:cstheme="minorHAnsi"/>
        </w:rPr>
        <w:t>v</w:t>
      </w:r>
      <w:r w:rsidRPr="00F90DAD">
        <w:rPr>
          <w:rFonts w:cstheme="minorHAnsi"/>
        </w:rPr>
        <w:t xml:space="preserve"> can fulfill the requirement, the Government will set aside the acquisition for Veteran owned businesses. If the Government establishes reasonable expectation that two or more small business concerns can fulfill the requirement, the Government will set aside the acquisition for small business concerns. A determination by the Government to compete this action based on this notice is solely within the discretion of the Government.</w:t>
      </w:r>
    </w:p>
    <w:p w:rsidR="00F90DAD" w:rsidRPr="00F90DAD" w:rsidP="00F90DAD">
      <w:pPr>
        <w:rPr>
          <w:rFonts w:cstheme="minorHAnsi"/>
        </w:rPr>
      </w:pPr>
      <w:r w:rsidRPr="00F90DAD">
        <w:rPr>
          <w:rFonts w:cstheme="minorHAnsi"/>
        </w:rPr>
        <w:t xml:space="preserve">The Department of Veterans Affairs (VA), Network Contracting Office 22 (NCO 22) is seeking sources that can provide </w:t>
      </w:r>
      <w:r w:rsidRPr="00883A47">
        <w:t>RADFORMATION subscription</w:t>
      </w:r>
      <w:r w:rsidRPr="00F90DAD">
        <w:t xml:space="preserve"> (B +4 OY) </w:t>
      </w:r>
      <w:r w:rsidRPr="00F90DAD">
        <w:rPr>
          <w:rFonts w:cstheme="minorHAnsi"/>
        </w:rPr>
        <w:t xml:space="preserve">for Long Beach VA Healthcare System. The salient characteristics are intended to be descriptive, not restrictive and to indicate the quality that will be satisfactory. It is the responsibility of the interested source to demonstrate to the Government that they can provide the sought-out brand name or equal product. </w:t>
      </w:r>
      <w:r w:rsidRPr="00F90DAD">
        <w:rPr>
          <w:rFonts w:cs="Arial"/>
        </w:rPr>
        <w:t>“Equal” products will be evaluated based on information furnished by the interested source or reasonably available to the Government. Unless the interested source clearly indicates in its proposed solution that the product being offered is an “equal” product, the interested source shall provide the brand name referenced in this notice.</w:t>
      </w:r>
    </w:p>
    <w:p w:rsidR="00F90DAD" w:rsidRPr="00536476" w:rsidP="00F90DAD">
      <w:pPr>
        <w:rPr>
          <w:rFonts w:cstheme="minorHAnsi"/>
          <w:b/>
          <w:bCs/>
        </w:rPr>
      </w:pPr>
      <w:r w:rsidRPr="00536476">
        <w:rPr>
          <w:rFonts w:cstheme="minorHAnsi"/>
          <w:b/>
          <w:bCs/>
        </w:rPr>
        <w:t>Brand name information:</w:t>
      </w:r>
    </w:p>
    <w:tbl>
      <w:tblPr>
        <w:tblStyle w:val="TableGrid"/>
        <w:tblW w:w="0" w:type="auto"/>
        <w:tblLook w:val="04A0"/>
      </w:tblPr>
      <w:tblGrid>
        <w:gridCol w:w="2271"/>
        <w:gridCol w:w="2291"/>
        <w:gridCol w:w="1505"/>
        <w:gridCol w:w="1878"/>
        <w:gridCol w:w="1405"/>
      </w:tblGrid>
      <w:tr w:rsidTr="00883A47">
        <w:tblPrEx>
          <w:tblW w:w="0" w:type="auto"/>
          <w:tblLook w:val="04A0"/>
        </w:tblPrEx>
        <w:tc>
          <w:tcPr>
            <w:tcW w:w="2271" w:type="dxa"/>
          </w:tcPr>
          <w:p w:rsidR="00F90DAD" w:rsidRPr="00536476" w:rsidP="00B92897">
            <w:pPr>
              <w:rPr>
                <w:rFonts w:cstheme="minorHAnsi"/>
                <w:b/>
                <w:bCs/>
              </w:rPr>
            </w:pPr>
            <w:r w:rsidRPr="00536476">
              <w:rPr>
                <w:rFonts w:cstheme="minorHAnsi"/>
                <w:b/>
                <w:bCs/>
              </w:rPr>
              <w:t>Brand name</w:t>
            </w:r>
          </w:p>
        </w:tc>
        <w:tc>
          <w:tcPr>
            <w:tcW w:w="2291" w:type="dxa"/>
          </w:tcPr>
          <w:p w:rsidR="00F90DAD" w:rsidRPr="00536476" w:rsidP="00B92897">
            <w:pPr>
              <w:rPr>
                <w:rFonts w:cstheme="minorHAnsi"/>
                <w:b/>
                <w:bCs/>
              </w:rPr>
            </w:pPr>
            <w:r w:rsidRPr="00536476">
              <w:rPr>
                <w:rFonts w:cstheme="minorHAnsi"/>
                <w:b/>
                <w:bCs/>
              </w:rPr>
              <w:t>Product Description</w:t>
            </w:r>
          </w:p>
        </w:tc>
        <w:tc>
          <w:tcPr>
            <w:tcW w:w="1505" w:type="dxa"/>
          </w:tcPr>
          <w:p w:rsidR="00F90DAD" w:rsidRPr="00536476" w:rsidP="00B92897">
            <w:pPr>
              <w:rPr>
                <w:rFonts w:cstheme="minorHAnsi"/>
                <w:b/>
                <w:bCs/>
              </w:rPr>
            </w:pPr>
            <w:r w:rsidRPr="00536476">
              <w:rPr>
                <w:rFonts w:cstheme="minorHAnsi"/>
                <w:b/>
                <w:bCs/>
              </w:rPr>
              <w:t>Type</w:t>
            </w:r>
          </w:p>
        </w:tc>
        <w:tc>
          <w:tcPr>
            <w:tcW w:w="1878" w:type="dxa"/>
          </w:tcPr>
          <w:p w:rsidR="00F90DAD" w:rsidRPr="00536476" w:rsidP="00B92897">
            <w:pPr>
              <w:rPr>
                <w:rFonts w:cstheme="minorHAnsi"/>
                <w:b/>
                <w:bCs/>
              </w:rPr>
            </w:pPr>
            <w:r w:rsidRPr="00536476">
              <w:rPr>
                <w:rFonts w:cstheme="minorHAnsi"/>
                <w:b/>
                <w:bCs/>
              </w:rPr>
              <w:t>Unit of measure</w:t>
            </w:r>
          </w:p>
        </w:tc>
        <w:tc>
          <w:tcPr>
            <w:tcW w:w="1405" w:type="dxa"/>
          </w:tcPr>
          <w:p w:rsidR="00F90DAD" w:rsidRPr="00536476" w:rsidP="00B92897">
            <w:pPr>
              <w:rPr>
                <w:rFonts w:cstheme="minorHAnsi"/>
                <w:b/>
                <w:bCs/>
              </w:rPr>
            </w:pPr>
            <w:r w:rsidRPr="00536476">
              <w:rPr>
                <w:rFonts w:cstheme="minorHAnsi"/>
                <w:b/>
                <w:bCs/>
              </w:rPr>
              <w:t>Quantity</w:t>
            </w:r>
          </w:p>
        </w:tc>
      </w:tr>
      <w:tr w:rsidTr="00883A47">
        <w:tblPrEx>
          <w:tblW w:w="0" w:type="auto"/>
          <w:tblLook w:val="04A0"/>
        </w:tblPrEx>
        <w:tc>
          <w:tcPr>
            <w:tcW w:w="2271" w:type="dxa"/>
          </w:tcPr>
          <w:p w:rsidR="00F90DAD" w:rsidRPr="00536476" w:rsidP="00B92897">
            <w:pPr>
              <w:rPr>
                <w:rFonts w:cstheme="minorHAnsi"/>
              </w:rPr>
            </w:pPr>
            <w:r w:rsidRPr="00536476">
              <w:rPr>
                <w:rFonts w:cstheme="minorHAnsi"/>
              </w:rPr>
              <w:t>R</w:t>
            </w:r>
            <w:r>
              <w:rPr>
                <w:rFonts w:cstheme="minorHAnsi"/>
              </w:rPr>
              <w:t>ad</w:t>
            </w:r>
            <w:r w:rsidRPr="00536476">
              <w:rPr>
                <w:rFonts w:cstheme="minorHAnsi"/>
              </w:rPr>
              <w:t>formation</w:t>
            </w:r>
            <w:r w:rsidRPr="00536476">
              <w:rPr>
                <w:rFonts w:cstheme="minorHAnsi"/>
              </w:rPr>
              <w:t>, Inc.</w:t>
            </w:r>
          </w:p>
        </w:tc>
        <w:tc>
          <w:tcPr>
            <w:tcW w:w="2291" w:type="dxa"/>
          </w:tcPr>
          <w:p w:rsidR="00F90DAD" w:rsidRPr="00536476" w:rsidP="00B92897">
            <w:pPr>
              <w:rPr>
                <w:rFonts w:cstheme="minorHAnsi"/>
              </w:rPr>
            </w:pPr>
            <w:r w:rsidRPr="00536476">
              <w:rPr>
                <w:rFonts w:cstheme="minorHAnsi"/>
              </w:rPr>
              <w:t>AutoContour</w:t>
            </w:r>
            <w:r w:rsidRPr="00536476">
              <w:rPr>
                <w:rFonts w:cstheme="minorHAnsi"/>
              </w:rPr>
              <w:t xml:space="preserve"> Radiotherapy Automated Contouring S</w:t>
            </w:r>
            <w:r w:rsidR="00883A47">
              <w:rPr>
                <w:rFonts w:cstheme="minorHAnsi"/>
              </w:rPr>
              <w:t>oftware</w:t>
            </w:r>
          </w:p>
        </w:tc>
        <w:tc>
          <w:tcPr>
            <w:tcW w:w="1505" w:type="dxa"/>
          </w:tcPr>
          <w:p w:rsidR="00F90DAD" w:rsidRPr="00536476" w:rsidP="00B92897">
            <w:pPr>
              <w:rPr>
                <w:rFonts w:cstheme="minorHAnsi"/>
              </w:rPr>
            </w:pPr>
            <w:r w:rsidRPr="00536476">
              <w:rPr>
                <w:rFonts w:cstheme="minorHAnsi"/>
              </w:rPr>
              <w:t>LINACS</w:t>
            </w:r>
          </w:p>
        </w:tc>
        <w:tc>
          <w:tcPr>
            <w:tcW w:w="1878" w:type="dxa"/>
          </w:tcPr>
          <w:p w:rsidR="00F90DAD" w:rsidRPr="00536476" w:rsidP="00B92897">
            <w:pPr>
              <w:rPr>
                <w:rFonts w:cstheme="minorHAnsi"/>
              </w:rPr>
            </w:pPr>
            <w:r w:rsidRPr="00536476">
              <w:rPr>
                <w:rFonts w:cstheme="minorHAnsi"/>
              </w:rPr>
              <w:t>1-year subscription</w:t>
            </w:r>
          </w:p>
        </w:tc>
        <w:tc>
          <w:tcPr>
            <w:tcW w:w="1405" w:type="dxa"/>
          </w:tcPr>
          <w:p w:rsidR="00F90DAD" w:rsidRPr="00536476" w:rsidP="00B92897">
            <w:pPr>
              <w:rPr>
                <w:rFonts w:cstheme="minorHAnsi"/>
              </w:rPr>
            </w:pPr>
            <w:r>
              <w:rPr>
                <w:rFonts w:cstheme="minorHAnsi"/>
              </w:rPr>
              <w:t>2</w:t>
            </w:r>
          </w:p>
        </w:tc>
      </w:tr>
      <w:tr w:rsidTr="00883A47">
        <w:tblPrEx>
          <w:tblW w:w="0" w:type="auto"/>
          <w:tblLook w:val="04A0"/>
        </w:tblPrEx>
        <w:tc>
          <w:tcPr>
            <w:tcW w:w="2271" w:type="dxa"/>
          </w:tcPr>
          <w:p w:rsidR="00883A47" w:rsidRPr="00536476" w:rsidP="00B92897">
            <w:pPr>
              <w:rPr>
                <w:rFonts w:cstheme="minorHAnsi"/>
              </w:rPr>
            </w:pPr>
            <w:r w:rsidRPr="00536476">
              <w:rPr>
                <w:rFonts w:cstheme="minorHAnsi"/>
              </w:rPr>
              <w:t>R</w:t>
            </w:r>
            <w:r>
              <w:rPr>
                <w:rFonts w:cstheme="minorHAnsi"/>
              </w:rPr>
              <w:t>ad</w:t>
            </w:r>
            <w:r w:rsidRPr="00536476">
              <w:rPr>
                <w:rFonts w:cstheme="minorHAnsi"/>
              </w:rPr>
              <w:t>formation</w:t>
            </w:r>
            <w:r w:rsidRPr="00536476">
              <w:rPr>
                <w:rFonts w:cstheme="minorHAnsi"/>
              </w:rPr>
              <w:t>, Inc.</w:t>
            </w:r>
          </w:p>
        </w:tc>
        <w:tc>
          <w:tcPr>
            <w:tcW w:w="2291" w:type="dxa"/>
          </w:tcPr>
          <w:p w:rsidR="00883A47" w:rsidRPr="00536476" w:rsidP="00B92897">
            <w:pPr>
              <w:rPr>
                <w:rFonts w:cstheme="minorHAnsi"/>
              </w:rPr>
            </w:pPr>
            <w:r w:rsidRPr="00883A47">
              <w:rPr>
                <w:rFonts w:cstheme="minorHAnsi"/>
              </w:rPr>
              <w:t>ChartCheck</w:t>
            </w:r>
            <w:r w:rsidRPr="00883A47">
              <w:rPr>
                <w:rFonts w:cstheme="minorHAnsi"/>
              </w:rPr>
              <w:t xml:space="preserve"> Radiotherapy Treatment Evaluation Software </w:t>
            </w:r>
          </w:p>
        </w:tc>
        <w:tc>
          <w:tcPr>
            <w:tcW w:w="1505" w:type="dxa"/>
          </w:tcPr>
          <w:p w:rsidR="00883A47" w:rsidRPr="00536476" w:rsidP="00B92897">
            <w:pPr>
              <w:rPr>
                <w:rFonts w:cstheme="minorHAnsi"/>
              </w:rPr>
            </w:pPr>
            <w:r>
              <w:rPr>
                <w:rFonts w:cstheme="minorHAnsi"/>
              </w:rPr>
              <w:t>LINACS</w:t>
            </w:r>
          </w:p>
        </w:tc>
        <w:tc>
          <w:tcPr>
            <w:tcW w:w="1878" w:type="dxa"/>
          </w:tcPr>
          <w:p w:rsidR="00883A47" w:rsidRPr="00536476" w:rsidP="00B92897">
            <w:pPr>
              <w:rPr>
                <w:rFonts w:cstheme="minorHAnsi"/>
              </w:rPr>
            </w:pPr>
            <w:r>
              <w:rPr>
                <w:rFonts w:cstheme="minorHAnsi"/>
              </w:rPr>
              <w:t>1-year subscription</w:t>
            </w:r>
          </w:p>
        </w:tc>
        <w:tc>
          <w:tcPr>
            <w:tcW w:w="1405" w:type="dxa"/>
          </w:tcPr>
          <w:p w:rsidR="00883A47" w:rsidP="00B92897">
            <w:pPr>
              <w:rPr>
                <w:rFonts w:cstheme="minorHAnsi"/>
              </w:rPr>
            </w:pPr>
            <w:r>
              <w:rPr>
                <w:rFonts w:cstheme="minorHAnsi"/>
              </w:rPr>
              <w:t>2</w:t>
            </w:r>
          </w:p>
        </w:tc>
      </w:tr>
      <w:tr w:rsidTr="00883A47">
        <w:tblPrEx>
          <w:tblW w:w="0" w:type="auto"/>
          <w:tblLook w:val="04A0"/>
        </w:tblPrEx>
        <w:tc>
          <w:tcPr>
            <w:tcW w:w="2271" w:type="dxa"/>
          </w:tcPr>
          <w:p w:rsidR="00883A47" w:rsidRPr="00536476" w:rsidP="00B92897">
            <w:pPr>
              <w:rPr>
                <w:rFonts w:cstheme="minorHAnsi"/>
                <w:b/>
                <w:bCs/>
              </w:rPr>
            </w:pPr>
            <w:r w:rsidRPr="00536476">
              <w:rPr>
                <w:rFonts w:cstheme="minorHAnsi"/>
              </w:rPr>
              <w:t>R</w:t>
            </w:r>
            <w:r>
              <w:rPr>
                <w:rFonts w:cstheme="minorHAnsi"/>
              </w:rPr>
              <w:t>ad</w:t>
            </w:r>
            <w:r w:rsidRPr="00536476">
              <w:rPr>
                <w:rFonts w:cstheme="minorHAnsi"/>
              </w:rPr>
              <w:t>formation</w:t>
            </w:r>
            <w:r w:rsidRPr="00536476">
              <w:rPr>
                <w:rFonts w:cstheme="minorHAnsi"/>
              </w:rPr>
              <w:t>, Inc.</w:t>
            </w:r>
          </w:p>
        </w:tc>
        <w:tc>
          <w:tcPr>
            <w:tcW w:w="2291" w:type="dxa"/>
          </w:tcPr>
          <w:p w:rsidR="00883A47" w:rsidRPr="00883A47" w:rsidP="00B92897">
            <w:pPr>
              <w:rPr>
                <w:rFonts w:cstheme="minorHAnsi"/>
              </w:rPr>
            </w:pPr>
            <w:r w:rsidRPr="00883A47">
              <w:rPr>
                <w:rFonts w:cstheme="minorHAnsi"/>
              </w:rPr>
              <w:t>ClearCalc</w:t>
            </w:r>
            <w:r w:rsidRPr="00883A47">
              <w:rPr>
                <w:rFonts w:cstheme="minorHAnsi"/>
              </w:rPr>
              <w:t xml:space="preserve"> Secondary Calculation Software</w:t>
            </w:r>
          </w:p>
        </w:tc>
        <w:tc>
          <w:tcPr>
            <w:tcW w:w="1505" w:type="dxa"/>
          </w:tcPr>
          <w:p w:rsidR="00883A47" w:rsidRPr="00883A47" w:rsidP="00B92897">
            <w:pPr>
              <w:rPr>
                <w:rFonts w:cstheme="minorHAnsi"/>
              </w:rPr>
            </w:pPr>
            <w:r w:rsidRPr="00883A47">
              <w:rPr>
                <w:rFonts w:cstheme="minorHAnsi"/>
              </w:rPr>
              <w:t>LINACS</w:t>
            </w:r>
          </w:p>
        </w:tc>
        <w:tc>
          <w:tcPr>
            <w:tcW w:w="1878" w:type="dxa"/>
          </w:tcPr>
          <w:p w:rsidR="00883A47" w:rsidRPr="00536476" w:rsidP="00B92897">
            <w:pPr>
              <w:rPr>
                <w:rFonts w:cstheme="minorHAnsi"/>
                <w:b/>
                <w:bCs/>
              </w:rPr>
            </w:pPr>
            <w:r>
              <w:rPr>
                <w:rFonts w:cstheme="minorHAnsi"/>
              </w:rPr>
              <w:t>1-year subscription</w:t>
            </w:r>
          </w:p>
        </w:tc>
        <w:tc>
          <w:tcPr>
            <w:tcW w:w="1405" w:type="dxa"/>
          </w:tcPr>
          <w:p w:rsidR="00883A47" w:rsidRPr="00883A47" w:rsidP="00B92897">
            <w:pPr>
              <w:rPr>
                <w:rFonts w:cstheme="minorHAnsi"/>
              </w:rPr>
            </w:pPr>
            <w:r w:rsidRPr="00883A47">
              <w:rPr>
                <w:rFonts w:cstheme="minorHAnsi"/>
              </w:rPr>
              <w:t>2</w:t>
            </w:r>
          </w:p>
        </w:tc>
      </w:tr>
      <w:tr w:rsidTr="00883A47">
        <w:tblPrEx>
          <w:tblW w:w="0" w:type="auto"/>
          <w:tblLook w:val="04A0"/>
        </w:tblPrEx>
        <w:tc>
          <w:tcPr>
            <w:tcW w:w="2271" w:type="dxa"/>
          </w:tcPr>
          <w:p w:rsidR="00883A47" w:rsidRPr="00536476" w:rsidP="00B92897">
            <w:pPr>
              <w:rPr>
                <w:rFonts w:cstheme="minorHAnsi"/>
              </w:rPr>
            </w:pPr>
            <w:r w:rsidRPr="00536476">
              <w:rPr>
                <w:rFonts w:cstheme="minorHAnsi"/>
              </w:rPr>
              <w:t>R</w:t>
            </w:r>
            <w:r>
              <w:rPr>
                <w:rFonts w:cstheme="minorHAnsi"/>
              </w:rPr>
              <w:t>ad</w:t>
            </w:r>
            <w:r w:rsidRPr="00536476">
              <w:rPr>
                <w:rFonts w:cstheme="minorHAnsi"/>
              </w:rPr>
              <w:t>formation</w:t>
            </w:r>
            <w:r w:rsidRPr="00536476">
              <w:rPr>
                <w:rFonts w:cstheme="minorHAnsi"/>
              </w:rPr>
              <w:t>, Inc.</w:t>
            </w:r>
          </w:p>
        </w:tc>
        <w:tc>
          <w:tcPr>
            <w:tcW w:w="2291" w:type="dxa"/>
          </w:tcPr>
          <w:p w:rsidR="00883A47" w:rsidRPr="00536476" w:rsidP="00B92897">
            <w:pPr>
              <w:rPr>
                <w:rFonts w:cstheme="minorHAnsi"/>
              </w:rPr>
            </w:pPr>
            <w:r w:rsidRPr="00883A47">
              <w:rPr>
                <w:rFonts w:cstheme="minorHAnsi"/>
              </w:rPr>
              <w:t>ClearCheck</w:t>
            </w:r>
            <w:r w:rsidRPr="00883A47">
              <w:rPr>
                <w:rFonts w:cstheme="minorHAnsi"/>
              </w:rPr>
              <w:t xml:space="preserve"> Radiotherapy Treatment Plan Evaluation Software</w:t>
            </w:r>
          </w:p>
        </w:tc>
        <w:tc>
          <w:tcPr>
            <w:tcW w:w="1505" w:type="dxa"/>
          </w:tcPr>
          <w:p w:rsidR="00883A47" w:rsidRPr="00536476" w:rsidP="00B92897">
            <w:pPr>
              <w:rPr>
                <w:rFonts w:cstheme="minorHAnsi"/>
              </w:rPr>
            </w:pPr>
            <w:r w:rsidRPr="00536476">
              <w:rPr>
                <w:rFonts w:cstheme="minorHAnsi"/>
              </w:rPr>
              <w:t>LINACS</w:t>
            </w:r>
          </w:p>
        </w:tc>
        <w:tc>
          <w:tcPr>
            <w:tcW w:w="1878" w:type="dxa"/>
          </w:tcPr>
          <w:p w:rsidR="00883A47" w:rsidRPr="00536476" w:rsidP="00B92897">
            <w:pPr>
              <w:rPr>
                <w:rFonts w:cstheme="minorHAnsi"/>
              </w:rPr>
            </w:pPr>
            <w:r w:rsidRPr="00536476">
              <w:rPr>
                <w:rFonts w:cstheme="minorHAnsi"/>
              </w:rPr>
              <w:t>1-year subscription</w:t>
            </w:r>
          </w:p>
        </w:tc>
        <w:tc>
          <w:tcPr>
            <w:tcW w:w="1405" w:type="dxa"/>
          </w:tcPr>
          <w:p w:rsidR="00883A47" w:rsidRPr="00536476" w:rsidP="00B92897">
            <w:pPr>
              <w:rPr>
                <w:rFonts w:cstheme="minorHAnsi"/>
              </w:rPr>
            </w:pPr>
            <w:r>
              <w:rPr>
                <w:rFonts w:cstheme="minorHAnsi"/>
              </w:rPr>
              <w:t>2</w:t>
            </w:r>
          </w:p>
        </w:tc>
      </w:tr>
      <w:tr w:rsidTr="00883A47">
        <w:tblPrEx>
          <w:tblW w:w="0" w:type="auto"/>
          <w:tblLook w:val="04A0"/>
        </w:tblPrEx>
        <w:tc>
          <w:tcPr>
            <w:tcW w:w="2271" w:type="dxa"/>
          </w:tcPr>
          <w:p w:rsidR="00883A47" w:rsidRPr="00536476" w:rsidP="00B92897">
            <w:pPr>
              <w:rPr>
                <w:rFonts w:cstheme="minorHAnsi"/>
              </w:rPr>
            </w:pPr>
          </w:p>
        </w:tc>
        <w:tc>
          <w:tcPr>
            <w:tcW w:w="2291" w:type="dxa"/>
          </w:tcPr>
          <w:p w:rsidR="00883A47" w:rsidRPr="00883A47" w:rsidP="00B92897">
            <w:pPr>
              <w:rPr>
                <w:rFonts w:cstheme="minorHAnsi"/>
              </w:rPr>
            </w:pPr>
          </w:p>
        </w:tc>
        <w:tc>
          <w:tcPr>
            <w:tcW w:w="1505" w:type="dxa"/>
          </w:tcPr>
          <w:p w:rsidR="00883A47" w:rsidRPr="00536476" w:rsidP="00B92897">
            <w:pPr>
              <w:rPr>
                <w:rFonts w:cstheme="minorHAnsi"/>
              </w:rPr>
            </w:pPr>
          </w:p>
        </w:tc>
        <w:tc>
          <w:tcPr>
            <w:tcW w:w="1878" w:type="dxa"/>
          </w:tcPr>
          <w:p w:rsidR="00883A47" w:rsidRPr="00536476" w:rsidP="00B92897">
            <w:pPr>
              <w:rPr>
                <w:rFonts w:cstheme="minorHAnsi"/>
              </w:rPr>
            </w:pPr>
          </w:p>
        </w:tc>
        <w:tc>
          <w:tcPr>
            <w:tcW w:w="1405" w:type="dxa"/>
          </w:tcPr>
          <w:p w:rsidR="00883A47" w:rsidP="00B92897">
            <w:pPr>
              <w:rPr>
                <w:rFonts w:cstheme="minorHAnsi"/>
              </w:rPr>
            </w:pPr>
          </w:p>
        </w:tc>
      </w:tr>
    </w:tbl>
    <w:p w:rsidR="00F90DAD" w:rsidRPr="008E0CC2" w:rsidP="00F90DAD">
      <w:pPr>
        <w:rPr>
          <w:rFonts w:cstheme="minorHAnsi"/>
          <w:b/>
          <w:bCs/>
          <w:highlight w:val="yellow"/>
        </w:rPr>
      </w:pPr>
    </w:p>
    <w:p w:rsidR="00F90DAD" w:rsidRPr="00103B74" w:rsidP="00F90DAD">
      <w:pPr>
        <w:rPr>
          <w:rFonts w:cstheme="minorHAnsi"/>
        </w:rPr>
      </w:pPr>
      <w:r w:rsidRPr="00103B74">
        <w:rPr>
          <w:rFonts w:cstheme="minorHAnsi"/>
          <w:b/>
          <w:bCs/>
        </w:rPr>
        <w:t>Notice</w:t>
      </w:r>
      <w:r w:rsidRPr="00103B74">
        <w:rPr>
          <w:rFonts w:cstheme="minorHAnsi"/>
        </w:rPr>
        <w:t xml:space="preserve">: No gray market or remanufactured items will be acceptable. Gray market items are Original Equipment Manufacturers’ (OEM) </w:t>
      </w:r>
      <w:r w:rsidRPr="00103B74">
        <w:rPr>
          <w:rFonts w:cstheme="minorHAnsi"/>
        </w:rPr>
        <w:t>good</w:t>
      </w:r>
      <w:r w:rsidRPr="00103B74">
        <w:rPr>
          <w:rFonts w:cstheme="minorHAnsi"/>
        </w:rPr>
        <w:t xml:space="preserve"> sold through unauthorized channels in direct competition with authorized distributors. This procurement is for new equipment only. The vendor shall be an OEM, authorized dealer, authorized distributor, authorized reseller, verified by an authorization letter or other documents from the OEM. </w:t>
      </w:r>
    </w:p>
    <w:p w:rsidR="00F90DAD" w:rsidRPr="00103B74" w:rsidP="00F90DAD">
      <w:pPr>
        <w:rPr>
          <w:rFonts w:cstheme="minorHAnsi"/>
        </w:rPr>
      </w:pPr>
      <w:r w:rsidRPr="00103B74">
        <w:rPr>
          <w:rFonts w:cstheme="minorHAnsi"/>
        </w:rPr>
        <w:t>If you are interested and can provide the sought-out brand name or equal, please provide the requested information below:</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247"/>
      </w:tblGrid>
      <w:tr w:rsidTr="00B92897">
        <w:tblPrEx>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c>
          <w:tcPr>
            <w:tcW w:w="9247" w:type="dxa"/>
            <w:tcBorders>
              <w:top w:val="single" w:sz="4" w:space="0" w:color="auto"/>
              <w:left w:val="single" w:sz="4" w:space="0" w:color="auto"/>
              <w:bottom w:val="single" w:sz="4" w:space="0" w:color="auto"/>
              <w:right w:val="single" w:sz="4" w:space="0" w:color="auto"/>
            </w:tcBorders>
            <w:hideMark/>
          </w:tcPr>
          <w:p w:rsidR="00F90DAD" w:rsidRPr="00103B74" w:rsidP="00B92897">
            <w:pPr>
              <w:rPr>
                <w:rFonts w:cstheme="minorHAnsi"/>
                <w:b/>
              </w:rPr>
            </w:pPr>
            <w:r w:rsidRPr="00103B74">
              <w:rPr>
                <w:rFonts w:cstheme="minorHAnsi"/>
                <w:b/>
              </w:rPr>
              <w:t xml:space="preserve">Company Name: </w:t>
            </w:r>
          </w:p>
        </w:tc>
      </w:tr>
      <w:tr w:rsidTr="00B92897">
        <w:tblPrEx>
          <w:tblW w:w="9247" w:type="dxa"/>
          <w:tblInd w:w="108" w:type="dxa"/>
          <w:tblLook w:val="00A0"/>
        </w:tblPrEx>
        <w:tc>
          <w:tcPr>
            <w:tcW w:w="9247" w:type="dxa"/>
            <w:tcBorders>
              <w:top w:val="single" w:sz="4" w:space="0" w:color="auto"/>
              <w:left w:val="single" w:sz="4" w:space="0" w:color="auto"/>
              <w:bottom w:val="single" w:sz="4" w:space="0" w:color="auto"/>
              <w:right w:val="single" w:sz="4" w:space="0" w:color="auto"/>
            </w:tcBorders>
            <w:hideMark/>
          </w:tcPr>
          <w:p w:rsidR="00F90DAD" w:rsidRPr="00103B74" w:rsidP="00B92897">
            <w:pPr>
              <w:rPr>
                <w:rFonts w:cstheme="minorHAnsi"/>
                <w:b/>
              </w:rPr>
            </w:pPr>
            <w:r w:rsidRPr="00103B74">
              <w:rPr>
                <w:rFonts w:cstheme="minorHAnsi"/>
                <w:b/>
              </w:rPr>
              <w:t xml:space="preserve"> Address:     </w:t>
            </w:r>
          </w:p>
        </w:tc>
      </w:tr>
      <w:tr w:rsidTr="00B92897">
        <w:tblPrEx>
          <w:tblW w:w="9247" w:type="dxa"/>
          <w:tblInd w:w="108" w:type="dxa"/>
          <w:tblLook w:val="00A0"/>
        </w:tblPrEx>
        <w:tc>
          <w:tcPr>
            <w:tcW w:w="9247" w:type="dxa"/>
            <w:tcBorders>
              <w:top w:val="single" w:sz="4" w:space="0" w:color="auto"/>
              <w:left w:val="single" w:sz="4" w:space="0" w:color="auto"/>
              <w:bottom w:val="single" w:sz="4" w:space="0" w:color="auto"/>
              <w:right w:val="single" w:sz="4" w:space="0" w:color="auto"/>
            </w:tcBorders>
            <w:hideMark/>
          </w:tcPr>
          <w:p w:rsidR="00F90DAD" w:rsidRPr="00103B74" w:rsidP="00B92897">
            <w:pPr>
              <w:rPr>
                <w:rFonts w:cstheme="minorHAnsi"/>
                <w:b/>
              </w:rPr>
            </w:pPr>
            <w:r w:rsidRPr="00103B74">
              <w:rPr>
                <w:rFonts w:cstheme="minorHAnsi"/>
                <w:b/>
              </w:rPr>
              <w:t xml:space="preserve">                    </w:t>
            </w:r>
          </w:p>
        </w:tc>
      </w:tr>
      <w:tr w:rsidTr="00B92897">
        <w:tblPrEx>
          <w:tblW w:w="9247" w:type="dxa"/>
          <w:tblInd w:w="108" w:type="dxa"/>
          <w:tblLook w:val="00A0"/>
        </w:tblPrEx>
        <w:tc>
          <w:tcPr>
            <w:tcW w:w="9247" w:type="dxa"/>
            <w:tcBorders>
              <w:top w:val="single" w:sz="4" w:space="0" w:color="auto"/>
              <w:left w:val="single" w:sz="4" w:space="0" w:color="auto"/>
              <w:bottom w:val="single" w:sz="4" w:space="0" w:color="auto"/>
              <w:right w:val="single" w:sz="4" w:space="0" w:color="auto"/>
            </w:tcBorders>
            <w:hideMark/>
          </w:tcPr>
          <w:p w:rsidR="00F90DAD" w:rsidRPr="00103B74" w:rsidP="00B92897">
            <w:pPr>
              <w:rPr>
                <w:rFonts w:cstheme="minorHAnsi"/>
                <w:b/>
              </w:rPr>
            </w:pPr>
            <w:r w:rsidRPr="00103B74">
              <w:rPr>
                <w:rFonts w:cstheme="minorHAnsi"/>
                <w:b/>
              </w:rPr>
              <w:t xml:space="preserve">Contact Name:  </w:t>
            </w:r>
          </w:p>
        </w:tc>
      </w:tr>
      <w:tr w:rsidTr="00B92897">
        <w:tblPrEx>
          <w:tblW w:w="9247" w:type="dxa"/>
          <w:tblInd w:w="108" w:type="dxa"/>
          <w:tblLook w:val="00A0"/>
        </w:tblPrEx>
        <w:tc>
          <w:tcPr>
            <w:tcW w:w="9247" w:type="dxa"/>
            <w:tcBorders>
              <w:top w:val="single" w:sz="4" w:space="0" w:color="auto"/>
              <w:left w:val="single" w:sz="4" w:space="0" w:color="auto"/>
              <w:bottom w:val="single" w:sz="4" w:space="0" w:color="auto"/>
              <w:right w:val="single" w:sz="4" w:space="0" w:color="auto"/>
            </w:tcBorders>
            <w:hideMark/>
          </w:tcPr>
          <w:p w:rsidR="00F90DAD" w:rsidRPr="00103B74" w:rsidP="00B92897">
            <w:pPr>
              <w:rPr>
                <w:rFonts w:cstheme="minorHAnsi"/>
                <w:b/>
              </w:rPr>
            </w:pPr>
            <w:r w:rsidRPr="00103B74">
              <w:rPr>
                <w:rFonts w:cstheme="minorHAnsi"/>
                <w:b/>
              </w:rPr>
              <w:t xml:space="preserve">Phone No:         </w:t>
            </w:r>
          </w:p>
        </w:tc>
      </w:tr>
      <w:tr w:rsidTr="00B92897">
        <w:tblPrEx>
          <w:tblW w:w="9247" w:type="dxa"/>
          <w:tblInd w:w="108" w:type="dxa"/>
          <w:tblLook w:val="00A0"/>
        </w:tblPrEx>
        <w:tc>
          <w:tcPr>
            <w:tcW w:w="9247" w:type="dxa"/>
            <w:tcBorders>
              <w:top w:val="single" w:sz="4" w:space="0" w:color="auto"/>
              <w:left w:val="single" w:sz="4" w:space="0" w:color="auto"/>
              <w:bottom w:val="single" w:sz="4" w:space="0" w:color="auto"/>
              <w:right w:val="single" w:sz="4" w:space="0" w:color="auto"/>
            </w:tcBorders>
            <w:hideMark/>
          </w:tcPr>
          <w:p w:rsidR="00F90DAD" w:rsidRPr="00103B74" w:rsidP="00B92897">
            <w:pPr>
              <w:rPr>
                <w:rFonts w:cstheme="minorHAnsi"/>
                <w:b/>
              </w:rPr>
            </w:pPr>
            <w:r w:rsidRPr="00103B74">
              <w:rPr>
                <w:rFonts w:cstheme="minorHAnsi"/>
                <w:b/>
              </w:rPr>
              <w:t xml:space="preserve">Email:               </w:t>
            </w:r>
          </w:p>
        </w:tc>
      </w:tr>
      <w:tr w:rsidTr="00B92897">
        <w:tblPrEx>
          <w:tblW w:w="9247" w:type="dxa"/>
          <w:tblInd w:w="108" w:type="dxa"/>
          <w:tblLook w:val="00A0"/>
        </w:tblPrEx>
        <w:tc>
          <w:tcPr>
            <w:tcW w:w="9247" w:type="dxa"/>
            <w:tcBorders>
              <w:top w:val="single" w:sz="4" w:space="0" w:color="auto"/>
              <w:left w:val="single" w:sz="4" w:space="0" w:color="auto"/>
              <w:bottom w:val="single" w:sz="4" w:space="0" w:color="auto"/>
              <w:right w:val="single" w:sz="4" w:space="0" w:color="auto"/>
            </w:tcBorders>
            <w:hideMark/>
          </w:tcPr>
          <w:p w:rsidR="00F90DAD" w:rsidRPr="00103B74" w:rsidP="00B92897">
            <w:pPr>
              <w:rPr>
                <w:rFonts w:cstheme="minorHAnsi"/>
              </w:rPr>
            </w:pPr>
            <w:r w:rsidRPr="00103B74">
              <w:rPr>
                <w:rFonts w:cstheme="minorHAnsi"/>
              </w:rPr>
              <w:t>Unique Entity ID (generated by SAM.gov).</w:t>
            </w:r>
          </w:p>
          <w:p w:rsidR="00F90DAD" w:rsidRPr="00103B74" w:rsidP="00B92897">
            <w:pPr>
              <w:rPr>
                <w:rFonts w:cstheme="minorHAnsi"/>
                <w:b/>
              </w:rPr>
            </w:pPr>
          </w:p>
        </w:tc>
      </w:tr>
    </w:tbl>
    <w:p w:rsidR="00F90DAD" w:rsidRPr="00103B74" w:rsidP="00F90DAD">
      <w:pPr>
        <w:rPr>
          <w:rFonts w:cstheme="minorHAnsi"/>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247"/>
      </w:tblGrid>
      <w:tr w:rsidTr="00B92897">
        <w:tblPrEx>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c>
          <w:tcPr>
            <w:tcW w:w="9247" w:type="dxa"/>
            <w:tcBorders>
              <w:top w:val="single" w:sz="4" w:space="0" w:color="auto"/>
              <w:left w:val="single" w:sz="4" w:space="0" w:color="auto"/>
              <w:bottom w:val="single" w:sz="4" w:space="0" w:color="auto"/>
              <w:right w:val="single" w:sz="4" w:space="0" w:color="auto"/>
            </w:tcBorders>
            <w:hideMark/>
          </w:tcPr>
          <w:p w:rsidR="00F90DAD" w:rsidRPr="00103B74" w:rsidP="00B92897">
            <w:pPr>
              <w:rPr>
                <w:rFonts w:cstheme="minorHAnsi"/>
                <w:b/>
              </w:rPr>
            </w:pPr>
            <w:r w:rsidRPr="00103B74">
              <w:rPr>
                <w:rFonts w:cstheme="minorHAnsi"/>
                <w:b/>
              </w:rPr>
              <w:t>Business size information</w:t>
            </w:r>
          </w:p>
        </w:tc>
      </w:tr>
      <w:tr w:rsidTr="00B92897">
        <w:tblPrEx>
          <w:tblW w:w="9247" w:type="dxa"/>
          <w:tblInd w:w="108" w:type="dxa"/>
          <w:tblLook w:val="00A0"/>
        </w:tblPrEx>
        <w:tc>
          <w:tcPr>
            <w:tcW w:w="9247" w:type="dxa"/>
            <w:tcBorders>
              <w:top w:val="single" w:sz="4" w:space="0" w:color="auto"/>
              <w:left w:val="single" w:sz="4" w:space="0" w:color="auto"/>
              <w:bottom w:val="single" w:sz="4" w:space="0" w:color="auto"/>
              <w:right w:val="single" w:sz="4" w:space="0" w:color="auto"/>
            </w:tcBorders>
          </w:tcPr>
          <w:p w:rsidR="00F90DAD" w:rsidRPr="00103B74" w:rsidP="00B92897">
            <w:pPr>
              <w:rPr>
                <w:rFonts w:cstheme="minorHAnsi"/>
              </w:rPr>
            </w:pPr>
            <w:r w:rsidRPr="00103B74">
              <w:rPr>
                <w:rFonts w:cstheme="minorHAnsi"/>
              </w:rPr>
              <w:t>Select all that applies:</w:t>
            </w:r>
          </w:p>
          <w:p w:rsidR="00F90DAD" w:rsidRPr="00103B74" w:rsidP="00B92897">
            <w:pPr>
              <w:rPr>
                <w:rFonts w:cstheme="minorHAnsi"/>
              </w:rPr>
            </w:pPr>
            <w:r w:rsidRPr="00103B74">
              <w:rPr>
                <w:rFonts w:ascii="Segoe UI Symbol" w:hAnsi="Segoe UI Symbol" w:cs="Segoe UI Symbol"/>
              </w:rPr>
              <w:t>☐</w:t>
            </w:r>
            <w:r w:rsidRPr="00103B74">
              <w:rPr>
                <w:rFonts w:cstheme="minorHAnsi"/>
              </w:rPr>
              <w:t xml:space="preserve"> Small Business</w:t>
            </w:r>
          </w:p>
          <w:p w:rsidR="00F90DAD" w:rsidRPr="00103B74" w:rsidP="00B92897">
            <w:pPr>
              <w:rPr>
                <w:rFonts w:cstheme="minorHAnsi"/>
              </w:rPr>
            </w:pPr>
            <w:r w:rsidRPr="00103B74">
              <w:rPr>
                <w:rFonts w:ascii="Segoe UI Symbol" w:hAnsi="Segoe UI Symbol" w:cs="Segoe UI Symbol"/>
              </w:rPr>
              <w:t>☐</w:t>
            </w:r>
            <w:r w:rsidRPr="00103B74">
              <w:rPr>
                <w:rFonts w:cstheme="minorHAnsi"/>
              </w:rPr>
              <w:t xml:space="preserve"> Emerging Small Business</w:t>
            </w:r>
          </w:p>
          <w:p w:rsidR="00F90DAD" w:rsidRPr="00103B74" w:rsidP="00B92897">
            <w:pPr>
              <w:rPr>
                <w:rFonts w:cstheme="minorHAnsi"/>
              </w:rPr>
            </w:pPr>
            <w:r w:rsidRPr="00103B74">
              <w:rPr>
                <w:rFonts w:ascii="Segoe UI Symbol" w:hAnsi="Segoe UI Symbol" w:cs="Segoe UI Symbol"/>
              </w:rPr>
              <w:t>☐</w:t>
            </w:r>
            <w:r w:rsidRPr="00103B74">
              <w:rPr>
                <w:rFonts w:cstheme="minorHAnsi"/>
              </w:rPr>
              <w:t xml:space="preserve"> Small Disadvantaged Business</w:t>
            </w:r>
          </w:p>
          <w:p w:rsidR="00F90DAD" w:rsidRPr="00103B74" w:rsidP="00B92897">
            <w:pPr>
              <w:rPr>
                <w:rFonts w:cstheme="minorHAnsi"/>
              </w:rPr>
            </w:pPr>
            <w:r w:rsidRPr="00103B74">
              <w:rPr>
                <w:rFonts w:ascii="Segoe UI Symbol" w:hAnsi="Segoe UI Symbol" w:cs="Segoe UI Symbol"/>
              </w:rPr>
              <w:t>☐</w:t>
            </w:r>
            <w:r w:rsidRPr="00103B74">
              <w:rPr>
                <w:rFonts w:cstheme="minorHAnsi"/>
              </w:rPr>
              <w:t xml:space="preserve"> Certified under Section 8(a) of the Small Business Act</w:t>
            </w:r>
          </w:p>
          <w:p w:rsidR="00F90DAD" w:rsidRPr="00103B74" w:rsidP="00B92897">
            <w:pPr>
              <w:rPr>
                <w:rFonts w:cstheme="minorHAnsi"/>
              </w:rPr>
            </w:pPr>
            <w:r w:rsidRPr="00103B74">
              <w:rPr>
                <w:rFonts w:ascii="Segoe UI Symbol" w:hAnsi="Segoe UI Symbol" w:cs="Segoe UI Symbol"/>
              </w:rPr>
              <w:t>☐</w:t>
            </w:r>
            <w:r w:rsidRPr="00103B74">
              <w:rPr>
                <w:rFonts w:cstheme="minorHAnsi"/>
              </w:rPr>
              <w:t xml:space="preserve"> </w:t>
            </w:r>
            <w:r w:rsidRPr="00103B74">
              <w:rPr>
                <w:rFonts w:cstheme="minorHAnsi"/>
              </w:rPr>
              <w:t>HubZone</w:t>
            </w:r>
          </w:p>
          <w:p w:rsidR="00F90DAD" w:rsidRPr="00103B74" w:rsidP="00B92897">
            <w:pPr>
              <w:rPr>
                <w:rFonts w:cstheme="minorHAnsi"/>
              </w:rPr>
            </w:pPr>
            <w:r w:rsidRPr="00103B74">
              <w:rPr>
                <w:rFonts w:ascii="Segoe UI Symbol" w:hAnsi="Segoe UI Symbol" w:cs="Segoe UI Symbol"/>
              </w:rPr>
              <w:t>☐</w:t>
            </w:r>
            <w:r w:rsidRPr="00103B74">
              <w:rPr>
                <w:rFonts w:cstheme="minorHAnsi"/>
              </w:rPr>
              <w:t xml:space="preserve"> Woman Owned</w:t>
            </w:r>
          </w:p>
          <w:p w:rsidR="00F90DAD" w:rsidRPr="00103B74" w:rsidP="00B92897">
            <w:pPr>
              <w:rPr>
                <w:rFonts w:cstheme="minorHAnsi"/>
              </w:rPr>
            </w:pPr>
            <w:r w:rsidRPr="00103B74">
              <w:rPr>
                <w:rFonts w:ascii="Segoe UI Symbol" w:hAnsi="Segoe UI Symbol" w:cs="Segoe UI Symbol"/>
              </w:rPr>
              <w:t>☐</w:t>
            </w:r>
            <w:r w:rsidRPr="00103B74">
              <w:rPr>
                <w:rFonts w:cstheme="minorHAnsi"/>
              </w:rPr>
              <w:t xml:space="preserve"> Certified Service-Disabled Veteran Owned Small in Vetbiz.gov </w:t>
            </w:r>
          </w:p>
          <w:p w:rsidR="00F90DAD" w:rsidRPr="00103B74" w:rsidP="00B92897">
            <w:pPr>
              <w:rPr>
                <w:rFonts w:cstheme="minorHAnsi"/>
              </w:rPr>
            </w:pPr>
            <w:r w:rsidRPr="00103B74">
              <w:rPr>
                <w:rFonts w:ascii="Segoe UI Symbol" w:hAnsi="Segoe UI Symbol" w:cs="Segoe UI Symbol"/>
              </w:rPr>
              <w:t>☐</w:t>
            </w:r>
            <w:r w:rsidRPr="00103B74">
              <w:rPr>
                <w:rFonts w:cstheme="minorHAnsi"/>
              </w:rPr>
              <w:t xml:space="preserve"> Certified Veteran Owned Small Business in Vetbiz.gov</w:t>
            </w:r>
          </w:p>
          <w:p w:rsidR="00F90DAD" w:rsidRPr="00103B74" w:rsidP="00B92897">
            <w:pPr>
              <w:rPr>
                <w:rFonts w:cstheme="minorHAnsi"/>
              </w:rPr>
            </w:pPr>
            <w:r w:rsidRPr="00103B74">
              <w:rPr>
                <w:rFonts w:ascii="Segoe UI Symbol" w:hAnsi="Segoe UI Symbol" w:cs="Segoe UI Symbol"/>
              </w:rPr>
              <w:t>☐</w:t>
            </w:r>
            <w:r w:rsidRPr="00103B74">
              <w:rPr>
                <w:rFonts w:cstheme="minorHAnsi"/>
              </w:rPr>
              <w:t xml:space="preserve"> Large Business</w:t>
            </w:r>
          </w:p>
          <w:p w:rsidR="00F90DAD" w:rsidRPr="00103B74" w:rsidP="00B92897">
            <w:pPr>
              <w:rPr>
                <w:rFonts w:cstheme="minorHAnsi"/>
                <w:u w:val="single"/>
              </w:rPr>
            </w:pPr>
            <w:r w:rsidRPr="00103B74">
              <w:rPr>
                <w:rFonts w:ascii="Segoe UI Symbol" w:hAnsi="Segoe UI Symbol" w:cs="Segoe UI Symbol"/>
              </w:rPr>
              <w:t>☐</w:t>
            </w:r>
            <w:r w:rsidRPr="00103B74">
              <w:rPr>
                <w:rFonts w:cstheme="minorHAnsi"/>
              </w:rPr>
              <w:t xml:space="preserve"> </w:t>
            </w:r>
            <w:r w:rsidRPr="00103B74">
              <w:rPr>
                <w:rFonts w:cstheme="minorHAnsi"/>
              </w:rPr>
              <w:t>Other:_</w:t>
            </w:r>
            <w:r w:rsidRPr="00103B74">
              <w:rPr>
                <w:rFonts w:cstheme="minorHAnsi"/>
              </w:rPr>
              <w:t xml:space="preserve">___________ </w:t>
            </w:r>
          </w:p>
          <w:p w:rsidR="00F90DAD" w:rsidRPr="00103B74" w:rsidP="00B92897">
            <w:pPr>
              <w:rPr>
                <w:rFonts w:cstheme="minorHAnsi"/>
              </w:rPr>
            </w:pPr>
          </w:p>
        </w:tc>
      </w:tr>
    </w:tbl>
    <w:p w:rsidR="00F90DAD" w:rsidRPr="00103B74" w:rsidP="00F90DAD">
      <w:pPr>
        <w:rPr>
          <w:rFonts w:cstheme="minorHAnsi"/>
        </w:rPr>
      </w:pPr>
    </w:p>
    <w:p w:rsidR="00F90DAD" w:rsidRPr="00103B74" w:rsidP="00F90DAD">
      <w:pPr>
        <w:rPr>
          <w:rFonts w:cstheme="minorHAnsi"/>
        </w:rPr>
      </w:pPr>
      <w:r w:rsidRPr="00103B74">
        <w:rPr>
          <w:rFonts w:cstheme="minorHAnsi"/>
        </w:rPr>
        <w:t xml:space="preserve">1. Is your company considered small under NAICS </w:t>
      </w:r>
      <w:r w:rsidRPr="00F90DAD">
        <w:rPr>
          <w:rFonts w:cstheme="minorHAnsi"/>
        </w:rPr>
        <w:t>54151</w:t>
      </w:r>
      <w:r>
        <w:rPr>
          <w:rFonts w:cstheme="minorHAnsi"/>
        </w:rPr>
        <w:t>1</w:t>
      </w:r>
      <w:r w:rsidRPr="00103B74">
        <w:rPr>
          <w:rFonts w:cstheme="minorHAnsi"/>
        </w:rPr>
        <w:t>?</w:t>
      </w:r>
    </w:p>
    <w:p w:rsidR="00F90DAD" w:rsidRPr="00103B74" w:rsidP="00F90DAD">
      <w:pPr>
        <w:rPr>
          <w:rFonts w:cstheme="minorHAnsi"/>
        </w:rPr>
      </w:pPr>
      <w:r w:rsidRPr="00103B74">
        <w:rPr>
          <w:rFonts w:cstheme="minorHAnsi"/>
        </w:rPr>
        <w:t>2. Are you the Original Equipment Manufacturer (OEM) of the product/solution?</w:t>
      </w:r>
    </w:p>
    <w:p w:rsidR="00F90DAD" w:rsidRPr="00103B74" w:rsidP="00F90DAD">
      <w:pPr>
        <w:rPr>
          <w:rFonts w:cstheme="minorHAnsi"/>
        </w:rPr>
      </w:pPr>
      <w:r w:rsidRPr="00103B74">
        <w:rPr>
          <w:rFonts w:cstheme="minorHAnsi"/>
        </w:rPr>
        <w:t xml:space="preserve">3. Are you authorized distributor/reseller for the product/solution? Please provide authorization </w:t>
      </w:r>
      <w:r w:rsidRPr="00103B74">
        <w:rPr>
          <w:rFonts w:cstheme="minorHAnsi"/>
        </w:rPr>
        <w:t>letter</w:t>
      </w:r>
      <w:r w:rsidRPr="00103B74">
        <w:rPr>
          <w:rFonts w:cstheme="minorHAnsi"/>
        </w:rPr>
        <w:t xml:space="preserve"> or other documents from the OEM.</w:t>
      </w:r>
    </w:p>
    <w:p w:rsidR="00F90DAD" w:rsidRPr="00103B74" w:rsidP="00F90DAD">
      <w:pPr>
        <w:rPr>
          <w:rFonts w:cstheme="minorHAnsi"/>
        </w:rPr>
      </w:pPr>
      <w:r w:rsidRPr="00103B74">
        <w:rPr>
          <w:rFonts w:cstheme="minorHAnsi"/>
        </w:rPr>
        <w:t>4. Please provide general pricing for your product/solution for market research purposes.</w:t>
      </w:r>
    </w:p>
    <w:p w:rsidR="00F90DAD" w:rsidRPr="00103B74" w:rsidP="00F90DAD">
      <w:pPr>
        <w:rPr>
          <w:rFonts w:cstheme="minorHAnsi"/>
        </w:rPr>
      </w:pPr>
      <w:r w:rsidRPr="00103B74">
        <w:rPr>
          <w:rFonts w:cstheme="minorHAnsi"/>
        </w:rPr>
        <w:t>5. Please submit your capabilities regarding the salient characteristics and provide any information pertaining to “equal to items” to establish capabilities for planning purposes?</w:t>
      </w:r>
    </w:p>
    <w:p w:rsidR="00F90DAD" w:rsidRPr="00022037" w:rsidP="00F90DAD">
      <w:pPr>
        <w:rPr>
          <w:rFonts w:cstheme="minorHAnsi"/>
        </w:rPr>
      </w:pPr>
      <w:r w:rsidRPr="00103B74">
        <w:rPr>
          <w:rFonts w:cstheme="minorHAnsi"/>
        </w:rPr>
        <w:t xml:space="preserve">A solicitation is not currently available. If a solicitation is issued it will be published on </w:t>
      </w:r>
      <w:r>
        <w:fldChar w:fldCharType="begin"/>
      </w:r>
      <w:r>
        <w:instrText xml:space="preserve"> HYPERLINK "https://sam.gov/content/home" </w:instrText>
      </w:r>
      <w:r>
        <w:fldChar w:fldCharType="separate"/>
      </w:r>
      <w:r w:rsidRPr="00103B74">
        <w:rPr>
          <w:rStyle w:val="Hyperlink"/>
        </w:rPr>
        <w:t>SAM.gov | Home</w:t>
      </w:r>
      <w:r>
        <w:fldChar w:fldCharType="end"/>
      </w:r>
      <w:r w:rsidRPr="00103B74">
        <w:t xml:space="preserve"> </w:t>
      </w:r>
      <w:r w:rsidRPr="00103B74">
        <w:rPr>
          <w:rFonts w:cstheme="minorHAnsi"/>
        </w:rPr>
        <w:t xml:space="preserve">and/or </w:t>
      </w:r>
      <w:r>
        <w:fldChar w:fldCharType="begin"/>
      </w:r>
      <w:r>
        <w:instrText xml:space="preserve"> HYPERLINK "https://www.sewp.nasa.gov/" </w:instrText>
      </w:r>
      <w:r>
        <w:fldChar w:fldCharType="separate"/>
      </w:r>
      <w:r w:rsidRPr="00103B74">
        <w:rPr>
          <w:rStyle w:val="Hyperlink"/>
        </w:rPr>
        <w:t>NASA SEWP Home</w:t>
      </w:r>
      <w:r>
        <w:fldChar w:fldCharType="end"/>
      </w:r>
      <w:r w:rsidRPr="00103B74">
        <w:t xml:space="preserve"> on </w:t>
      </w:r>
      <w:r w:rsidRPr="00103B74">
        <w:rPr>
          <w:rFonts w:cstheme="minorHAnsi"/>
        </w:rPr>
        <w:t>a later date. Interested sources must respond to that solicitation announcement separately from this source sought.</w:t>
      </w:r>
      <w:r w:rsidRPr="00F80D9A">
        <w:rPr>
          <w:rFonts w:cstheme="minorHAnsi"/>
        </w:rPr>
        <w:t xml:space="preserve"> </w:t>
      </w:r>
    </w:p>
    <w:p w:rsidR="00F724AD"/>
    <w:p w:rsidR="002C1D04">
      <w:pPr>
        <w:pStyle w:val="Heading1"/>
      </w:pPr>
      <w:r>
        <w:rPr>
          <w:color w:val="231F20"/>
        </w:rPr>
        <w:t>Salient</w:t>
      </w:r>
      <w:r>
        <w:rPr>
          <w:color w:val="231F20"/>
          <w:spacing w:val="-7"/>
        </w:rPr>
        <w:t xml:space="preserve"> </w:t>
      </w:r>
      <w:r>
        <w:rPr>
          <w:color w:val="231F20"/>
          <w:spacing w:val="-2"/>
        </w:rPr>
        <w:t>Characteristics</w:t>
      </w:r>
    </w:p>
    <w:p w:rsidR="002C1D04">
      <w:pPr>
        <w:pStyle w:val="BodyText"/>
        <w:spacing w:before="238"/>
      </w:pPr>
      <w:r>
        <w:rPr>
          <w:color w:val="231F20"/>
        </w:rPr>
        <w:t>Date:</w:t>
      </w:r>
      <w:r>
        <w:rPr>
          <w:color w:val="231F20"/>
          <w:spacing w:val="-6"/>
        </w:rPr>
        <w:t xml:space="preserve"> </w:t>
      </w:r>
      <w:r>
        <w:rPr>
          <w:color w:val="231F20"/>
          <w:spacing w:val="-2"/>
        </w:rPr>
        <w:t>4/28/2026</w:t>
      </w:r>
    </w:p>
    <w:p w:rsidR="002C1D04">
      <w:pPr>
        <w:pStyle w:val="BodyText"/>
        <w:spacing w:before="121"/>
        <w:ind w:left="359"/>
      </w:pPr>
      <w:r>
        <w:rPr>
          <w:b/>
          <w:color w:val="231F20"/>
        </w:rPr>
        <w:t>Equipment:</w:t>
      </w:r>
      <w:r>
        <w:rPr>
          <w:b/>
          <w:color w:val="231F20"/>
          <w:spacing w:val="-12"/>
        </w:rPr>
        <w:t xml:space="preserve"> </w:t>
      </w:r>
      <w:r>
        <w:rPr>
          <w:color w:val="231F20"/>
        </w:rPr>
        <w:t>Radformation</w:t>
      </w:r>
      <w:r>
        <w:rPr>
          <w:color w:val="231F20"/>
          <w:spacing w:val="-7"/>
        </w:rPr>
        <w:t xml:space="preserve"> </w:t>
      </w:r>
      <w:r>
        <w:rPr>
          <w:color w:val="231F20"/>
        </w:rPr>
        <w:t>Radiotherapy</w:t>
      </w:r>
      <w:r>
        <w:rPr>
          <w:color w:val="231F20"/>
          <w:spacing w:val="-7"/>
        </w:rPr>
        <w:t xml:space="preserve"> </w:t>
      </w:r>
      <w:r>
        <w:rPr>
          <w:color w:val="231F20"/>
        </w:rPr>
        <w:t>Evaluation</w:t>
      </w:r>
      <w:r>
        <w:rPr>
          <w:color w:val="231F20"/>
          <w:spacing w:val="-8"/>
        </w:rPr>
        <w:t xml:space="preserve"> </w:t>
      </w:r>
      <w:r>
        <w:rPr>
          <w:color w:val="231F20"/>
          <w:spacing w:val="-2"/>
        </w:rPr>
        <w:t>Software.</w:t>
      </w:r>
    </w:p>
    <w:p w:rsidR="002C1D04">
      <w:pPr>
        <w:pStyle w:val="ListParagraph"/>
        <w:numPr>
          <w:ilvl w:val="0"/>
          <w:numId w:val="1"/>
        </w:numPr>
        <w:tabs>
          <w:tab w:val="left" w:pos="2159"/>
        </w:tabs>
        <w:spacing w:before="123"/>
        <w:ind w:left="2159" w:hanging="359"/>
        <w:rPr>
          <w:sz w:val="20"/>
        </w:rPr>
      </w:pPr>
      <w:r>
        <w:rPr>
          <w:color w:val="231F20"/>
          <w:sz w:val="20"/>
        </w:rPr>
        <w:t>AutoContour</w:t>
      </w:r>
      <w:r>
        <w:rPr>
          <w:color w:val="231F20"/>
          <w:spacing w:val="-11"/>
          <w:sz w:val="20"/>
        </w:rPr>
        <w:t xml:space="preserve"> </w:t>
      </w:r>
      <w:r>
        <w:rPr>
          <w:color w:val="231F20"/>
          <w:sz w:val="20"/>
        </w:rPr>
        <w:t>Radiotherapy</w:t>
      </w:r>
      <w:r>
        <w:rPr>
          <w:color w:val="231F20"/>
          <w:spacing w:val="-10"/>
          <w:sz w:val="20"/>
        </w:rPr>
        <w:t xml:space="preserve"> </w:t>
      </w:r>
      <w:r>
        <w:rPr>
          <w:color w:val="231F20"/>
          <w:sz w:val="20"/>
        </w:rPr>
        <w:t>Automated</w:t>
      </w:r>
      <w:r>
        <w:rPr>
          <w:color w:val="231F20"/>
          <w:spacing w:val="-11"/>
          <w:sz w:val="20"/>
        </w:rPr>
        <w:t xml:space="preserve"> </w:t>
      </w:r>
      <w:r>
        <w:rPr>
          <w:color w:val="231F20"/>
          <w:sz w:val="20"/>
        </w:rPr>
        <w:t>Contouring</w:t>
      </w:r>
      <w:r>
        <w:rPr>
          <w:color w:val="231F20"/>
          <w:spacing w:val="-10"/>
          <w:sz w:val="20"/>
        </w:rPr>
        <w:t xml:space="preserve"> </w:t>
      </w:r>
      <w:r>
        <w:rPr>
          <w:color w:val="231F20"/>
          <w:spacing w:val="-2"/>
          <w:sz w:val="20"/>
        </w:rPr>
        <w:t>Software</w:t>
      </w:r>
    </w:p>
    <w:p w:rsidR="002C1D04">
      <w:pPr>
        <w:pStyle w:val="ListParagraph"/>
        <w:numPr>
          <w:ilvl w:val="0"/>
          <w:numId w:val="1"/>
        </w:numPr>
        <w:tabs>
          <w:tab w:val="left" w:pos="2159"/>
        </w:tabs>
        <w:ind w:left="2159" w:hanging="359"/>
        <w:rPr>
          <w:sz w:val="20"/>
        </w:rPr>
      </w:pPr>
      <w:r>
        <w:rPr>
          <w:color w:val="231F20"/>
          <w:sz w:val="20"/>
        </w:rPr>
        <w:t>ChartCheck</w:t>
      </w:r>
      <w:r>
        <w:rPr>
          <w:color w:val="231F20"/>
          <w:spacing w:val="-8"/>
          <w:sz w:val="20"/>
        </w:rPr>
        <w:t xml:space="preserve"> </w:t>
      </w:r>
      <w:r>
        <w:rPr>
          <w:color w:val="231F20"/>
          <w:sz w:val="20"/>
        </w:rPr>
        <w:t>Radiotherapy</w:t>
      </w:r>
      <w:r>
        <w:rPr>
          <w:color w:val="231F20"/>
          <w:spacing w:val="-8"/>
          <w:sz w:val="20"/>
        </w:rPr>
        <w:t xml:space="preserve"> </w:t>
      </w:r>
      <w:r>
        <w:rPr>
          <w:color w:val="231F20"/>
          <w:sz w:val="20"/>
        </w:rPr>
        <w:t>Treatment</w:t>
      </w:r>
      <w:r>
        <w:rPr>
          <w:color w:val="231F20"/>
          <w:spacing w:val="-7"/>
          <w:sz w:val="20"/>
        </w:rPr>
        <w:t xml:space="preserve"> </w:t>
      </w:r>
      <w:r>
        <w:rPr>
          <w:color w:val="231F20"/>
          <w:sz w:val="20"/>
        </w:rPr>
        <w:t>Evaluation</w:t>
      </w:r>
      <w:r>
        <w:rPr>
          <w:color w:val="231F20"/>
          <w:spacing w:val="-7"/>
          <w:sz w:val="20"/>
        </w:rPr>
        <w:t xml:space="preserve"> </w:t>
      </w:r>
      <w:r>
        <w:rPr>
          <w:color w:val="231F20"/>
          <w:spacing w:val="-2"/>
          <w:sz w:val="20"/>
        </w:rPr>
        <w:t>Software</w:t>
      </w:r>
    </w:p>
    <w:p w:rsidR="002C1D04">
      <w:pPr>
        <w:pStyle w:val="ListParagraph"/>
        <w:numPr>
          <w:ilvl w:val="0"/>
          <w:numId w:val="1"/>
        </w:numPr>
        <w:tabs>
          <w:tab w:val="left" w:pos="2159"/>
        </w:tabs>
        <w:spacing w:before="116"/>
        <w:ind w:left="2159" w:hanging="359"/>
        <w:rPr>
          <w:sz w:val="20"/>
        </w:rPr>
      </w:pPr>
      <w:r>
        <w:rPr>
          <w:color w:val="231F20"/>
          <w:sz w:val="20"/>
        </w:rPr>
        <w:t>ClearCalc</w:t>
      </w:r>
      <w:r>
        <w:rPr>
          <w:color w:val="231F20"/>
          <w:spacing w:val="-10"/>
          <w:sz w:val="20"/>
        </w:rPr>
        <w:t xml:space="preserve"> </w:t>
      </w:r>
      <w:r>
        <w:rPr>
          <w:color w:val="231F20"/>
          <w:sz w:val="20"/>
        </w:rPr>
        <w:t>Secondary</w:t>
      </w:r>
      <w:r>
        <w:rPr>
          <w:color w:val="231F20"/>
          <w:spacing w:val="-10"/>
          <w:sz w:val="20"/>
        </w:rPr>
        <w:t xml:space="preserve"> </w:t>
      </w:r>
      <w:r>
        <w:rPr>
          <w:color w:val="231F20"/>
          <w:sz w:val="20"/>
        </w:rPr>
        <w:t>Calculation</w:t>
      </w:r>
      <w:r>
        <w:rPr>
          <w:color w:val="231F20"/>
          <w:spacing w:val="-10"/>
          <w:sz w:val="20"/>
        </w:rPr>
        <w:t xml:space="preserve"> </w:t>
      </w:r>
      <w:r>
        <w:rPr>
          <w:color w:val="231F20"/>
          <w:spacing w:val="-2"/>
          <w:sz w:val="20"/>
        </w:rPr>
        <w:t>Software</w:t>
      </w:r>
    </w:p>
    <w:p w:rsidR="002C1D04">
      <w:pPr>
        <w:pStyle w:val="ListParagraph"/>
        <w:numPr>
          <w:ilvl w:val="0"/>
          <w:numId w:val="1"/>
        </w:numPr>
        <w:tabs>
          <w:tab w:val="left" w:pos="2159"/>
        </w:tabs>
        <w:ind w:left="2159" w:hanging="359"/>
        <w:rPr>
          <w:sz w:val="20"/>
        </w:rPr>
      </w:pPr>
      <w:r>
        <w:rPr>
          <w:color w:val="231F20"/>
          <w:sz w:val="20"/>
        </w:rPr>
        <w:t>ClearCheck</w:t>
      </w:r>
      <w:r>
        <w:rPr>
          <w:color w:val="231F20"/>
          <w:spacing w:val="-8"/>
          <w:sz w:val="20"/>
        </w:rPr>
        <w:t xml:space="preserve"> </w:t>
      </w:r>
      <w:r>
        <w:rPr>
          <w:color w:val="231F20"/>
          <w:sz w:val="20"/>
        </w:rPr>
        <w:t>Radiotherapy</w:t>
      </w:r>
      <w:r>
        <w:rPr>
          <w:color w:val="231F20"/>
          <w:spacing w:val="-7"/>
          <w:sz w:val="20"/>
        </w:rPr>
        <w:t xml:space="preserve"> </w:t>
      </w:r>
      <w:r>
        <w:rPr>
          <w:color w:val="231F20"/>
          <w:sz w:val="20"/>
        </w:rPr>
        <w:t>Treatment</w:t>
      </w:r>
      <w:r>
        <w:rPr>
          <w:color w:val="231F20"/>
          <w:spacing w:val="-7"/>
          <w:sz w:val="20"/>
        </w:rPr>
        <w:t xml:space="preserve"> </w:t>
      </w:r>
      <w:r>
        <w:rPr>
          <w:color w:val="231F20"/>
          <w:sz w:val="20"/>
        </w:rPr>
        <w:t>Plan</w:t>
      </w:r>
      <w:r>
        <w:rPr>
          <w:color w:val="231F20"/>
          <w:spacing w:val="-3"/>
          <w:sz w:val="20"/>
        </w:rPr>
        <w:t xml:space="preserve"> </w:t>
      </w:r>
      <w:r>
        <w:rPr>
          <w:color w:val="231F20"/>
          <w:sz w:val="20"/>
        </w:rPr>
        <w:t>Evaluation</w:t>
      </w:r>
      <w:r>
        <w:rPr>
          <w:color w:val="231F20"/>
          <w:spacing w:val="-5"/>
          <w:sz w:val="20"/>
        </w:rPr>
        <w:t xml:space="preserve"> </w:t>
      </w:r>
      <w:r>
        <w:rPr>
          <w:color w:val="231F20"/>
          <w:spacing w:val="-2"/>
          <w:sz w:val="20"/>
        </w:rPr>
        <w:t>Software</w:t>
      </w:r>
    </w:p>
    <w:p w:rsidR="002C1D04">
      <w:pPr>
        <w:pStyle w:val="BodyText"/>
        <w:spacing w:before="239"/>
      </w:pPr>
    </w:p>
    <w:p w:rsidR="002C1D04">
      <w:pPr>
        <w:spacing w:before="1" w:line="360" w:lineRule="auto"/>
        <w:ind w:left="360" w:right="22" w:hanging="1"/>
        <w:rPr>
          <w:sz w:val="20"/>
        </w:rPr>
      </w:pPr>
      <w:r>
        <w:rPr>
          <w:b/>
          <w:color w:val="231F20"/>
          <w:sz w:val="20"/>
        </w:rPr>
        <w:t>Essential/significant physical, functional, or performance characteristics</w:t>
      </w:r>
      <w:r>
        <w:rPr>
          <w:color w:val="231F20"/>
          <w:sz w:val="20"/>
        </w:rPr>
        <w:t>: Radformation treatment evaluation tool that integrates</w:t>
      </w:r>
      <w:r>
        <w:rPr>
          <w:color w:val="231F20"/>
          <w:spacing w:val="-4"/>
          <w:sz w:val="20"/>
        </w:rPr>
        <w:t xml:space="preserve"> </w:t>
      </w:r>
      <w:r>
        <w:rPr>
          <w:color w:val="231F20"/>
          <w:sz w:val="20"/>
        </w:rPr>
        <w:t>seamlessly</w:t>
      </w:r>
      <w:r>
        <w:rPr>
          <w:color w:val="231F20"/>
          <w:spacing w:val="-4"/>
          <w:sz w:val="20"/>
        </w:rPr>
        <w:t xml:space="preserve"> </w:t>
      </w:r>
      <w:r>
        <w:rPr>
          <w:color w:val="231F20"/>
          <w:sz w:val="20"/>
        </w:rPr>
        <w:t>with</w:t>
      </w:r>
      <w:r>
        <w:rPr>
          <w:color w:val="231F20"/>
          <w:spacing w:val="-4"/>
          <w:sz w:val="20"/>
        </w:rPr>
        <w:t xml:space="preserve"> </w:t>
      </w:r>
      <w:r>
        <w:rPr>
          <w:color w:val="231F20"/>
          <w:sz w:val="20"/>
        </w:rPr>
        <w:t>Eclipse</w:t>
      </w:r>
      <w:r>
        <w:rPr>
          <w:color w:val="231F20"/>
          <w:spacing w:val="-4"/>
          <w:sz w:val="20"/>
        </w:rPr>
        <w:t xml:space="preserve"> </w:t>
      </w:r>
      <w:r>
        <w:rPr>
          <w:color w:val="231F20"/>
          <w:sz w:val="20"/>
        </w:rPr>
        <w:t>to</w:t>
      </w:r>
      <w:r>
        <w:rPr>
          <w:color w:val="231F20"/>
          <w:spacing w:val="-4"/>
          <w:sz w:val="20"/>
        </w:rPr>
        <w:t xml:space="preserve"> </w:t>
      </w:r>
      <w:r>
        <w:rPr>
          <w:color w:val="231F20"/>
          <w:sz w:val="20"/>
        </w:rPr>
        <w:t>evaluate</w:t>
      </w:r>
      <w:r>
        <w:rPr>
          <w:color w:val="231F20"/>
          <w:spacing w:val="-1"/>
          <w:sz w:val="20"/>
        </w:rPr>
        <w:t xml:space="preserve"> </w:t>
      </w:r>
      <w:r>
        <w:rPr>
          <w:color w:val="231F20"/>
          <w:sz w:val="20"/>
        </w:rPr>
        <w:t>dose</w:t>
      </w:r>
      <w:r>
        <w:rPr>
          <w:color w:val="231F20"/>
          <w:spacing w:val="-5"/>
          <w:sz w:val="20"/>
        </w:rPr>
        <w:t xml:space="preserve"> </w:t>
      </w:r>
      <w:r>
        <w:rPr>
          <w:color w:val="231F20"/>
          <w:sz w:val="20"/>
        </w:rPr>
        <w:t>constraints,</w:t>
      </w:r>
      <w:r>
        <w:rPr>
          <w:color w:val="231F20"/>
          <w:spacing w:val="-3"/>
          <w:sz w:val="20"/>
        </w:rPr>
        <w:t xml:space="preserve"> </w:t>
      </w:r>
      <w:r>
        <w:rPr>
          <w:color w:val="231F20"/>
          <w:sz w:val="20"/>
        </w:rPr>
        <w:t>automate</w:t>
      </w:r>
      <w:r>
        <w:rPr>
          <w:color w:val="231F20"/>
          <w:spacing w:val="-5"/>
          <w:sz w:val="20"/>
        </w:rPr>
        <w:t xml:space="preserve"> </w:t>
      </w:r>
      <w:r>
        <w:rPr>
          <w:color w:val="231F20"/>
          <w:sz w:val="20"/>
        </w:rPr>
        <w:t>documentation/reporting,</w:t>
      </w:r>
      <w:r>
        <w:rPr>
          <w:color w:val="231F20"/>
          <w:spacing w:val="-4"/>
          <w:sz w:val="20"/>
        </w:rPr>
        <w:t xml:space="preserve"> </w:t>
      </w:r>
      <w:r>
        <w:rPr>
          <w:color w:val="231F20"/>
          <w:sz w:val="20"/>
        </w:rPr>
        <w:t>and</w:t>
      </w:r>
      <w:r>
        <w:rPr>
          <w:color w:val="231F20"/>
          <w:spacing w:val="-4"/>
          <w:sz w:val="20"/>
        </w:rPr>
        <w:t xml:space="preserve"> </w:t>
      </w:r>
      <w:r>
        <w:rPr>
          <w:color w:val="231F20"/>
          <w:sz w:val="20"/>
        </w:rPr>
        <w:t>provide</w:t>
      </w:r>
      <w:r>
        <w:rPr>
          <w:color w:val="231F20"/>
          <w:spacing w:val="-4"/>
          <w:sz w:val="20"/>
        </w:rPr>
        <w:t xml:space="preserve"> </w:t>
      </w:r>
      <w:r>
        <w:rPr>
          <w:color w:val="231F20"/>
          <w:sz w:val="20"/>
        </w:rPr>
        <w:t>a</w:t>
      </w:r>
      <w:r>
        <w:rPr>
          <w:color w:val="231F20"/>
          <w:spacing w:val="-4"/>
          <w:sz w:val="20"/>
        </w:rPr>
        <w:t xml:space="preserve"> </w:t>
      </w:r>
      <w:r>
        <w:rPr>
          <w:color w:val="231F20"/>
          <w:sz w:val="20"/>
        </w:rPr>
        <w:t>variety</w:t>
      </w:r>
      <w:r>
        <w:rPr>
          <w:color w:val="231F20"/>
          <w:spacing w:val="-3"/>
          <w:sz w:val="20"/>
        </w:rPr>
        <w:t xml:space="preserve"> </w:t>
      </w:r>
      <w:r>
        <w:rPr>
          <w:color w:val="231F20"/>
          <w:sz w:val="20"/>
        </w:rPr>
        <w:t>of plan and chart checks to complement and improve the planning process.</w:t>
      </w:r>
    </w:p>
    <w:p w:rsidR="002C1D04">
      <w:pPr>
        <w:pStyle w:val="BodyText"/>
        <w:spacing w:before="35"/>
      </w:pPr>
    </w:p>
    <w:p w:rsidR="002C1D04">
      <w:pPr>
        <w:pStyle w:val="Heading2"/>
      </w:pPr>
      <w:r>
        <w:rPr>
          <w:color w:val="231F20"/>
          <w:spacing w:val="-2"/>
        </w:rPr>
        <w:t>Features:</w:t>
      </w:r>
    </w:p>
    <w:p w:rsidR="002C1D04">
      <w:pPr>
        <w:pStyle w:val="ListParagraph"/>
        <w:numPr>
          <w:ilvl w:val="0"/>
          <w:numId w:val="2"/>
        </w:numPr>
        <w:tabs>
          <w:tab w:val="left" w:pos="1080"/>
        </w:tabs>
        <w:spacing w:before="122"/>
        <w:rPr>
          <w:sz w:val="20"/>
        </w:rPr>
      </w:pPr>
      <w:r>
        <w:rPr>
          <w:color w:val="231F20"/>
          <w:sz w:val="20"/>
        </w:rPr>
        <w:t>Structure</w:t>
      </w:r>
      <w:r>
        <w:rPr>
          <w:color w:val="231F20"/>
          <w:spacing w:val="-5"/>
          <w:sz w:val="20"/>
        </w:rPr>
        <w:t xml:space="preserve"> </w:t>
      </w:r>
      <w:r>
        <w:rPr>
          <w:color w:val="231F20"/>
          <w:sz w:val="20"/>
        </w:rPr>
        <w:t>Checks:</w:t>
      </w:r>
      <w:r>
        <w:rPr>
          <w:color w:val="231F20"/>
          <w:spacing w:val="-6"/>
          <w:sz w:val="20"/>
        </w:rPr>
        <w:t xml:space="preserve"> </w:t>
      </w:r>
      <w:r>
        <w:rPr>
          <w:color w:val="231F20"/>
          <w:sz w:val="20"/>
        </w:rPr>
        <w:t>Detect</w:t>
      </w:r>
      <w:r>
        <w:rPr>
          <w:color w:val="231F20"/>
          <w:spacing w:val="-5"/>
          <w:sz w:val="20"/>
        </w:rPr>
        <w:t xml:space="preserve"> </w:t>
      </w:r>
      <w:r>
        <w:rPr>
          <w:color w:val="231F20"/>
          <w:sz w:val="20"/>
        </w:rPr>
        <w:t>stray</w:t>
      </w:r>
      <w:r>
        <w:rPr>
          <w:color w:val="231F20"/>
          <w:spacing w:val="-6"/>
          <w:sz w:val="20"/>
        </w:rPr>
        <w:t xml:space="preserve"> </w:t>
      </w:r>
      <w:r>
        <w:rPr>
          <w:color w:val="231F20"/>
          <w:sz w:val="20"/>
        </w:rPr>
        <w:t>pixels,</w:t>
      </w:r>
      <w:r>
        <w:rPr>
          <w:color w:val="231F20"/>
          <w:spacing w:val="-5"/>
          <w:sz w:val="20"/>
        </w:rPr>
        <w:t xml:space="preserve"> </w:t>
      </w:r>
      <w:r>
        <w:rPr>
          <w:color w:val="231F20"/>
          <w:sz w:val="20"/>
        </w:rPr>
        <w:t>slice</w:t>
      </w:r>
      <w:r>
        <w:rPr>
          <w:color w:val="231F20"/>
          <w:spacing w:val="-5"/>
          <w:sz w:val="20"/>
        </w:rPr>
        <w:t xml:space="preserve"> </w:t>
      </w:r>
      <w:r>
        <w:rPr>
          <w:color w:val="231F20"/>
          <w:sz w:val="20"/>
        </w:rPr>
        <w:t>gaps,</w:t>
      </w:r>
      <w:r>
        <w:rPr>
          <w:color w:val="231F20"/>
          <w:spacing w:val="-4"/>
          <w:sz w:val="20"/>
        </w:rPr>
        <w:t xml:space="preserve"> </w:t>
      </w:r>
      <w:r>
        <w:rPr>
          <w:color w:val="231F20"/>
          <w:sz w:val="20"/>
        </w:rPr>
        <w:t>laterality</w:t>
      </w:r>
      <w:r>
        <w:rPr>
          <w:color w:val="231F20"/>
          <w:spacing w:val="-4"/>
          <w:sz w:val="20"/>
        </w:rPr>
        <w:t xml:space="preserve"> </w:t>
      </w:r>
      <w:r>
        <w:rPr>
          <w:color w:val="231F20"/>
          <w:sz w:val="20"/>
        </w:rPr>
        <w:t>issues,</w:t>
      </w:r>
      <w:r>
        <w:rPr>
          <w:color w:val="231F20"/>
          <w:spacing w:val="-5"/>
          <w:sz w:val="20"/>
        </w:rPr>
        <w:t xml:space="preserve"> </w:t>
      </w:r>
      <w:r>
        <w:rPr>
          <w:color w:val="231F20"/>
          <w:sz w:val="20"/>
        </w:rPr>
        <w:t>and</w:t>
      </w:r>
      <w:r>
        <w:rPr>
          <w:color w:val="231F20"/>
          <w:spacing w:val="-5"/>
          <w:sz w:val="20"/>
        </w:rPr>
        <w:t xml:space="preserve"> </w:t>
      </w:r>
      <w:r>
        <w:rPr>
          <w:color w:val="231F20"/>
          <w:spacing w:val="-2"/>
          <w:sz w:val="20"/>
        </w:rPr>
        <w:t>more.</w:t>
      </w:r>
    </w:p>
    <w:p w:rsidR="002C1D04">
      <w:pPr>
        <w:pStyle w:val="ListParagraph"/>
        <w:numPr>
          <w:ilvl w:val="0"/>
          <w:numId w:val="2"/>
        </w:numPr>
        <w:tabs>
          <w:tab w:val="left" w:pos="1080"/>
        </w:tabs>
        <w:spacing w:before="122"/>
        <w:rPr>
          <w:sz w:val="20"/>
        </w:rPr>
      </w:pPr>
      <w:r>
        <w:rPr>
          <w:color w:val="231F20"/>
          <w:sz w:val="20"/>
        </w:rPr>
        <w:t>Prescription</w:t>
      </w:r>
      <w:r>
        <w:rPr>
          <w:color w:val="231F20"/>
          <w:spacing w:val="-4"/>
          <w:sz w:val="20"/>
        </w:rPr>
        <w:t xml:space="preserve"> </w:t>
      </w:r>
      <w:r>
        <w:rPr>
          <w:color w:val="231F20"/>
          <w:sz w:val="20"/>
        </w:rPr>
        <w:t>and</w:t>
      </w:r>
      <w:r>
        <w:rPr>
          <w:color w:val="231F20"/>
          <w:spacing w:val="-6"/>
          <w:sz w:val="20"/>
        </w:rPr>
        <w:t xml:space="preserve"> </w:t>
      </w:r>
      <w:r>
        <w:rPr>
          <w:color w:val="231F20"/>
          <w:sz w:val="20"/>
        </w:rPr>
        <w:t>Chart</w:t>
      </w:r>
      <w:r>
        <w:rPr>
          <w:color w:val="231F20"/>
          <w:spacing w:val="-2"/>
          <w:sz w:val="20"/>
        </w:rPr>
        <w:t xml:space="preserve"> </w:t>
      </w:r>
      <w:r>
        <w:rPr>
          <w:color w:val="231F20"/>
          <w:sz w:val="20"/>
        </w:rPr>
        <w:t>Checks:</w:t>
      </w:r>
      <w:r>
        <w:rPr>
          <w:color w:val="231F20"/>
          <w:spacing w:val="-6"/>
          <w:sz w:val="20"/>
        </w:rPr>
        <w:t xml:space="preserve"> </w:t>
      </w:r>
      <w:r>
        <w:rPr>
          <w:color w:val="231F20"/>
          <w:sz w:val="20"/>
        </w:rPr>
        <w:t>Compare</w:t>
      </w:r>
      <w:r>
        <w:rPr>
          <w:color w:val="231F20"/>
          <w:spacing w:val="-5"/>
          <w:sz w:val="20"/>
        </w:rPr>
        <w:t xml:space="preserve"> </w:t>
      </w:r>
      <w:r>
        <w:rPr>
          <w:color w:val="231F20"/>
          <w:sz w:val="20"/>
        </w:rPr>
        <w:t>Eclipse</w:t>
      </w:r>
      <w:r>
        <w:rPr>
          <w:color w:val="231F20"/>
          <w:spacing w:val="-5"/>
          <w:sz w:val="20"/>
        </w:rPr>
        <w:t xml:space="preserve"> </w:t>
      </w:r>
      <w:r>
        <w:rPr>
          <w:color w:val="231F20"/>
          <w:sz w:val="20"/>
        </w:rPr>
        <w:t>plans</w:t>
      </w:r>
      <w:r>
        <w:rPr>
          <w:color w:val="231F20"/>
          <w:spacing w:val="-4"/>
          <w:sz w:val="20"/>
        </w:rPr>
        <w:t xml:space="preserve"> </w:t>
      </w:r>
      <w:r>
        <w:rPr>
          <w:color w:val="231F20"/>
          <w:sz w:val="20"/>
        </w:rPr>
        <w:t>with</w:t>
      </w:r>
      <w:r>
        <w:rPr>
          <w:color w:val="231F20"/>
          <w:spacing w:val="-5"/>
          <w:sz w:val="20"/>
        </w:rPr>
        <w:t xml:space="preserve"> </w:t>
      </w:r>
      <w:r>
        <w:rPr>
          <w:color w:val="231F20"/>
          <w:sz w:val="20"/>
        </w:rPr>
        <w:t>ARIA</w:t>
      </w:r>
      <w:r>
        <w:rPr>
          <w:color w:val="231F20"/>
          <w:spacing w:val="-5"/>
          <w:sz w:val="20"/>
        </w:rPr>
        <w:t xml:space="preserve"> </w:t>
      </w:r>
      <w:r>
        <w:rPr>
          <w:color w:val="231F20"/>
          <w:spacing w:val="-2"/>
          <w:sz w:val="20"/>
        </w:rPr>
        <w:t>prescriptions.</w:t>
      </w:r>
    </w:p>
    <w:p w:rsidR="002C1D04">
      <w:pPr>
        <w:pStyle w:val="ListParagraph"/>
        <w:numPr>
          <w:ilvl w:val="0"/>
          <w:numId w:val="2"/>
        </w:numPr>
        <w:tabs>
          <w:tab w:val="left" w:pos="1080"/>
        </w:tabs>
        <w:spacing w:before="122" w:line="355" w:lineRule="auto"/>
        <w:ind w:right="1019"/>
        <w:rPr>
          <w:sz w:val="20"/>
        </w:rPr>
      </w:pPr>
      <w:r>
        <w:rPr>
          <w:color w:val="231F20"/>
          <w:sz w:val="20"/>
        </w:rPr>
        <w:t>Plan</w:t>
      </w:r>
      <w:r>
        <w:rPr>
          <w:color w:val="231F20"/>
          <w:spacing w:val="-2"/>
          <w:sz w:val="20"/>
        </w:rPr>
        <w:t xml:space="preserve"> </w:t>
      </w:r>
      <w:r>
        <w:rPr>
          <w:color w:val="231F20"/>
          <w:sz w:val="20"/>
        </w:rPr>
        <w:t>Checks:</w:t>
      </w:r>
      <w:r>
        <w:rPr>
          <w:color w:val="231F20"/>
          <w:spacing w:val="-4"/>
          <w:sz w:val="20"/>
        </w:rPr>
        <w:t xml:space="preserve"> </w:t>
      </w:r>
      <w:r>
        <w:rPr>
          <w:color w:val="231F20"/>
          <w:sz w:val="20"/>
        </w:rPr>
        <w:t>Verify</w:t>
      </w:r>
      <w:r>
        <w:rPr>
          <w:color w:val="231F20"/>
          <w:spacing w:val="-4"/>
          <w:sz w:val="20"/>
        </w:rPr>
        <w:t xml:space="preserve"> </w:t>
      </w:r>
      <w:r>
        <w:rPr>
          <w:color w:val="231F20"/>
          <w:sz w:val="20"/>
        </w:rPr>
        <w:t>60+</w:t>
      </w:r>
      <w:r>
        <w:rPr>
          <w:color w:val="231F20"/>
          <w:spacing w:val="-4"/>
          <w:sz w:val="20"/>
        </w:rPr>
        <w:t xml:space="preserve"> </w:t>
      </w:r>
      <w:r>
        <w:rPr>
          <w:color w:val="231F20"/>
          <w:sz w:val="20"/>
        </w:rPr>
        <w:t>plan</w:t>
      </w:r>
      <w:r>
        <w:rPr>
          <w:color w:val="231F20"/>
          <w:spacing w:val="-3"/>
          <w:sz w:val="20"/>
        </w:rPr>
        <w:t xml:space="preserve"> </w:t>
      </w:r>
      <w:r>
        <w:rPr>
          <w:color w:val="231F20"/>
          <w:sz w:val="20"/>
        </w:rPr>
        <w:t>metrics</w:t>
      </w:r>
      <w:r>
        <w:rPr>
          <w:color w:val="231F20"/>
          <w:spacing w:val="-3"/>
          <w:sz w:val="20"/>
        </w:rPr>
        <w:t xml:space="preserve"> </w:t>
      </w:r>
      <w:r>
        <w:rPr>
          <w:color w:val="231F20"/>
          <w:sz w:val="20"/>
        </w:rPr>
        <w:t>including</w:t>
      </w:r>
      <w:r>
        <w:rPr>
          <w:color w:val="231F20"/>
          <w:spacing w:val="-4"/>
          <w:sz w:val="20"/>
        </w:rPr>
        <w:t xml:space="preserve"> </w:t>
      </w:r>
      <w:r>
        <w:rPr>
          <w:color w:val="231F20"/>
          <w:sz w:val="20"/>
        </w:rPr>
        <w:t>structure</w:t>
      </w:r>
      <w:r>
        <w:rPr>
          <w:color w:val="231F20"/>
          <w:spacing w:val="-4"/>
          <w:sz w:val="20"/>
        </w:rPr>
        <w:t xml:space="preserve"> </w:t>
      </w:r>
      <w:r>
        <w:rPr>
          <w:color w:val="231F20"/>
          <w:sz w:val="20"/>
        </w:rPr>
        <w:t>margins,</w:t>
      </w:r>
      <w:r>
        <w:rPr>
          <w:color w:val="231F20"/>
          <w:spacing w:val="-3"/>
          <w:sz w:val="20"/>
        </w:rPr>
        <w:t xml:space="preserve"> </w:t>
      </w:r>
      <w:r>
        <w:rPr>
          <w:color w:val="231F20"/>
          <w:sz w:val="20"/>
        </w:rPr>
        <w:t>dose</w:t>
      </w:r>
      <w:r>
        <w:rPr>
          <w:color w:val="231F20"/>
          <w:spacing w:val="-4"/>
          <w:sz w:val="20"/>
        </w:rPr>
        <w:t xml:space="preserve"> </w:t>
      </w:r>
      <w:r>
        <w:rPr>
          <w:color w:val="231F20"/>
          <w:sz w:val="20"/>
        </w:rPr>
        <w:t>grid,</w:t>
      </w:r>
      <w:r>
        <w:rPr>
          <w:color w:val="231F20"/>
          <w:spacing w:val="-4"/>
          <w:sz w:val="20"/>
        </w:rPr>
        <w:t xml:space="preserve"> </w:t>
      </w:r>
      <w:r>
        <w:rPr>
          <w:color w:val="231F20"/>
          <w:sz w:val="20"/>
        </w:rPr>
        <w:t>algorithms,</w:t>
      </w:r>
      <w:r>
        <w:rPr>
          <w:color w:val="231F20"/>
          <w:spacing w:val="-5"/>
          <w:sz w:val="20"/>
        </w:rPr>
        <w:t xml:space="preserve"> </w:t>
      </w:r>
      <w:r>
        <w:rPr>
          <w:color w:val="231F20"/>
          <w:sz w:val="20"/>
        </w:rPr>
        <w:t>structure</w:t>
      </w:r>
      <w:r>
        <w:rPr>
          <w:color w:val="231F20"/>
          <w:spacing w:val="-4"/>
          <w:sz w:val="20"/>
        </w:rPr>
        <w:t xml:space="preserve"> </w:t>
      </w:r>
      <w:r>
        <w:rPr>
          <w:color w:val="231F20"/>
          <w:sz w:val="20"/>
        </w:rPr>
        <w:t>overrides, CT slice thickness, etc.</w:t>
      </w:r>
    </w:p>
    <w:p w:rsidR="002C1D04">
      <w:pPr>
        <w:pStyle w:val="ListParagraph"/>
        <w:numPr>
          <w:ilvl w:val="0"/>
          <w:numId w:val="2"/>
        </w:numPr>
        <w:tabs>
          <w:tab w:val="left" w:pos="1080"/>
        </w:tabs>
        <w:spacing w:before="10"/>
        <w:rPr>
          <w:sz w:val="20"/>
        </w:rPr>
      </w:pPr>
      <w:r>
        <w:rPr>
          <w:color w:val="231F20"/>
          <w:sz w:val="20"/>
        </w:rPr>
        <w:t>Collision</w:t>
      </w:r>
      <w:r>
        <w:rPr>
          <w:color w:val="231F20"/>
          <w:spacing w:val="-5"/>
          <w:sz w:val="20"/>
        </w:rPr>
        <w:t xml:space="preserve"> </w:t>
      </w:r>
      <w:r>
        <w:rPr>
          <w:color w:val="231F20"/>
          <w:sz w:val="20"/>
        </w:rPr>
        <w:t>Checks:</w:t>
      </w:r>
      <w:r>
        <w:rPr>
          <w:color w:val="231F20"/>
          <w:spacing w:val="-5"/>
          <w:sz w:val="20"/>
        </w:rPr>
        <w:t xml:space="preserve"> </w:t>
      </w:r>
      <w:r>
        <w:rPr>
          <w:color w:val="231F20"/>
          <w:sz w:val="20"/>
        </w:rPr>
        <w:t>Predict</w:t>
      </w:r>
      <w:r>
        <w:rPr>
          <w:color w:val="231F20"/>
          <w:spacing w:val="-5"/>
          <w:sz w:val="20"/>
        </w:rPr>
        <w:t xml:space="preserve"> </w:t>
      </w:r>
      <w:r>
        <w:rPr>
          <w:color w:val="231F20"/>
          <w:sz w:val="20"/>
        </w:rPr>
        <w:t>potential</w:t>
      </w:r>
      <w:r>
        <w:rPr>
          <w:color w:val="231F20"/>
          <w:spacing w:val="-6"/>
          <w:sz w:val="20"/>
        </w:rPr>
        <w:t xml:space="preserve"> </w:t>
      </w:r>
      <w:r>
        <w:rPr>
          <w:color w:val="231F20"/>
          <w:sz w:val="20"/>
        </w:rPr>
        <w:t>collision</w:t>
      </w:r>
      <w:r>
        <w:rPr>
          <w:color w:val="231F20"/>
          <w:spacing w:val="-6"/>
          <w:sz w:val="20"/>
        </w:rPr>
        <w:t xml:space="preserve"> </w:t>
      </w:r>
      <w:r>
        <w:rPr>
          <w:color w:val="231F20"/>
          <w:sz w:val="20"/>
        </w:rPr>
        <w:t>risks</w:t>
      </w:r>
      <w:r>
        <w:rPr>
          <w:color w:val="231F20"/>
          <w:spacing w:val="-6"/>
          <w:sz w:val="20"/>
        </w:rPr>
        <w:t xml:space="preserve"> </w:t>
      </w:r>
      <w:r>
        <w:rPr>
          <w:color w:val="231F20"/>
          <w:sz w:val="20"/>
        </w:rPr>
        <w:t>based</w:t>
      </w:r>
      <w:r>
        <w:rPr>
          <w:color w:val="231F20"/>
          <w:spacing w:val="-5"/>
          <w:sz w:val="20"/>
        </w:rPr>
        <w:t xml:space="preserve"> </w:t>
      </w:r>
      <w:r>
        <w:rPr>
          <w:color w:val="231F20"/>
          <w:sz w:val="20"/>
        </w:rPr>
        <w:t>on</w:t>
      </w:r>
      <w:r>
        <w:rPr>
          <w:color w:val="231F20"/>
          <w:spacing w:val="-7"/>
          <w:sz w:val="20"/>
        </w:rPr>
        <w:t xml:space="preserve"> </w:t>
      </w:r>
      <w:r>
        <w:rPr>
          <w:color w:val="231F20"/>
          <w:sz w:val="20"/>
        </w:rPr>
        <w:t>your</w:t>
      </w:r>
      <w:r>
        <w:rPr>
          <w:color w:val="231F20"/>
          <w:spacing w:val="-5"/>
          <w:sz w:val="20"/>
        </w:rPr>
        <w:t xml:space="preserve"> </w:t>
      </w:r>
      <w:r>
        <w:rPr>
          <w:color w:val="231F20"/>
          <w:sz w:val="20"/>
        </w:rPr>
        <w:t>linac</w:t>
      </w:r>
      <w:r>
        <w:rPr>
          <w:color w:val="231F20"/>
          <w:spacing w:val="-5"/>
          <w:sz w:val="20"/>
        </w:rPr>
        <w:t xml:space="preserve"> </w:t>
      </w:r>
      <w:r>
        <w:rPr>
          <w:color w:val="231F20"/>
          <w:spacing w:val="-2"/>
          <w:sz w:val="20"/>
        </w:rPr>
        <w:t>model.</w:t>
      </w:r>
    </w:p>
    <w:p w:rsidR="002C1D04">
      <w:pPr>
        <w:pStyle w:val="BodyText"/>
        <w:spacing w:before="160"/>
      </w:pPr>
    </w:p>
    <w:p w:rsidR="002C1D04">
      <w:pPr>
        <w:ind w:left="319"/>
        <w:rPr>
          <w:sz w:val="20"/>
        </w:rPr>
      </w:pPr>
      <w:r>
        <w:rPr>
          <w:b/>
          <w:color w:val="231F20"/>
          <w:sz w:val="20"/>
        </w:rPr>
        <w:t>Software</w:t>
      </w:r>
      <w:r>
        <w:rPr>
          <w:b/>
          <w:color w:val="231F20"/>
          <w:spacing w:val="-5"/>
          <w:sz w:val="20"/>
        </w:rPr>
        <w:t xml:space="preserve"> </w:t>
      </w:r>
      <w:r>
        <w:rPr>
          <w:b/>
          <w:color w:val="231F20"/>
          <w:sz w:val="20"/>
        </w:rPr>
        <w:t>Compatibility:</w:t>
      </w:r>
      <w:r>
        <w:rPr>
          <w:b/>
          <w:color w:val="231F20"/>
          <w:spacing w:val="-5"/>
          <w:sz w:val="20"/>
        </w:rPr>
        <w:t xml:space="preserve"> </w:t>
      </w:r>
      <w:r>
        <w:rPr>
          <w:color w:val="231F20"/>
          <w:sz w:val="20"/>
        </w:rPr>
        <w:t>TPS</w:t>
      </w:r>
      <w:r>
        <w:rPr>
          <w:color w:val="231F20"/>
          <w:spacing w:val="-7"/>
          <w:sz w:val="20"/>
        </w:rPr>
        <w:t xml:space="preserve"> </w:t>
      </w:r>
      <w:r>
        <w:rPr>
          <w:color w:val="231F20"/>
          <w:sz w:val="20"/>
        </w:rPr>
        <w:t>Eclipse,</w:t>
      </w:r>
      <w:r>
        <w:rPr>
          <w:color w:val="231F20"/>
          <w:spacing w:val="-5"/>
          <w:sz w:val="20"/>
        </w:rPr>
        <w:t xml:space="preserve"> </w:t>
      </w:r>
      <w:r>
        <w:rPr>
          <w:color w:val="231F20"/>
          <w:sz w:val="20"/>
        </w:rPr>
        <w:t>Varian</w:t>
      </w:r>
      <w:r>
        <w:rPr>
          <w:color w:val="231F20"/>
          <w:spacing w:val="-6"/>
          <w:sz w:val="20"/>
        </w:rPr>
        <w:t xml:space="preserve"> </w:t>
      </w:r>
      <w:r>
        <w:rPr>
          <w:color w:val="231F20"/>
          <w:sz w:val="20"/>
        </w:rPr>
        <w:t>ARIA</w:t>
      </w:r>
      <w:r>
        <w:rPr>
          <w:color w:val="231F20"/>
          <w:spacing w:val="-6"/>
          <w:sz w:val="20"/>
        </w:rPr>
        <w:t xml:space="preserve"> </w:t>
      </w:r>
      <w:r>
        <w:rPr>
          <w:color w:val="231F20"/>
          <w:sz w:val="20"/>
        </w:rPr>
        <w:t>record</w:t>
      </w:r>
      <w:r>
        <w:rPr>
          <w:color w:val="231F20"/>
          <w:spacing w:val="-3"/>
          <w:sz w:val="20"/>
        </w:rPr>
        <w:t xml:space="preserve"> </w:t>
      </w:r>
      <w:r>
        <w:rPr>
          <w:color w:val="231F20"/>
          <w:sz w:val="20"/>
        </w:rPr>
        <w:t>and</w:t>
      </w:r>
      <w:r>
        <w:rPr>
          <w:color w:val="231F20"/>
          <w:spacing w:val="-6"/>
          <w:sz w:val="20"/>
        </w:rPr>
        <w:t xml:space="preserve"> </w:t>
      </w:r>
      <w:r>
        <w:rPr>
          <w:color w:val="231F20"/>
          <w:spacing w:val="-2"/>
          <w:sz w:val="20"/>
        </w:rPr>
        <w:t>verify</w:t>
      </w:r>
    </w:p>
    <w:p w:rsidR="002C1D04">
      <w:pPr>
        <w:pStyle w:val="BodyText"/>
      </w:pPr>
    </w:p>
    <w:p w:rsidR="002C1D04">
      <w:pPr>
        <w:pStyle w:val="BodyText"/>
      </w:pPr>
    </w:p>
    <w:p w:rsidR="002C1D04">
      <w:pPr>
        <w:pStyle w:val="BodyText"/>
        <w:ind w:left="360"/>
      </w:pPr>
      <w:r>
        <w:rPr>
          <w:b/>
          <w:color w:val="231F20"/>
        </w:rPr>
        <w:t>Licensing:</w:t>
      </w:r>
      <w:r>
        <w:rPr>
          <w:b/>
          <w:color w:val="231F20"/>
          <w:spacing w:val="-9"/>
        </w:rPr>
        <w:t xml:space="preserve"> </w:t>
      </w:r>
      <w:r>
        <w:rPr>
          <w:color w:val="231F20"/>
        </w:rPr>
        <w:t>Including</w:t>
      </w:r>
      <w:r>
        <w:rPr>
          <w:color w:val="231F20"/>
          <w:spacing w:val="-8"/>
        </w:rPr>
        <w:t xml:space="preserve"> </w:t>
      </w:r>
      <w:r>
        <w:rPr>
          <w:color w:val="231F20"/>
        </w:rPr>
        <w:t>software</w:t>
      </w:r>
      <w:r>
        <w:rPr>
          <w:color w:val="231F20"/>
          <w:spacing w:val="-10"/>
        </w:rPr>
        <w:t xml:space="preserve"> </w:t>
      </w:r>
      <w:r>
        <w:rPr>
          <w:color w:val="231F20"/>
        </w:rPr>
        <w:t>and</w:t>
      </w:r>
      <w:r>
        <w:rPr>
          <w:color w:val="231F20"/>
          <w:spacing w:val="-8"/>
        </w:rPr>
        <w:t xml:space="preserve"> </w:t>
      </w:r>
      <w:r>
        <w:rPr>
          <w:color w:val="231F20"/>
        </w:rPr>
        <w:t>measurement</w:t>
      </w:r>
      <w:r>
        <w:rPr>
          <w:color w:val="231F20"/>
          <w:spacing w:val="-9"/>
        </w:rPr>
        <w:t xml:space="preserve"> </w:t>
      </w:r>
      <w:r>
        <w:rPr>
          <w:color w:val="231F20"/>
        </w:rPr>
        <w:t>tools</w:t>
      </w:r>
      <w:r>
        <w:rPr>
          <w:color w:val="231F20"/>
          <w:spacing w:val="-5"/>
        </w:rPr>
        <w:t xml:space="preserve"> </w:t>
      </w:r>
      <w:r>
        <w:rPr>
          <w:color w:val="231F20"/>
        </w:rPr>
        <w:t>required</w:t>
      </w:r>
      <w:r>
        <w:rPr>
          <w:color w:val="231F20"/>
          <w:spacing w:val="-9"/>
        </w:rPr>
        <w:t xml:space="preserve"> </w:t>
      </w:r>
      <w:r>
        <w:rPr>
          <w:color w:val="231F20"/>
        </w:rPr>
        <w:t>TG-</w:t>
      </w:r>
      <w:r>
        <w:rPr>
          <w:color w:val="231F20"/>
          <w:spacing w:val="-4"/>
        </w:rPr>
        <w:t>142.</w:t>
      </w:r>
    </w:p>
    <w:p w:rsidR="002C1D04">
      <w:pPr>
        <w:pStyle w:val="BodyText"/>
        <w:spacing w:before="244"/>
      </w:pPr>
    </w:p>
    <w:p w:rsidR="002C1D04">
      <w:pPr>
        <w:pStyle w:val="BodyText"/>
        <w:spacing w:line="360" w:lineRule="auto"/>
        <w:ind w:left="359"/>
      </w:pPr>
      <w:r>
        <w:rPr>
          <w:b/>
          <w:color w:val="231F20"/>
        </w:rPr>
        <w:t xml:space="preserve">Product Information: </w:t>
      </w:r>
      <w:r>
        <w:rPr>
          <w:color w:val="231F20"/>
        </w:rPr>
        <w:t>Technology ensures safety and quality of equipment use, as well as impacts efficiency, functionality of linear</w:t>
      </w:r>
      <w:r>
        <w:rPr>
          <w:color w:val="231F20"/>
          <w:spacing w:val="-4"/>
        </w:rPr>
        <w:t xml:space="preserve"> </w:t>
      </w:r>
      <w:r>
        <w:rPr>
          <w:color w:val="231F20"/>
        </w:rPr>
        <w:t>accelerator</w:t>
      </w:r>
      <w:r>
        <w:rPr>
          <w:color w:val="231F20"/>
          <w:spacing w:val="-4"/>
        </w:rPr>
        <w:t xml:space="preserve"> </w:t>
      </w:r>
      <w:r>
        <w:rPr>
          <w:color w:val="231F20"/>
        </w:rPr>
        <w:t>performance</w:t>
      </w:r>
      <w:r>
        <w:rPr>
          <w:color w:val="231F20"/>
          <w:spacing w:val="-2"/>
        </w:rPr>
        <w:t xml:space="preserve"> </w:t>
      </w:r>
      <w:r>
        <w:rPr>
          <w:color w:val="231F20"/>
        </w:rPr>
        <w:t>and</w:t>
      </w:r>
      <w:r>
        <w:rPr>
          <w:color w:val="231F20"/>
          <w:spacing w:val="-4"/>
        </w:rPr>
        <w:t xml:space="preserve"> </w:t>
      </w:r>
      <w:r>
        <w:rPr>
          <w:color w:val="231F20"/>
        </w:rPr>
        <w:t>medical</w:t>
      </w:r>
      <w:r>
        <w:rPr>
          <w:color w:val="231F20"/>
          <w:spacing w:val="-4"/>
        </w:rPr>
        <w:t xml:space="preserve"> </w:t>
      </w:r>
      <w:r>
        <w:rPr>
          <w:color w:val="231F20"/>
        </w:rPr>
        <w:t>chart</w:t>
      </w:r>
      <w:r>
        <w:rPr>
          <w:color w:val="231F20"/>
          <w:spacing w:val="-4"/>
        </w:rPr>
        <w:t xml:space="preserve"> </w:t>
      </w:r>
      <w:r>
        <w:rPr>
          <w:color w:val="231F20"/>
        </w:rPr>
        <w:t>documentation.</w:t>
      </w:r>
      <w:r>
        <w:rPr>
          <w:color w:val="231F20"/>
          <w:spacing w:val="-4"/>
        </w:rPr>
        <w:t xml:space="preserve"> </w:t>
      </w:r>
      <w:r>
        <w:rPr>
          <w:color w:val="231F20"/>
        </w:rPr>
        <w:t>In</w:t>
      </w:r>
      <w:r>
        <w:rPr>
          <w:color w:val="231F20"/>
          <w:spacing w:val="-4"/>
        </w:rPr>
        <w:t xml:space="preserve"> </w:t>
      </w:r>
      <w:r>
        <w:rPr>
          <w:color w:val="231F20"/>
        </w:rPr>
        <w:t>addition,</w:t>
      </w:r>
      <w:r>
        <w:rPr>
          <w:color w:val="231F20"/>
          <w:spacing w:val="-2"/>
        </w:rPr>
        <w:t xml:space="preserve"> </w:t>
      </w:r>
      <w:r>
        <w:rPr>
          <w:color w:val="231F20"/>
        </w:rPr>
        <w:t>Radformation</w:t>
      </w:r>
      <w:r>
        <w:rPr>
          <w:color w:val="231F20"/>
          <w:spacing w:val="-2"/>
        </w:rPr>
        <w:t xml:space="preserve"> </w:t>
      </w:r>
      <w:r>
        <w:rPr>
          <w:color w:val="231F20"/>
        </w:rPr>
        <w:t>follows</w:t>
      </w:r>
      <w:r>
        <w:rPr>
          <w:color w:val="231F20"/>
          <w:spacing w:val="-3"/>
        </w:rPr>
        <w:t xml:space="preserve"> </w:t>
      </w:r>
      <w:r>
        <w:rPr>
          <w:color w:val="231F20"/>
        </w:rPr>
        <w:t>accreditation</w:t>
      </w:r>
      <w:r>
        <w:rPr>
          <w:color w:val="231F20"/>
          <w:spacing w:val="-5"/>
        </w:rPr>
        <w:t xml:space="preserve"> </w:t>
      </w:r>
      <w:r>
        <w:rPr>
          <w:color w:val="231F20"/>
        </w:rPr>
        <w:t xml:space="preserve">compliance ASTROs </w:t>
      </w:r>
      <w:r>
        <w:rPr>
          <w:color w:val="231F20"/>
        </w:rPr>
        <w:t>APEx</w:t>
      </w:r>
      <w:r>
        <w:rPr>
          <w:color w:val="231F20"/>
        </w:rPr>
        <w:t xml:space="preserve"> (VHA Directive 1156 Accreditation of VHA Radiation Oncology Services).</w:t>
      </w:r>
    </w:p>
    <w:p w:rsidR="002C1D04">
      <w:pPr>
        <w:pStyle w:val="BodyText"/>
        <w:spacing w:before="121"/>
      </w:pPr>
    </w:p>
    <w:p w:rsidR="002C1D04">
      <w:pPr>
        <w:pStyle w:val="BodyText"/>
        <w:ind w:left="359"/>
      </w:pPr>
      <w:r>
        <w:rPr>
          <w:b/>
          <w:color w:val="231F20"/>
        </w:rPr>
        <w:t>Display:</w:t>
      </w:r>
      <w:r>
        <w:rPr>
          <w:b/>
          <w:color w:val="231F20"/>
          <w:spacing w:val="-6"/>
        </w:rPr>
        <w:t xml:space="preserve"> </w:t>
      </w:r>
      <w:r>
        <w:rPr>
          <w:color w:val="231F20"/>
        </w:rPr>
        <w:t>Direct</w:t>
      </w:r>
      <w:r>
        <w:rPr>
          <w:color w:val="231F20"/>
          <w:spacing w:val="-5"/>
        </w:rPr>
        <w:t xml:space="preserve"> </w:t>
      </w:r>
      <w:r>
        <w:rPr>
          <w:color w:val="231F20"/>
        </w:rPr>
        <w:t>connect</w:t>
      </w:r>
      <w:r>
        <w:rPr>
          <w:color w:val="231F20"/>
          <w:spacing w:val="-5"/>
        </w:rPr>
        <w:t xml:space="preserve"> </w:t>
      </w:r>
      <w:r>
        <w:rPr>
          <w:color w:val="231F20"/>
        </w:rPr>
        <w:t>to</w:t>
      </w:r>
      <w:r>
        <w:rPr>
          <w:color w:val="231F20"/>
          <w:spacing w:val="-5"/>
        </w:rPr>
        <w:t xml:space="preserve"> </w:t>
      </w:r>
      <w:r>
        <w:rPr>
          <w:color w:val="231F20"/>
        </w:rPr>
        <w:t>collect</w:t>
      </w:r>
      <w:r>
        <w:rPr>
          <w:color w:val="231F20"/>
          <w:spacing w:val="-5"/>
        </w:rPr>
        <w:t xml:space="preserve"> </w:t>
      </w:r>
      <w:r>
        <w:rPr>
          <w:color w:val="231F20"/>
        </w:rPr>
        <w:t>data</w:t>
      </w:r>
      <w:r>
        <w:rPr>
          <w:color w:val="231F20"/>
          <w:spacing w:val="-5"/>
        </w:rPr>
        <w:t xml:space="preserve"> </w:t>
      </w:r>
      <w:r>
        <w:rPr>
          <w:color w:val="231F20"/>
        </w:rPr>
        <w:t>with</w:t>
      </w:r>
      <w:r>
        <w:rPr>
          <w:color w:val="231F20"/>
          <w:spacing w:val="-6"/>
        </w:rPr>
        <w:t xml:space="preserve"> </w:t>
      </w:r>
      <w:r>
        <w:rPr>
          <w:color w:val="231F20"/>
        </w:rPr>
        <w:t>key</w:t>
      </w:r>
      <w:r>
        <w:rPr>
          <w:color w:val="231F20"/>
          <w:spacing w:val="-5"/>
        </w:rPr>
        <w:t xml:space="preserve"> </w:t>
      </w:r>
      <w:r>
        <w:rPr>
          <w:color w:val="231F20"/>
        </w:rPr>
        <w:t>devices</w:t>
      </w:r>
      <w:r>
        <w:rPr>
          <w:color w:val="231F20"/>
          <w:spacing w:val="-5"/>
        </w:rPr>
        <w:t xml:space="preserve"> </w:t>
      </w:r>
      <w:r>
        <w:rPr>
          <w:color w:val="231F20"/>
        </w:rPr>
        <w:t>and</w:t>
      </w:r>
      <w:r>
        <w:rPr>
          <w:color w:val="231F20"/>
          <w:spacing w:val="-5"/>
        </w:rPr>
        <w:t xml:space="preserve"> </w:t>
      </w:r>
      <w:r>
        <w:rPr>
          <w:color w:val="231F20"/>
        </w:rPr>
        <w:t>automated</w:t>
      </w:r>
      <w:r>
        <w:rPr>
          <w:color w:val="231F20"/>
          <w:spacing w:val="-5"/>
        </w:rPr>
        <w:t xml:space="preserve"> </w:t>
      </w:r>
      <w:r>
        <w:rPr>
          <w:color w:val="231F20"/>
        </w:rPr>
        <w:t>image</w:t>
      </w:r>
      <w:r>
        <w:rPr>
          <w:color w:val="231F20"/>
          <w:spacing w:val="-5"/>
        </w:rPr>
        <w:t xml:space="preserve"> </w:t>
      </w:r>
      <w:r>
        <w:rPr>
          <w:color w:val="231F20"/>
          <w:spacing w:val="-2"/>
        </w:rPr>
        <w:t>analysis.</w:t>
      </w:r>
    </w:p>
    <w:p w:rsidR="002C1D04">
      <w:pPr>
        <w:pStyle w:val="BodyText"/>
      </w:pPr>
    </w:p>
    <w:p w:rsidR="002C1D04">
      <w:pPr>
        <w:pStyle w:val="BodyText"/>
        <w:spacing w:before="2"/>
      </w:pPr>
    </w:p>
    <w:p w:rsidR="002C1D04">
      <w:pPr>
        <w:pStyle w:val="BodyText"/>
        <w:spacing w:line="360" w:lineRule="auto"/>
        <w:ind w:left="350"/>
      </w:pPr>
      <w:r>
        <w:rPr>
          <w:b/>
          <w:color w:val="231F20"/>
        </w:rPr>
        <w:t>Purpose:</w:t>
      </w:r>
      <w:r>
        <w:rPr>
          <w:b/>
          <w:color w:val="231F20"/>
          <w:spacing w:val="-2"/>
        </w:rPr>
        <w:t xml:space="preserve"> </w:t>
      </w:r>
      <w:r>
        <w:rPr>
          <w:color w:val="231F20"/>
        </w:rPr>
        <w:t>All</w:t>
      </w:r>
      <w:r>
        <w:rPr>
          <w:color w:val="231F20"/>
          <w:spacing w:val="-3"/>
        </w:rPr>
        <w:t xml:space="preserve"> </w:t>
      </w:r>
      <w:r>
        <w:rPr>
          <w:color w:val="231F20"/>
        </w:rPr>
        <w:t>aspects</w:t>
      </w:r>
      <w:r>
        <w:rPr>
          <w:color w:val="231F20"/>
          <w:spacing w:val="-3"/>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rPr>
        <w:t>treatment</w:t>
      </w:r>
      <w:r>
        <w:rPr>
          <w:color w:val="231F20"/>
          <w:spacing w:val="-3"/>
        </w:rPr>
        <w:t xml:space="preserve"> </w:t>
      </w:r>
      <w:r>
        <w:rPr>
          <w:color w:val="231F20"/>
        </w:rPr>
        <w:t>planning</w:t>
      </w:r>
      <w:r>
        <w:rPr>
          <w:color w:val="231F20"/>
          <w:spacing w:val="-3"/>
        </w:rPr>
        <w:t xml:space="preserve"> </w:t>
      </w:r>
      <w:r>
        <w:rPr>
          <w:color w:val="231F20"/>
        </w:rPr>
        <w:t>and delivery</w:t>
      </w:r>
      <w:r>
        <w:rPr>
          <w:color w:val="231F20"/>
          <w:spacing w:val="-4"/>
        </w:rPr>
        <w:t xml:space="preserve"> </w:t>
      </w:r>
      <w:r>
        <w:rPr>
          <w:color w:val="231F20"/>
        </w:rPr>
        <w:t>are</w:t>
      </w:r>
      <w:r>
        <w:rPr>
          <w:color w:val="231F20"/>
          <w:spacing w:val="-4"/>
        </w:rPr>
        <w:t xml:space="preserve"> </w:t>
      </w:r>
      <w:r>
        <w:rPr>
          <w:color w:val="231F20"/>
        </w:rPr>
        <w:t>verified</w:t>
      </w:r>
      <w:r>
        <w:rPr>
          <w:color w:val="231F20"/>
          <w:spacing w:val="-3"/>
        </w:rPr>
        <w:t xml:space="preserve"> </w:t>
      </w:r>
      <w:r>
        <w:rPr>
          <w:color w:val="231F20"/>
        </w:rPr>
        <w:t>for</w:t>
      </w:r>
      <w:r>
        <w:rPr>
          <w:color w:val="231F20"/>
          <w:spacing w:val="-3"/>
        </w:rPr>
        <w:t xml:space="preserve"> </w:t>
      </w:r>
      <w:r>
        <w:rPr>
          <w:color w:val="231F20"/>
        </w:rPr>
        <w:t>patient safety,</w:t>
      </w:r>
      <w:r>
        <w:rPr>
          <w:color w:val="231F20"/>
          <w:spacing w:val="-2"/>
        </w:rPr>
        <w:t xml:space="preserve"> </w:t>
      </w:r>
      <w:r>
        <w:rPr>
          <w:color w:val="231F20"/>
        </w:rPr>
        <w:t>and</w:t>
      </w:r>
      <w:r>
        <w:rPr>
          <w:color w:val="231F20"/>
          <w:spacing w:val="-3"/>
        </w:rPr>
        <w:t xml:space="preserve"> </w:t>
      </w:r>
      <w:r>
        <w:rPr>
          <w:color w:val="231F20"/>
        </w:rPr>
        <w:t>the</w:t>
      </w:r>
      <w:r>
        <w:rPr>
          <w:color w:val="231F20"/>
          <w:spacing w:val="-4"/>
        </w:rPr>
        <w:t xml:space="preserve"> </w:t>
      </w:r>
      <w:r>
        <w:rPr>
          <w:color w:val="231F20"/>
        </w:rPr>
        <w:t>prescribed</w:t>
      </w:r>
      <w:r>
        <w:rPr>
          <w:color w:val="231F20"/>
          <w:spacing w:val="-3"/>
        </w:rPr>
        <w:t xml:space="preserve"> </w:t>
      </w:r>
      <w:r>
        <w:rPr>
          <w:color w:val="231F20"/>
        </w:rPr>
        <w:t>tumor dose</w:t>
      </w:r>
      <w:r>
        <w:rPr>
          <w:color w:val="231F20"/>
          <w:spacing w:val="-4"/>
        </w:rPr>
        <w:t xml:space="preserve"> </w:t>
      </w:r>
      <w:r>
        <w:rPr>
          <w:color w:val="231F20"/>
        </w:rPr>
        <w:t>and healthy tissue must be extremely accurate.</w:t>
      </w:r>
      <w:r>
        <w:rPr>
          <w:color w:val="231F20"/>
          <w:spacing w:val="40"/>
        </w:rPr>
        <w:t xml:space="preserve"> </w:t>
      </w:r>
      <w:r>
        <w:rPr>
          <w:color w:val="231F20"/>
        </w:rPr>
        <w:t>This software ensures radiotherapy evaluation is within standards, increasing treatment accuracy and imaging quality.</w:t>
      </w:r>
    </w:p>
    <w:p w:rsidR="002C1D04">
      <w:pPr>
        <w:pStyle w:val="BodyText"/>
        <w:spacing w:before="122"/>
      </w:pPr>
    </w:p>
    <w:p w:rsidR="002C1D04">
      <w:pPr>
        <w:ind w:left="363"/>
        <w:rPr>
          <w:sz w:val="20"/>
        </w:rPr>
      </w:pPr>
      <w:r>
        <w:rPr>
          <w:b/>
          <w:color w:val="231F20"/>
          <w:sz w:val="20"/>
        </w:rPr>
        <w:t>Governing</w:t>
      </w:r>
      <w:r>
        <w:rPr>
          <w:b/>
          <w:color w:val="231F20"/>
          <w:spacing w:val="-9"/>
          <w:sz w:val="20"/>
        </w:rPr>
        <w:t xml:space="preserve"> </w:t>
      </w:r>
      <w:r>
        <w:rPr>
          <w:b/>
          <w:color w:val="231F20"/>
          <w:sz w:val="20"/>
        </w:rPr>
        <w:t>Body</w:t>
      </w:r>
      <w:r>
        <w:rPr>
          <w:b/>
          <w:color w:val="231F20"/>
          <w:spacing w:val="-8"/>
          <w:sz w:val="20"/>
        </w:rPr>
        <w:t xml:space="preserve"> </w:t>
      </w:r>
      <w:r>
        <w:rPr>
          <w:b/>
          <w:color w:val="231F20"/>
          <w:sz w:val="20"/>
        </w:rPr>
        <w:t>or</w:t>
      </w:r>
      <w:r>
        <w:rPr>
          <w:b/>
          <w:color w:val="231F20"/>
          <w:spacing w:val="-7"/>
          <w:sz w:val="20"/>
        </w:rPr>
        <w:t xml:space="preserve"> </w:t>
      </w:r>
      <w:r>
        <w:rPr>
          <w:b/>
          <w:color w:val="231F20"/>
          <w:sz w:val="20"/>
        </w:rPr>
        <w:t>Organization:</w:t>
      </w:r>
      <w:r>
        <w:rPr>
          <w:b/>
          <w:color w:val="231F20"/>
          <w:spacing w:val="-6"/>
          <w:sz w:val="20"/>
        </w:rPr>
        <w:t xml:space="preserve"> </w:t>
      </w:r>
      <w:r>
        <w:rPr>
          <w:color w:val="231F20"/>
          <w:sz w:val="20"/>
        </w:rPr>
        <w:t>American</w:t>
      </w:r>
      <w:r>
        <w:rPr>
          <w:color w:val="231F20"/>
          <w:spacing w:val="-8"/>
          <w:sz w:val="20"/>
        </w:rPr>
        <w:t xml:space="preserve"> </w:t>
      </w:r>
      <w:r>
        <w:rPr>
          <w:color w:val="231F20"/>
          <w:sz w:val="20"/>
        </w:rPr>
        <w:t>Society</w:t>
      </w:r>
      <w:r>
        <w:rPr>
          <w:color w:val="231F20"/>
          <w:spacing w:val="-6"/>
          <w:sz w:val="20"/>
        </w:rPr>
        <w:t xml:space="preserve"> </w:t>
      </w:r>
      <w:r>
        <w:rPr>
          <w:color w:val="231F20"/>
          <w:sz w:val="20"/>
        </w:rPr>
        <w:t>of</w:t>
      </w:r>
      <w:r>
        <w:rPr>
          <w:color w:val="231F20"/>
          <w:spacing w:val="-6"/>
          <w:sz w:val="20"/>
        </w:rPr>
        <w:t xml:space="preserve"> </w:t>
      </w:r>
      <w:r>
        <w:rPr>
          <w:color w:val="231F20"/>
          <w:sz w:val="20"/>
        </w:rPr>
        <w:t>Radiation</w:t>
      </w:r>
      <w:r>
        <w:rPr>
          <w:color w:val="231F20"/>
          <w:spacing w:val="-7"/>
          <w:sz w:val="20"/>
        </w:rPr>
        <w:t xml:space="preserve"> </w:t>
      </w:r>
      <w:r>
        <w:rPr>
          <w:color w:val="231F20"/>
          <w:sz w:val="20"/>
        </w:rPr>
        <w:t>Oncology</w:t>
      </w:r>
      <w:r>
        <w:rPr>
          <w:color w:val="231F20"/>
          <w:spacing w:val="-7"/>
          <w:sz w:val="20"/>
        </w:rPr>
        <w:t xml:space="preserve"> </w:t>
      </w:r>
      <w:r>
        <w:rPr>
          <w:color w:val="231F20"/>
          <w:sz w:val="20"/>
        </w:rPr>
        <w:t>(ASTRO)</w:t>
      </w:r>
      <w:r>
        <w:rPr>
          <w:color w:val="231F20"/>
          <w:spacing w:val="-6"/>
          <w:sz w:val="20"/>
        </w:rPr>
        <w:t xml:space="preserve"> </w:t>
      </w:r>
      <w:r>
        <w:rPr>
          <w:color w:val="231F20"/>
          <w:spacing w:val="-4"/>
          <w:sz w:val="20"/>
        </w:rPr>
        <w:t>APEx</w:t>
      </w:r>
    </w:p>
    <w:p w:rsidR="002C1D04">
      <w:pPr>
        <w:pStyle w:val="BodyText"/>
        <w:spacing w:before="243"/>
      </w:pPr>
    </w:p>
    <w:p w:rsidR="002C1D04">
      <w:pPr>
        <w:pStyle w:val="BodyText"/>
        <w:ind w:left="361"/>
      </w:pPr>
      <w:r>
        <w:rPr>
          <w:color w:val="231F20"/>
        </w:rPr>
        <w:t>Per</w:t>
      </w:r>
      <w:r>
        <w:rPr>
          <w:color w:val="231F20"/>
          <w:spacing w:val="-5"/>
        </w:rPr>
        <w:t xml:space="preserve"> </w:t>
      </w:r>
      <w:r>
        <w:rPr>
          <w:color w:val="231F20"/>
        </w:rPr>
        <w:t>VAAR</w:t>
      </w:r>
      <w:r>
        <w:rPr>
          <w:color w:val="231F20"/>
          <w:spacing w:val="-4"/>
        </w:rPr>
        <w:t xml:space="preserve"> </w:t>
      </w:r>
      <w:r>
        <w:rPr>
          <w:color w:val="231F20"/>
        </w:rPr>
        <w:t>811.104</w:t>
      </w:r>
      <w:r>
        <w:rPr>
          <w:color w:val="231F20"/>
          <w:spacing w:val="-4"/>
        </w:rPr>
        <w:t xml:space="preserve"> </w:t>
      </w:r>
      <w:r>
        <w:rPr>
          <w:color w:val="231F20"/>
        </w:rPr>
        <w:t>and</w:t>
      </w:r>
      <w:r>
        <w:rPr>
          <w:color w:val="231F20"/>
          <w:spacing w:val="-4"/>
        </w:rPr>
        <w:t xml:space="preserve"> </w:t>
      </w:r>
      <w:r>
        <w:rPr>
          <w:color w:val="231F20"/>
        </w:rPr>
        <w:t>811.105,</w:t>
      </w:r>
      <w:r>
        <w:rPr>
          <w:color w:val="231F20"/>
          <w:spacing w:val="-4"/>
        </w:rPr>
        <w:t xml:space="preserve"> </w:t>
      </w:r>
      <w:r>
        <w:rPr>
          <w:color w:val="231F20"/>
        </w:rPr>
        <w:t>I</w:t>
      </w:r>
      <w:r>
        <w:rPr>
          <w:color w:val="231F20"/>
          <w:spacing w:val="-4"/>
        </w:rPr>
        <w:t xml:space="preserve"> </w:t>
      </w:r>
      <w:r>
        <w:rPr>
          <w:color w:val="231F20"/>
        </w:rPr>
        <w:t>certify</w:t>
      </w:r>
      <w:r>
        <w:rPr>
          <w:color w:val="231F20"/>
          <w:spacing w:val="-4"/>
        </w:rPr>
        <w:t xml:space="preserve"> </w:t>
      </w:r>
      <w:r>
        <w:rPr>
          <w:color w:val="231F20"/>
        </w:rPr>
        <w:t>the</w:t>
      </w:r>
      <w:r>
        <w:rPr>
          <w:color w:val="231F20"/>
          <w:spacing w:val="-6"/>
        </w:rPr>
        <w:t xml:space="preserve"> </w:t>
      </w:r>
      <w:r>
        <w:rPr>
          <w:color w:val="231F20"/>
        </w:rPr>
        <w:t>following</w:t>
      </w:r>
      <w:r>
        <w:rPr>
          <w:color w:val="231F20"/>
          <w:spacing w:val="-4"/>
        </w:rPr>
        <w:t xml:space="preserve"> </w:t>
      </w:r>
      <w:r>
        <w:rPr>
          <w:color w:val="231F20"/>
        </w:rPr>
        <w:t>regarding</w:t>
      </w:r>
      <w:r>
        <w:rPr>
          <w:color w:val="231F20"/>
          <w:spacing w:val="-4"/>
        </w:rPr>
        <w:t xml:space="preserve"> </w:t>
      </w:r>
      <w:r>
        <w:rPr>
          <w:color w:val="231F20"/>
        </w:rPr>
        <w:t>the</w:t>
      </w:r>
      <w:r>
        <w:rPr>
          <w:color w:val="231F20"/>
          <w:spacing w:val="-5"/>
        </w:rPr>
        <w:t xml:space="preserve"> </w:t>
      </w:r>
      <w:r>
        <w:rPr>
          <w:color w:val="231F20"/>
        </w:rPr>
        <w:t>above</w:t>
      </w:r>
      <w:r>
        <w:rPr>
          <w:color w:val="231F20"/>
          <w:spacing w:val="-5"/>
        </w:rPr>
        <w:t xml:space="preserve"> </w:t>
      </w:r>
      <w:r>
        <w:rPr>
          <w:color w:val="231F20"/>
          <w:spacing w:val="-2"/>
        </w:rPr>
        <w:t>information:</w:t>
      </w:r>
    </w:p>
    <w:p w:rsidR="002C1D04">
      <w:pPr>
        <w:pStyle w:val="ListParagraph"/>
        <w:numPr>
          <w:ilvl w:val="0"/>
          <w:numId w:val="3"/>
        </w:numPr>
        <w:tabs>
          <w:tab w:val="left" w:pos="718"/>
        </w:tabs>
        <w:spacing w:before="123"/>
        <w:ind w:left="718" w:hanging="359"/>
        <w:rPr>
          <w:sz w:val="20"/>
        </w:rPr>
      </w:pPr>
      <w:r>
        <w:rPr>
          <w:color w:val="231F20"/>
          <w:sz w:val="20"/>
        </w:rPr>
        <w:t>The</w:t>
      </w:r>
      <w:r>
        <w:rPr>
          <w:color w:val="231F20"/>
          <w:spacing w:val="-6"/>
          <w:sz w:val="20"/>
        </w:rPr>
        <w:t xml:space="preserve"> </w:t>
      </w:r>
      <w:r>
        <w:rPr>
          <w:color w:val="231F20"/>
          <w:sz w:val="20"/>
        </w:rPr>
        <w:t>salient</w:t>
      </w:r>
      <w:r>
        <w:rPr>
          <w:color w:val="231F20"/>
          <w:spacing w:val="-6"/>
          <w:sz w:val="20"/>
        </w:rPr>
        <w:t xml:space="preserve"> </w:t>
      </w:r>
      <w:r>
        <w:rPr>
          <w:color w:val="231F20"/>
          <w:sz w:val="20"/>
        </w:rPr>
        <w:t>characteristics</w:t>
      </w:r>
      <w:r>
        <w:rPr>
          <w:color w:val="231F20"/>
          <w:spacing w:val="-5"/>
          <w:sz w:val="20"/>
        </w:rPr>
        <w:t xml:space="preserve"> </w:t>
      </w:r>
      <w:r>
        <w:rPr>
          <w:color w:val="231F20"/>
          <w:sz w:val="20"/>
        </w:rPr>
        <w:t>listed</w:t>
      </w:r>
      <w:r>
        <w:rPr>
          <w:color w:val="231F20"/>
          <w:spacing w:val="-6"/>
          <w:sz w:val="20"/>
        </w:rPr>
        <w:t xml:space="preserve"> </w:t>
      </w:r>
      <w:r>
        <w:rPr>
          <w:color w:val="231F20"/>
          <w:sz w:val="20"/>
        </w:rPr>
        <w:t>above</w:t>
      </w:r>
      <w:r>
        <w:rPr>
          <w:color w:val="231F20"/>
          <w:spacing w:val="-6"/>
          <w:sz w:val="20"/>
        </w:rPr>
        <w:t xml:space="preserve"> </w:t>
      </w:r>
      <w:r>
        <w:rPr>
          <w:color w:val="231F20"/>
          <w:sz w:val="20"/>
        </w:rPr>
        <w:t>are</w:t>
      </w:r>
      <w:r>
        <w:rPr>
          <w:color w:val="231F20"/>
          <w:spacing w:val="-5"/>
          <w:sz w:val="20"/>
        </w:rPr>
        <w:t xml:space="preserve"> </w:t>
      </w:r>
      <w:r>
        <w:rPr>
          <w:color w:val="231F20"/>
          <w:sz w:val="20"/>
        </w:rPr>
        <w:t>essential</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Government’s</w:t>
      </w:r>
      <w:r>
        <w:rPr>
          <w:color w:val="231F20"/>
          <w:spacing w:val="-6"/>
          <w:sz w:val="20"/>
        </w:rPr>
        <w:t xml:space="preserve"> </w:t>
      </w:r>
      <w:r>
        <w:rPr>
          <w:color w:val="231F20"/>
          <w:spacing w:val="-2"/>
          <w:sz w:val="20"/>
        </w:rPr>
        <w:t>requirements.</w:t>
      </w:r>
    </w:p>
    <w:p w:rsidR="002C1D04">
      <w:pPr>
        <w:pStyle w:val="ListParagraph"/>
        <w:numPr>
          <w:ilvl w:val="0"/>
          <w:numId w:val="3"/>
        </w:numPr>
        <w:tabs>
          <w:tab w:val="left" w:pos="718"/>
        </w:tabs>
        <w:ind w:left="718" w:hanging="359"/>
        <w:rPr>
          <w:sz w:val="20"/>
        </w:rPr>
      </w:pPr>
      <w:r>
        <w:rPr>
          <w:color w:val="231F20"/>
          <w:sz w:val="20"/>
        </w:rPr>
        <w:t>To</w:t>
      </w:r>
      <w:r>
        <w:rPr>
          <w:color w:val="231F20"/>
          <w:spacing w:val="-4"/>
          <w:sz w:val="20"/>
        </w:rPr>
        <w:t xml:space="preserve"> </w:t>
      </w:r>
      <w:r>
        <w:rPr>
          <w:color w:val="231F20"/>
          <w:sz w:val="20"/>
        </w:rPr>
        <w:t>my</w:t>
      </w:r>
      <w:r>
        <w:rPr>
          <w:color w:val="231F20"/>
          <w:spacing w:val="-4"/>
          <w:sz w:val="20"/>
        </w:rPr>
        <w:t xml:space="preserve"> </w:t>
      </w:r>
      <w:r>
        <w:rPr>
          <w:color w:val="231F20"/>
          <w:sz w:val="20"/>
        </w:rPr>
        <w:t>knowledge,</w:t>
      </w:r>
      <w:r>
        <w:rPr>
          <w:color w:val="231F20"/>
          <w:spacing w:val="-4"/>
          <w:sz w:val="20"/>
        </w:rPr>
        <w:t xml:space="preserve"> </w:t>
      </w:r>
      <w:r>
        <w:rPr>
          <w:color w:val="231F20"/>
          <w:sz w:val="20"/>
        </w:rPr>
        <w:t>the</w:t>
      </w:r>
      <w:r>
        <w:rPr>
          <w:color w:val="231F20"/>
          <w:spacing w:val="-4"/>
          <w:sz w:val="20"/>
        </w:rPr>
        <w:t xml:space="preserve"> </w:t>
      </w:r>
      <w:r>
        <w:rPr>
          <w:color w:val="231F20"/>
          <w:sz w:val="20"/>
        </w:rPr>
        <w:t>restrictions</w:t>
      </w:r>
      <w:r>
        <w:rPr>
          <w:color w:val="231F20"/>
          <w:spacing w:val="-4"/>
          <w:sz w:val="20"/>
        </w:rPr>
        <w:t xml:space="preserve"> </w:t>
      </w:r>
      <w:r>
        <w:rPr>
          <w:color w:val="231F20"/>
          <w:sz w:val="20"/>
        </w:rPr>
        <w:t>listed</w:t>
      </w:r>
      <w:r>
        <w:rPr>
          <w:color w:val="231F20"/>
          <w:spacing w:val="-4"/>
          <w:sz w:val="20"/>
        </w:rPr>
        <w:t xml:space="preserve"> </w:t>
      </w:r>
      <w:r>
        <w:rPr>
          <w:color w:val="231F20"/>
          <w:sz w:val="20"/>
        </w:rPr>
        <w:t>above</w:t>
      </w:r>
      <w:r>
        <w:rPr>
          <w:color w:val="231F20"/>
          <w:spacing w:val="-4"/>
          <w:sz w:val="20"/>
        </w:rPr>
        <w:t xml:space="preserve"> </w:t>
      </w:r>
      <w:r>
        <w:rPr>
          <w:color w:val="231F20"/>
          <w:sz w:val="20"/>
        </w:rPr>
        <w:t>will</w:t>
      </w:r>
      <w:r>
        <w:rPr>
          <w:color w:val="231F20"/>
          <w:spacing w:val="-5"/>
          <w:sz w:val="20"/>
        </w:rPr>
        <w:t xml:space="preserve"> </w:t>
      </w:r>
      <w:r>
        <w:rPr>
          <w:color w:val="231F20"/>
          <w:sz w:val="20"/>
        </w:rPr>
        <w:t>not</w:t>
      </w:r>
      <w:r>
        <w:rPr>
          <w:color w:val="231F20"/>
          <w:spacing w:val="-5"/>
          <w:sz w:val="20"/>
        </w:rPr>
        <w:t xml:space="preserve"> </w:t>
      </w:r>
      <w:r>
        <w:rPr>
          <w:color w:val="231F20"/>
          <w:sz w:val="20"/>
        </w:rPr>
        <w:t>limit</w:t>
      </w:r>
      <w:r>
        <w:rPr>
          <w:color w:val="231F20"/>
          <w:spacing w:val="-2"/>
          <w:sz w:val="20"/>
        </w:rPr>
        <w:t xml:space="preserve"> </w:t>
      </w:r>
      <w:r>
        <w:rPr>
          <w:color w:val="231F20"/>
          <w:sz w:val="20"/>
        </w:rPr>
        <w:t>the</w:t>
      </w:r>
      <w:r>
        <w:rPr>
          <w:color w:val="231F20"/>
          <w:spacing w:val="-3"/>
          <w:sz w:val="20"/>
        </w:rPr>
        <w:t xml:space="preserve"> </w:t>
      </w:r>
      <w:r>
        <w:rPr>
          <w:color w:val="231F20"/>
          <w:sz w:val="20"/>
        </w:rPr>
        <w:t>acquisition</w:t>
      </w:r>
      <w:r>
        <w:rPr>
          <w:color w:val="231F20"/>
          <w:spacing w:val="-5"/>
          <w:sz w:val="20"/>
        </w:rPr>
        <w:t xml:space="preserve"> </w:t>
      </w:r>
      <w:r>
        <w:rPr>
          <w:color w:val="231F20"/>
          <w:sz w:val="20"/>
        </w:rPr>
        <w:t>to</w:t>
      </w:r>
      <w:r>
        <w:rPr>
          <w:color w:val="231F20"/>
          <w:spacing w:val="-5"/>
          <w:sz w:val="20"/>
        </w:rPr>
        <w:t xml:space="preserve"> </w:t>
      </w:r>
      <w:r>
        <w:rPr>
          <w:color w:val="231F20"/>
          <w:sz w:val="20"/>
        </w:rPr>
        <w:t>an</w:t>
      </w:r>
      <w:r>
        <w:rPr>
          <w:color w:val="231F20"/>
          <w:spacing w:val="-4"/>
          <w:sz w:val="20"/>
        </w:rPr>
        <w:t xml:space="preserve"> </w:t>
      </w:r>
      <w:r>
        <w:rPr>
          <w:color w:val="231F20"/>
          <w:sz w:val="20"/>
        </w:rPr>
        <w:t>item</w:t>
      </w:r>
      <w:r>
        <w:rPr>
          <w:color w:val="231F20"/>
          <w:spacing w:val="-2"/>
          <w:sz w:val="20"/>
        </w:rPr>
        <w:t xml:space="preserve"> </w:t>
      </w:r>
      <w:r>
        <w:rPr>
          <w:color w:val="231F20"/>
          <w:sz w:val="20"/>
        </w:rPr>
        <w:t>peculiar</w:t>
      </w:r>
      <w:r>
        <w:rPr>
          <w:color w:val="231F20"/>
          <w:spacing w:val="-4"/>
          <w:sz w:val="20"/>
        </w:rPr>
        <w:t xml:space="preserve"> </w:t>
      </w:r>
      <w:r>
        <w:rPr>
          <w:color w:val="231F20"/>
          <w:sz w:val="20"/>
        </w:rPr>
        <w:t>to</w:t>
      </w:r>
      <w:r>
        <w:rPr>
          <w:color w:val="231F20"/>
          <w:spacing w:val="-4"/>
          <w:sz w:val="20"/>
        </w:rPr>
        <w:t xml:space="preserve"> </w:t>
      </w:r>
      <w:r>
        <w:rPr>
          <w:color w:val="231F20"/>
          <w:sz w:val="20"/>
        </w:rPr>
        <w:t>one</w:t>
      </w:r>
      <w:r>
        <w:rPr>
          <w:color w:val="231F20"/>
          <w:spacing w:val="4"/>
          <w:sz w:val="20"/>
        </w:rPr>
        <w:t xml:space="preserve"> </w:t>
      </w:r>
      <w:r>
        <w:rPr>
          <w:color w:val="231F20"/>
          <w:spacing w:val="-2"/>
          <w:sz w:val="20"/>
        </w:rPr>
        <w:t>manufacturer</w:t>
      </w:r>
    </w:p>
    <w:p w:rsidR="002C1D04">
      <w:pPr>
        <w:pStyle w:val="BodyText"/>
        <w:spacing w:before="237"/>
      </w:pP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F90DAD" w:rsidP="009C37D0">
          <w:pPr>
            <w:pStyle w:val="Footer"/>
          </w:pPr>
        </w:p>
      </w:tc>
      <w:tc>
        <w:tcPr>
          <w:tcW w:w="4788" w:type="dxa"/>
        </w:tcPr>
        <w:p w:rsidR="00F90DAD" w:rsidP="009C37D0">
          <w:pPr>
            <w:pStyle w:val="Footer"/>
            <w:jc w:val="right"/>
          </w:pPr>
          <w:r>
            <w:t>Sources Sought Notice</w:t>
          </w:r>
        </w:p>
      </w:tc>
    </w:tr>
  </w:tbl>
  <w:p w:rsidR="00F90DAD" w:rsidP="00C838FE">
    <w:pPr>
      <w:pStyle w:val="Footer"/>
    </w:pPr>
  </w:p>
  <w:p w:rsidR="00F90DAD">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F90DAD">
          <w:pPr>
            <w:pStyle w:val="Footer"/>
          </w:pPr>
          <w:r w:rsidRPr="009C37D0">
            <w:t>*= Required Field</w:t>
          </w:r>
        </w:p>
      </w:tc>
      <w:tc>
        <w:tcPr>
          <w:tcW w:w="4788" w:type="dxa"/>
        </w:tcPr>
        <w:p w:rsidR="00F90DAD" w:rsidP="009C37D0">
          <w:pPr>
            <w:pStyle w:val="Footer"/>
            <w:jc w:val="right"/>
          </w:pPr>
          <w:r>
            <w:t>Sources Sought Notice</w:t>
          </w:r>
        </w:p>
      </w:tc>
    </w:tr>
  </w:tbl>
  <w:p w:rsidR="00F90DAD">
    <w:pPr>
      <w:pStyle w:val="Footer"/>
    </w:pPr>
  </w:p>
  <w:p w:rsidR="00F90DA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0DAD"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0DAD"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520C2E"/>
    <w:multiLevelType w:val="hybridMultilevel"/>
    <w:tmpl w:val="05A4E788"/>
    <w:lvl w:ilvl="0">
      <w:start w:val="0"/>
      <w:numFmt w:val="bullet"/>
      <w:lvlText w:val="o"/>
      <w:lvlJc w:val="left"/>
      <w:pPr>
        <w:ind w:left="720" w:hanging="361"/>
      </w:pPr>
      <w:rPr>
        <w:rFonts w:ascii="Courier New" w:eastAsia="Courier New" w:hAnsi="Courier New" w:cs="Courier New" w:hint="default"/>
        <w:b w:val="0"/>
        <w:bCs w:val="0"/>
        <w:i w:val="0"/>
        <w:iCs w:val="0"/>
        <w:color w:val="231F20"/>
        <w:spacing w:val="0"/>
        <w:w w:val="99"/>
        <w:sz w:val="20"/>
        <w:szCs w:val="20"/>
        <w:lang w:val="en-US" w:eastAsia="en-US" w:bidi="ar-SA"/>
      </w:rPr>
    </w:lvl>
    <w:lvl w:ilvl="1">
      <w:start w:val="0"/>
      <w:numFmt w:val="bullet"/>
      <w:lvlText w:val="•"/>
      <w:lvlJc w:val="left"/>
      <w:pPr>
        <w:ind w:left="172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744" w:hanging="361"/>
      </w:pPr>
      <w:rPr>
        <w:rFonts w:hint="default"/>
        <w:lang w:val="en-US" w:eastAsia="en-US" w:bidi="ar-SA"/>
      </w:rPr>
    </w:lvl>
    <w:lvl w:ilvl="4">
      <w:start w:val="0"/>
      <w:numFmt w:val="bullet"/>
      <w:lvlText w:val="•"/>
      <w:lvlJc w:val="left"/>
      <w:pPr>
        <w:ind w:left="4752"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768" w:hanging="361"/>
      </w:pPr>
      <w:rPr>
        <w:rFonts w:hint="default"/>
        <w:lang w:val="en-US" w:eastAsia="en-US" w:bidi="ar-SA"/>
      </w:rPr>
    </w:lvl>
    <w:lvl w:ilvl="7">
      <w:start w:val="0"/>
      <w:numFmt w:val="bullet"/>
      <w:lvlText w:val="•"/>
      <w:lvlJc w:val="left"/>
      <w:pPr>
        <w:ind w:left="7776" w:hanging="361"/>
      </w:pPr>
      <w:rPr>
        <w:rFonts w:hint="default"/>
        <w:lang w:val="en-US" w:eastAsia="en-US" w:bidi="ar-SA"/>
      </w:rPr>
    </w:lvl>
    <w:lvl w:ilvl="8">
      <w:start w:val="0"/>
      <w:numFmt w:val="bullet"/>
      <w:lvlText w:val="•"/>
      <w:lvlJc w:val="left"/>
      <w:pPr>
        <w:ind w:left="8784" w:hanging="361"/>
      </w:pPr>
      <w:rPr>
        <w:rFonts w:hint="default"/>
        <w:lang w:val="en-US" w:eastAsia="en-US" w:bidi="ar-SA"/>
      </w:rPr>
    </w:lvl>
  </w:abstractNum>
  <w:abstractNum w:abstractNumId="1">
    <w:nsid w:val="1091307B"/>
    <w:multiLevelType w:val="hybridMultilevel"/>
    <w:tmpl w:val="41969F52"/>
    <w:lvl w:ilvl="0">
      <w:start w:val="0"/>
      <w:numFmt w:val="bullet"/>
      <w:lvlText w:val=""/>
      <w:lvlJc w:val="left"/>
      <w:pPr>
        <w:ind w:left="1080" w:hanging="360"/>
      </w:pPr>
      <w:rPr>
        <w:rFonts w:ascii="Symbol" w:eastAsia="Symbol" w:hAnsi="Symbol" w:cs="Symbol" w:hint="default"/>
        <w:b w:val="0"/>
        <w:bCs w:val="0"/>
        <w:i w:val="0"/>
        <w:iCs w:val="0"/>
        <w:color w:val="231F20"/>
        <w:spacing w:val="0"/>
        <w:w w:val="99"/>
        <w:sz w:val="20"/>
        <w:szCs w:val="20"/>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
    <w:nsid w:val="7B2222E0"/>
    <w:multiLevelType w:val="hybridMultilevel"/>
    <w:tmpl w:val="598E25EC"/>
    <w:lvl w:ilvl="0">
      <w:start w:val="0"/>
      <w:numFmt w:val="bullet"/>
      <w:lvlText w:val="o"/>
      <w:lvlJc w:val="left"/>
      <w:pPr>
        <w:ind w:left="2160" w:hanging="360"/>
      </w:pPr>
      <w:rPr>
        <w:rFonts w:ascii="Courier New" w:eastAsia="Courier New" w:hAnsi="Courier New" w:cs="Courier New" w:hint="default"/>
        <w:b w:val="0"/>
        <w:bCs w:val="0"/>
        <w:i w:val="0"/>
        <w:iCs w:val="0"/>
        <w:color w:val="231F20"/>
        <w:spacing w:val="0"/>
        <w:w w:val="99"/>
        <w:sz w:val="20"/>
        <w:szCs w:val="20"/>
        <w:lang w:val="en-US" w:eastAsia="en-US" w:bidi="ar-SA"/>
      </w:rPr>
    </w:lvl>
    <w:lvl w:ilvl="1">
      <w:start w:val="0"/>
      <w:numFmt w:val="bullet"/>
      <w:lvlText w:val="•"/>
      <w:lvlJc w:val="left"/>
      <w:pPr>
        <w:ind w:left="3024" w:hanging="360"/>
      </w:pPr>
      <w:rPr>
        <w:rFonts w:hint="default"/>
        <w:lang w:val="en-US" w:eastAsia="en-US" w:bidi="ar-SA"/>
      </w:rPr>
    </w:lvl>
    <w:lvl w:ilvl="2">
      <w:start w:val="0"/>
      <w:numFmt w:val="bullet"/>
      <w:lvlText w:val="•"/>
      <w:lvlJc w:val="left"/>
      <w:pPr>
        <w:ind w:left="3888" w:hanging="360"/>
      </w:pPr>
      <w:rPr>
        <w:rFonts w:hint="default"/>
        <w:lang w:val="en-US" w:eastAsia="en-US" w:bidi="ar-SA"/>
      </w:rPr>
    </w:lvl>
    <w:lvl w:ilvl="3">
      <w:start w:val="0"/>
      <w:numFmt w:val="bullet"/>
      <w:lvlText w:val="•"/>
      <w:lvlJc w:val="left"/>
      <w:pPr>
        <w:ind w:left="475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20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A0E8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A0E8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A0E8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A0E8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A0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E8A"/>
    <w:rPr>
      <w:rFonts w:eastAsiaTheme="majorEastAsia" w:cstheme="majorBidi"/>
      <w:color w:val="272727" w:themeColor="text1" w:themeTint="D8"/>
    </w:rPr>
  </w:style>
  <w:style w:type="paragraph" w:styleId="Quote">
    <w:name w:val="Quote"/>
    <w:basedOn w:val="Normal"/>
    <w:next w:val="Normal"/>
    <w:link w:val="QuoteChar"/>
    <w:uiPriority w:val="29"/>
    <w:qFormat/>
    <w:rsid w:val="007A0E8A"/>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A0E8A"/>
    <w:rPr>
      <w:i/>
      <w:iCs/>
      <w:color w:val="404040" w:themeColor="text1" w:themeTint="BF"/>
    </w:rPr>
  </w:style>
  <w:style w:type="paragraph" w:styleId="IntenseQuote">
    <w:name w:val="Intense Quote"/>
    <w:basedOn w:val="Normal"/>
    <w:next w:val="Normal"/>
    <w:link w:val="IntenseQuoteChar"/>
    <w:uiPriority w:val="30"/>
    <w:qFormat/>
    <w:rsid w:val="007A0E8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A0E8A"/>
    <w:rPr>
      <w:i/>
      <w:iCs/>
      <w:color w:val="366092" w:themeColor="accent1" w:themeShade="BF"/>
    </w:rPr>
  </w:style>
  <w:style w:type="character" w:styleId="IntenseReference">
    <w:name w:val="Intense Reference"/>
    <w:basedOn w:val="DefaultParagraphFont"/>
    <w:uiPriority w:val="32"/>
    <w:qFormat/>
    <w:rsid w:val="007A0E8A"/>
    <w:rPr>
      <w:b/>
      <w:bCs/>
      <w:smallCaps/>
      <w:color w:val="366092" w:themeColor="accent1" w:themeShade="BF"/>
      <w:spacing w:val="5"/>
    </w:rPr>
  </w:style>
  <w:style w:type="character" w:styleId="Hyperlink">
    <w:name w:val="Hyperlink"/>
    <w:basedOn w:val="DefaultParagraphFont"/>
    <w:uiPriority w:val="99"/>
    <w:semiHidden/>
    <w:unhideWhenUsed/>
    <w:rsid w:val="00F90DAD"/>
    <w:rPr>
      <w:color w:val="0000FF"/>
      <w:u w:val="single"/>
    </w:rPr>
  </w:style>
  <w:style w:type="paragraph" w:styleId="BodyText">
    <w:name w:val="Body Text"/>
    <w:basedOn w:val="Normal"/>
    <w:uiPriority w:val="1"/>
    <w:qFormat/>
    <w:rPr>
      <w:sz w:val="20"/>
      <w:szCs w:val="20"/>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2026-05-08T22:34:29Z</dcterms:created>
  <dcterms:modified xsi:type="dcterms:W3CDTF">2026-05-08T22:34:29Z</dcterms:modified>
</cp:coreProperties>
</file>