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 Blood Gas Analyzers Gem Premier 7000</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78240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36C25726Q0547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05-14-2026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6632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 Flores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Susan.flores2@va.gov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 694-6227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Texas Veterans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4500 South Lancaster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75216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30B7" w:rsidRPr="00694EC0" w:rsidP="00694EC0">
      <w:pPr>
        <w:spacing w:after="0" w:line="240" w:lineRule="auto"/>
        <w:rPr>
          <w:rFonts w:ascii="Arial" w:hAnsi="Arial" w:cs="Arial"/>
          <w:sz w:val="24"/>
          <w:szCs w:val="24"/>
        </w:rPr>
      </w:pPr>
      <w:r w:rsidRPr="00694EC0">
        <w:rPr>
          <w:rFonts w:ascii="Arial" w:hAnsi="Arial" w:cs="Arial"/>
          <w:sz w:val="24"/>
          <w:szCs w:val="24"/>
        </w:rPr>
        <w:t xml:space="preserve">The North Texas VA Medical Center is conducting market research to obtain </w:t>
      </w:r>
      <w:r w:rsidRPr="00694EC0" w:rsidR="00224A9B">
        <w:rPr>
          <w:rFonts w:ascii="Arial" w:hAnsi="Arial" w:cs="Arial"/>
          <w:sz w:val="24"/>
          <w:szCs w:val="24"/>
        </w:rPr>
        <w:t xml:space="preserve">Blood Gas </w:t>
      </w:r>
      <w:r w:rsidRPr="00694EC0" w:rsidR="00832E0A">
        <w:rPr>
          <w:rFonts w:ascii="Arial" w:hAnsi="Arial" w:cs="Arial"/>
          <w:sz w:val="24"/>
          <w:szCs w:val="24"/>
        </w:rPr>
        <w:t>Analyzers</w:t>
      </w:r>
      <w:r w:rsidRPr="00694EC0" w:rsidR="00224A9B">
        <w:rPr>
          <w:rFonts w:ascii="Arial" w:hAnsi="Arial" w:cs="Arial"/>
          <w:sz w:val="24"/>
          <w:szCs w:val="24"/>
        </w:rPr>
        <w:t xml:space="preserve"> Gem Premier 7000 rental  for base plus four option years</w:t>
      </w:r>
      <w:r w:rsidRPr="00694EC0">
        <w:rPr>
          <w:rFonts w:ascii="Arial" w:hAnsi="Arial" w:cs="Arial"/>
          <w:sz w:val="24"/>
          <w:szCs w:val="24"/>
        </w:rPr>
        <w:t xml:space="preserve"> described in the Preliminary Statement of Work below.</w:t>
      </w:r>
    </w:p>
    <w:p w:rsidR="007630B7" w:rsidRPr="00694EC0" w:rsidP="00694EC0">
      <w:pPr>
        <w:spacing w:after="0" w:line="240" w:lineRule="auto"/>
        <w:rPr>
          <w:rFonts w:ascii="Arial" w:hAnsi="Arial" w:cs="Arial"/>
          <w:sz w:val="24"/>
          <w:szCs w:val="24"/>
        </w:rPr>
      </w:pPr>
    </w:p>
    <w:p w:rsidR="007630B7" w:rsidRPr="00694EC0" w:rsidP="00694EC0">
      <w:pPr>
        <w:spacing w:after="0" w:line="240" w:lineRule="auto"/>
        <w:rPr>
          <w:rFonts w:ascii="Arial" w:hAnsi="Arial" w:cs="Arial"/>
          <w:sz w:val="24"/>
          <w:szCs w:val="24"/>
        </w:rPr>
      </w:pPr>
      <w:r w:rsidRPr="00694EC0">
        <w:rPr>
          <w:rFonts w:ascii="Arial" w:hAnsi="Arial" w:cs="Arial"/>
          <w:sz w:val="24"/>
          <w:szCs w:val="24"/>
        </w:rPr>
        <w:t xml:space="preserve">This is a </w:t>
      </w:r>
      <w:r w:rsidRPr="00694EC0">
        <w:rPr>
          <w:rFonts w:ascii="Arial" w:hAnsi="Arial" w:cs="Arial"/>
          <w:b/>
          <w:sz w:val="24"/>
          <w:szCs w:val="24"/>
        </w:rPr>
        <w:t>SOURCES SOUGHT NOTICE</w:t>
      </w:r>
      <w:r w:rsidRPr="00694EC0">
        <w:rPr>
          <w:rFonts w:ascii="Arial" w:hAnsi="Arial" w:cs="Arial"/>
          <w:sz w:val="24"/>
          <w:szCs w:val="24"/>
        </w:rPr>
        <w:t xml:space="preserve"> only looking for businesses to provide the services listed in the Preliminary Statement of Work below for market research purposes.  </w:t>
      </w:r>
      <w:r w:rsidRPr="00694EC0">
        <w:rPr>
          <w:rFonts w:ascii="Arial" w:hAnsi="Arial" w:cs="Arial"/>
          <w:sz w:val="24"/>
          <w:szCs w:val="24"/>
          <w:highlight w:val="yellow"/>
        </w:rPr>
        <w:t>No proposals are being requested or accepted with this notice.  THIS IS NOT A SOLICITATION FOR PROPOSALS OR PRICING AND NO CONTRACT SHALL BE AWARDED FROM THIS NOTICE.</w:t>
      </w:r>
      <w:r w:rsidRPr="00694EC0">
        <w:rPr>
          <w:rFonts w:ascii="Arial" w:hAnsi="Arial" w:cs="Arial"/>
          <w:sz w:val="24"/>
          <w:szCs w:val="24"/>
        </w:rPr>
        <w:t xml:space="preserve">  This notice shall not be construed as a solicitation or as an obligation on the part of the Department of Veterans Affairs.</w:t>
      </w:r>
    </w:p>
    <w:p w:rsidR="007630B7" w:rsidRPr="00694EC0" w:rsidP="00694EC0">
      <w:pPr>
        <w:spacing w:after="0" w:line="240" w:lineRule="auto"/>
        <w:rPr>
          <w:rFonts w:ascii="Arial" w:hAnsi="Arial" w:cs="Arial"/>
          <w:sz w:val="24"/>
          <w:szCs w:val="24"/>
        </w:rPr>
      </w:pPr>
    </w:p>
    <w:p w:rsidR="007630B7" w:rsidRPr="00694EC0" w:rsidP="00694EC0">
      <w:pPr>
        <w:spacing w:after="0" w:line="240" w:lineRule="auto"/>
        <w:rPr>
          <w:rFonts w:ascii="Arial" w:hAnsi="Arial" w:cs="Arial"/>
          <w:sz w:val="24"/>
          <w:szCs w:val="24"/>
        </w:rPr>
      </w:pPr>
      <w:r w:rsidRPr="00694EC0">
        <w:rPr>
          <w:rFonts w:ascii="Arial" w:hAnsi="Arial" w:cs="Arial"/>
          <w:sz w:val="24"/>
          <w:szCs w:val="24"/>
        </w:rPr>
        <w:t xml:space="preserve">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  The Government does not intend to pay for the information submitted in response to this notice and parties responding will not be entitled to payment for direct or indirect costs incurred in responding to this notice.  </w:t>
      </w:r>
    </w:p>
    <w:p w:rsidR="007630B7" w:rsidRPr="00694EC0" w:rsidP="00694EC0">
      <w:pPr>
        <w:spacing w:after="0" w:line="240" w:lineRule="auto"/>
        <w:rPr>
          <w:rFonts w:ascii="Arial" w:hAnsi="Arial" w:cs="Arial"/>
          <w:sz w:val="24"/>
          <w:szCs w:val="24"/>
        </w:rPr>
      </w:pPr>
    </w:p>
    <w:p w:rsidR="007630B7" w:rsidRPr="00694EC0" w:rsidP="00694EC0">
      <w:pPr>
        <w:spacing w:after="0" w:line="240" w:lineRule="auto"/>
        <w:rPr>
          <w:rFonts w:ascii="Arial" w:hAnsi="Arial" w:cs="Arial"/>
          <w:sz w:val="24"/>
          <w:szCs w:val="24"/>
        </w:rPr>
      </w:pPr>
      <w:r w:rsidRPr="00694EC0">
        <w:rPr>
          <w:rFonts w:ascii="Arial" w:hAnsi="Arial" w:cs="Arial"/>
          <w:sz w:val="24"/>
          <w:szCs w:val="24"/>
        </w:rPr>
        <w:t xml:space="preserve">The North American Industry Classification System (NAICS) code for this requirement is </w:t>
      </w:r>
      <w:r w:rsidRPr="00694EC0" w:rsidR="00224A9B">
        <w:rPr>
          <w:rFonts w:ascii="Arial" w:hAnsi="Arial" w:cs="Arial"/>
          <w:sz w:val="24"/>
          <w:szCs w:val="24"/>
        </w:rPr>
        <w:t>334516</w:t>
      </w:r>
      <w:r w:rsidRPr="00694EC0">
        <w:rPr>
          <w:rFonts w:ascii="Arial" w:hAnsi="Arial" w:cs="Arial"/>
          <w:sz w:val="24"/>
          <w:szCs w:val="24"/>
        </w:rPr>
        <w:t xml:space="preserve"> – </w:t>
      </w:r>
      <w:r w:rsidRPr="00694EC0" w:rsidR="00224A9B">
        <w:rPr>
          <w:rFonts w:ascii="Arial" w:hAnsi="Arial" w:cs="Arial"/>
          <w:sz w:val="24"/>
          <w:szCs w:val="24"/>
        </w:rPr>
        <w:t>Analytical Laboratory Instrument Manufacturing</w:t>
      </w:r>
      <w:r w:rsidRPr="00694EC0">
        <w:rPr>
          <w:rFonts w:ascii="Arial" w:hAnsi="Arial" w:cs="Arial"/>
          <w:sz w:val="24"/>
          <w:szCs w:val="24"/>
        </w:rPr>
        <w:t xml:space="preserve">, with an SBA Small Business Size Standard of </w:t>
      </w:r>
      <w:r w:rsidRPr="00694EC0" w:rsidR="00224A9B">
        <w:rPr>
          <w:rFonts w:ascii="Arial" w:hAnsi="Arial" w:cs="Arial"/>
          <w:sz w:val="24"/>
          <w:szCs w:val="24"/>
        </w:rPr>
        <w:t>1000 Employees</w:t>
      </w:r>
      <w:r w:rsidRPr="00694EC0">
        <w:rPr>
          <w:rFonts w:ascii="Arial" w:hAnsi="Arial" w:cs="Arial"/>
          <w:sz w:val="24"/>
          <w:szCs w:val="24"/>
        </w:rPr>
        <w:t>.</w:t>
      </w:r>
    </w:p>
    <w:p w:rsidR="007630B7" w:rsidRPr="00694EC0" w:rsidP="00694EC0">
      <w:pPr>
        <w:spacing w:after="0" w:line="240" w:lineRule="auto"/>
        <w:rPr>
          <w:rFonts w:ascii="Arial" w:hAnsi="Arial" w:cs="Arial"/>
          <w:sz w:val="24"/>
          <w:szCs w:val="24"/>
        </w:rPr>
      </w:pPr>
    </w:p>
    <w:p w:rsidR="007630B7" w:rsidRPr="00694EC0" w:rsidP="00694EC0">
      <w:pPr>
        <w:spacing w:after="0" w:line="240" w:lineRule="auto"/>
        <w:rPr>
          <w:rFonts w:ascii="Arial" w:hAnsi="Arial" w:cs="Arial"/>
          <w:b/>
          <w:bCs/>
          <w:sz w:val="24"/>
          <w:szCs w:val="24"/>
          <w:highlight w:val="yellow"/>
        </w:rPr>
      </w:pPr>
      <w:r w:rsidRPr="00694EC0">
        <w:rPr>
          <w:rFonts w:ascii="Arial" w:hAnsi="Arial" w:cs="Arial"/>
          <w:sz w:val="24"/>
          <w:szCs w:val="24"/>
          <w:highlight w:val="yellow"/>
        </w:rPr>
        <w:t xml:space="preserve">If you are a vendor capable of providing the requested information and required services described below with competitive pricing, </w:t>
      </w:r>
      <w:r w:rsidRPr="00694EC0">
        <w:rPr>
          <w:rFonts w:ascii="Arial" w:hAnsi="Arial" w:cs="Arial"/>
          <w:b/>
          <w:bCs/>
          <w:sz w:val="24"/>
          <w:szCs w:val="24"/>
          <w:highlight w:val="yellow"/>
        </w:rPr>
        <w:t xml:space="preserve">send your information </w:t>
      </w:r>
      <w:r w:rsidRPr="00694EC0">
        <w:rPr>
          <w:rFonts w:ascii="Arial" w:hAnsi="Arial" w:cs="Arial"/>
          <w:b/>
          <w:bCs/>
          <w:i/>
          <w:iCs/>
          <w:sz w:val="24"/>
          <w:szCs w:val="24"/>
          <w:highlight w:val="yellow"/>
          <w:u w:val="single"/>
        </w:rPr>
        <w:t>with a description of proof of capability and answers to all questions</w:t>
      </w:r>
      <w:r w:rsidRPr="00694EC0">
        <w:rPr>
          <w:rFonts w:ascii="Arial" w:hAnsi="Arial" w:cs="Arial"/>
          <w:b/>
          <w:bCs/>
          <w:sz w:val="24"/>
          <w:szCs w:val="24"/>
          <w:highlight w:val="yellow"/>
        </w:rPr>
        <w:t xml:space="preserve"> to:  </w:t>
      </w:r>
      <w:r w:rsidRPr="00694EC0" w:rsidR="00224A9B">
        <w:rPr>
          <w:rFonts w:ascii="Arial" w:hAnsi="Arial" w:cs="Arial"/>
          <w:b/>
          <w:bCs/>
          <w:sz w:val="24"/>
          <w:szCs w:val="24"/>
          <w:highlight w:val="yellow"/>
        </w:rPr>
        <w:t>Susan.flores2</w:t>
      </w:r>
      <w:r w:rsidRPr="00694EC0">
        <w:rPr>
          <w:rFonts w:ascii="Arial" w:hAnsi="Arial" w:cs="Arial"/>
          <w:b/>
          <w:bCs/>
          <w:sz w:val="24"/>
          <w:szCs w:val="24"/>
          <w:highlight w:val="yellow"/>
        </w:rPr>
        <w:t xml:space="preserve">@va.gov on or before Thursday, May 14, </w:t>
      </w:r>
      <w:r w:rsidRPr="00694EC0">
        <w:rPr>
          <w:rFonts w:ascii="Arial" w:hAnsi="Arial" w:cs="Arial"/>
          <w:b/>
          <w:bCs/>
          <w:sz w:val="24"/>
          <w:szCs w:val="24"/>
          <w:highlight w:val="yellow"/>
        </w:rPr>
        <w:t>2026</w:t>
      </w:r>
      <w:r w:rsidRPr="00694EC0">
        <w:rPr>
          <w:rFonts w:ascii="Arial" w:hAnsi="Arial" w:cs="Arial"/>
          <w:b/>
          <w:bCs/>
          <w:sz w:val="24"/>
          <w:szCs w:val="24"/>
          <w:highlight w:val="yellow"/>
        </w:rPr>
        <w:t xml:space="preserve"> at 12:00 PM Central Time. </w:t>
      </w:r>
    </w:p>
    <w:p w:rsidR="007630B7" w:rsidRPr="00694EC0" w:rsidP="00694EC0">
      <w:pPr>
        <w:spacing w:after="0" w:line="240" w:lineRule="auto"/>
        <w:rPr>
          <w:rFonts w:ascii="Arial" w:hAnsi="Arial" w:cs="Arial"/>
          <w:b/>
          <w:bCs/>
          <w:sz w:val="24"/>
          <w:szCs w:val="24"/>
          <w:highlight w:val="yellow"/>
        </w:rPr>
      </w:pPr>
    </w:p>
    <w:p w:rsidR="007630B7" w:rsidRPr="00694EC0" w:rsidP="00694EC0">
      <w:pPr>
        <w:spacing w:after="0" w:line="240" w:lineRule="auto"/>
        <w:textAlignment w:val="baseline"/>
        <w:rPr>
          <w:rFonts w:ascii="Arial" w:eastAsia="Times New Roman" w:hAnsi="Arial" w:cs="Arial"/>
          <w:b/>
          <w:bCs/>
          <w:sz w:val="24"/>
          <w:szCs w:val="24"/>
        </w:rPr>
      </w:pPr>
      <w:r w:rsidRPr="00694EC0">
        <w:rPr>
          <w:rFonts w:ascii="Arial" w:eastAsia="Times New Roman" w:hAnsi="Arial" w:cs="Arial"/>
          <w:b/>
          <w:bCs/>
          <w:sz w:val="24"/>
          <w:szCs w:val="24"/>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694EC0">
        <w:rPr>
          <w:rFonts w:ascii="Arial" w:eastAsia="Times New Roman" w:hAnsi="Arial" w:cs="Arial"/>
          <w:b/>
          <w:bCs/>
          <w:sz w:val="24"/>
          <w:szCs w:val="24"/>
          <w:highlight w:val="yellow"/>
          <w:u w:val="single"/>
        </w:rPr>
        <w:t>Failure to respond to the questions at all, or not respond to select individual questions, will result in your response being determined as non-responsive.</w:t>
      </w:r>
    </w:p>
    <w:p w:rsidR="007630B7" w:rsidRPr="00694EC0" w:rsidP="00694EC0">
      <w:pPr>
        <w:spacing w:after="0" w:line="240" w:lineRule="auto"/>
        <w:textAlignment w:val="baseline"/>
        <w:rPr>
          <w:rFonts w:ascii="Arial" w:eastAsia="Times New Roman" w:hAnsi="Arial" w:cs="Arial"/>
          <w:sz w:val="24"/>
          <w:szCs w:val="24"/>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82"/>
        <w:gridCol w:w="9062"/>
      </w:tblGrid>
      <w:tr>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rPr>
                <w:rFonts w:ascii="Arial" w:hAnsi="Arial" w:cs="Arial"/>
                <w:sz w:val="24"/>
                <w:szCs w:val="24"/>
                <w:highlight w:val="yellow"/>
              </w:rPr>
            </w:pPr>
            <w:r w:rsidRPr="00694EC0">
              <w:rPr>
                <w:rFonts w:ascii="Arial" w:hAnsi="Arial" w:cs="Arial"/>
                <w:sz w:val="24"/>
                <w:szCs w:val="24"/>
                <w:highlight w:val="yellow"/>
              </w:rPr>
              <w:t>Please provide all socio-economic categories of your firm (e.g., SDVOSB, VOSB, WOSB, Large Business, 8a, etc.) as well as your firm’s SAM Unique Entity ID number (replaces DUNS number) and Government Contract POC.</w:t>
            </w:r>
          </w:p>
        </w:tc>
      </w:tr>
      <w:tr>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State whether the requested services may be ordered against a government contract awarded to your organization (</w:t>
            </w:r>
            <w:r w:rsidRPr="00694EC0">
              <w:rPr>
                <w:rFonts w:ascii="Arial" w:eastAsia="Times New Roman" w:hAnsi="Arial" w:cs="Arial"/>
                <w:sz w:val="24"/>
                <w:szCs w:val="24"/>
                <w:highlight w:val="yellow"/>
              </w:rPr>
              <w:t>e.g</w:t>
            </w:r>
            <w:r w:rsidRPr="00694EC0">
              <w:rPr>
                <w:rFonts w:ascii="Arial" w:eastAsia="Times New Roman" w:hAnsi="Arial" w:cs="Arial"/>
                <w:sz w:val="24"/>
                <w:szCs w:val="24"/>
                <w:highlight w:val="yellow"/>
              </w:rPr>
              <w:t> Federal Supply Schedule (FSS), General Services Administration (GSA), etc.).</w:t>
            </w:r>
          </w:p>
        </w:tc>
      </w:tr>
      <w:tr>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State if subcontracting is contemplated for this requirement, what percentage of the work will be subcontracted, and for what tasks.</w:t>
            </w:r>
          </w:p>
        </w:tc>
      </w:tr>
      <w:tr>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 xml:space="preserve">Provide estimated lead time to deliver a fully functioning solution as described in the </w:t>
            </w:r>
            <w:r w:rsidRPr="00694EC0">
              <w:rPr>
                <w:rFonts w:ascii="Arial" w:hAnsi="Arial" w:cs="Arial"/>
                <w:sz w:val="24"/>
                <w:szCs w:val="24"/>
                <w:highlight w:val="yellow"/>
              </w:rPr>
              <w:t>Preliminary Statement of Work</w:t>
            </w:r>
            <w:r w:rsidRPr="00694EC0">
              <w:rPr>
                <w:rFonts w:ascii="Arial" w:eastAsia="Times New Roman" w:hAnsi="Arial" w:cs="Arial"/>
                <w:sz w:val="24"/>
                <w:szCs w:val="24"/>
                <w:highlight w:val="yellow"/>
              </w:rPr>
              <w:t xml:space="preserve"> below.  </w:t>
            </w:r>
            <w:r w:rsidRPr="00694EC0">
              <w:rPr>
                <w:rFonts w:ascii="Arial" w:eastAsia="Times New Roman" w:hAnsi="Arial" w:cs="Arial"/>
                <w:b/>
                <w:bCs/>
                <w:sz w:val="24"/>
                <w:szCs w:val="24"/>
                <w:highlight w:val="yellow"/>
                <w:u w:val="single"/>
              </w:rPr>
              <w:t xml:space="preserve">Vendors responding to this notice must show they can complete every task in the Preliminary Statement of Work within the period of performance listed in the ITEM INFORMATION below.  This procurement is </w:t>
            </w:r>
            <w:r w:rsidRPr="00694EC0">
              <w:rPr>
                <w:rFonts w:ascii="Arial" w:eastAsia="Times New Roman" w:hAnsi="Arial" w:cs="Arial"/>
                <w:b/>
                <w:bCs/>
                <w:sz w:val="24"/>
                <w:szCs w:val="24"/>
                <w:highlight w:val="yellow"/>
                <w:u w:val="single"/>
              </w:rPr>
              <w:t>time-sensitive</w:t>
            </w:r>
            <w:r w:rsidRPr="00694EC0">
              <w:rPr>
                <w:rFonts w:ascii="Arial" w:eastAsia="Times New Roman" w:hAnsi="Arial" w:cs="Arial"/>
                <w:b/>
                <w:bCs/>
                <w:sz w:val="24"/>
                <w:szCs w:val="24"/>
                <w:highlight w:val="yellow"/>
                <w:u w:val="single"/>
              </w:rPr>
              <w:t>.</w:t>
            </w:r>
          </w:p>
        </w:tc>
      </w:tr>
      <w:tr>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highlight w:val="yellow"/>
              </w:rPr>
            </w:pPr>
            <w:r w:rsidRPr="00694EC0">
              <w:rPr>
                <w:rFonts w:ascii="Arial" w:eastAsia="Times New Roman" w:hAnsi="Arial" w:cs="Arial"/>
                <w:sz w:val="24"/>
                <w:szCs w:val="24"/>
                <w:highlight w:val="yellow"/>
              </w:rPr>
              <w:t>5.</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7630B7" w:rsidRPr="00694EC0" w:rsidP="00694EC0">
            <w:pPr>
              <w:spacing w:after="0" w:line="240" w:lineRule="auto"/>
              <w:textAlignment w:val="baseline"/>
              <w:rPr>
                <w:rFonts w:ascii="Arial" w:eastAsia="Times New Roman" w:hAnsi="Arial" w:cs="Arial"/>
                <w:sz w:val="24"/>
                <w:szCs w:val="24"/>
              </w:rPr>
            </w:pPr>
            <w:r w:rsidRPr="00694EC0">
              <w:rPr>
                <w:rFonts w:ascii="Arial" w:eastAsia="Times New Roman" w:hAnsi="Arial" w:cs="Arial"/>
                <w:sz w:val="24"/>
                <w:szCs w:val="24"/>
                <w:highlight w:val="yellow"/>
              </w:rPr>
              <w:t xml:space="preserve">Complete the </w:t>
            </w:r>
            <w:r w:rsidRPr="00694EC0">
              <w:rPr>
                <w:rFonts w:ascii="Arial" w:eastAsia="Times New Roman" w:hAnsi="Arial" w:cs="Arial"/>
                <w:b/>
                <w:bCs/>
                <w:sz w:val="24"/>
                <w:szCs w:val="24"/>
                <w:highlight w:val="yellow"/>
                <w:u w:val="single"/>
              </w:rPr>
              <w:t>yellow highlighted areas in the ITEM INFORMATION</w:t>
            </w:r>
            <w:r w:rsidRPr="00694EC0">
              <w:rPr>
                <w:rFonts w:ascii="Arial" w:eastAsia="Times New Roman" w:hAnsi="Arial" w:cs="Arial"/>
                <w:b/>
                <w:bCs/>
                <w:sz w:val="24"/>
                <w:szCs w:val="24"/>
                <w:highlight w:val="yellow"/>
              </w:rPr>
              <w:t xml:space="preserve"> </w:t>
            </w:r>
            <w:r w:rsidRPr="00694EC0">
              <w:rPr>
                <w:rFonts w:ascii="Arial" w:eastAsia="Times New Roman" w:hAnsi="Arial" w:cs="Arial"/>
                <w:sz w:val="24"/>
                <w:szCs w:val="24"/>
                <w:highlight w:val="yellow"/>
              </w:rPr>
              <w:t xml:space="preserve">directly below this section for </w:t>
            </w:r>
            <w:r w:rsidRPr="00694EC0">
              <w:rPr>
                <w:rFonts w:ascii="Arial" w:eastAsia="Times New Roman" w:hAnsi="Arial" w:cs="Arial"/>
                <w:b/>
                <w:bCs/>
                <w:sz w:val="24"/>
                <w:szCs w:val="24"/>
                <w:highlight w:val="yellow"/>
                <w:u w:val="single"/>
              </w:rPr>
              <w:t>market research pricing</w:t>
            </w:r>
            <w:r w:rsidRPr="00694EC0">
              <w:rPr>
                <w:rFonts w:ascii="Arial" w:eastAsia="Times New Roman" w:hAnsi="Arial" w:cs="Arial"/>
                <w:sz w:val="24"/>
                <w:szCs w:val="24"/>
                <w:highlight w:val="yellow"/>
              </w:rPr>
              <w:t xml:space="preserve"> for the services described in the </w:t>
            </w:r>
            <w:r w:rsidRPr="00694EC0">
              <w:rPr>
                <w:rFonts w:ascii="Arial" w:hAnsi="Arial" w:cs="Arial"/>
                <w:sz w:val="24"/>
                <w:szCs w:val="24"/>
                <w:highlight w:val="yellow"/>
              </w:rPr>
              <w:t>Preliminary Statement of Work</w:t>
            </w:r>
            <w:r w:rsidRPr="00694EC0">
              <w:rPr>
                <w:rFonts w:ascii="Arial" w:eastAsia="Times New Roman" w:hAnsi="Arial" w:cs="Arial"/>
                <w:sz w:val="24"/>
                <w:szCs w:val="24"/>
                <w:highlight w:val="yellow"/>
              </w:rPr>
              <w:t>.</w:t>
            </w:r>
          </w:p>
        </w:tc>
      </w:tr>
    </w:tbl>
    <w:p w:rsidR="00694EC0" w:rsidP="00694EC0">
      <w:pPr>
        <w:pStyle w:val="Heading2"/>
        <w:spacing w:before="0" w:after="0" w:line="240" w:lineRule="auto"/>
        <w:rPr>
          <w:rFonts w:ascii="Arial" w:hAnsi="Arial" w:cs="Arial"/>
          <w:sz w:val="24"/>
          <w:szCs w:val="24"/>
        </w:rPr>
      </w:pPr>
    </w:p>
    <w:p w:rsidR="003F185F" w:rsidRPr="00694EC0" w:rsidP="00694EC0">
      <w:pPr>
        <w:pStyle w:val="Heading2"/>
        <w:spacing w:before="0" w:after="0" w:line="240" w:lineRule="auto"/>
        <w:rPr>
          <w:rFonts w:ascii="Arial" w:hAnsi="Arial" w:cs="Arial"/>
          <w:sz w:val="24"/>
          <w:szCs w:val="24"/>
        </w:rPr>
      </w:pPr>
      <w:r w:rsidRPr="00694EC0">
        <w:rPr>
          <w:rFonts w:ascii="Arial" w:hAnsi="Arial" w:cs="Arial"/>
          <w:sz w:val="24"/>
          <w:szCs w:val="24"/>
        </w:rPr>
        <w:t>PRICE/COST SCHEDULE</w:t>
      </w:r>
    </w:p>
    <w:p w:rsidR="003F185F" w:rsidP="00694EC0">
      <w:pPr>
        <w:pStyle w:val="Heading3"/>
        <w:spacing w:before="0" w:after="0" w:line="240" w:lineRule="auto"/>
        <w:rPr>
          <w:rFonts w:ascii="Arial" w:hAnsi="Arial" w:cs="Arial"/>
          <w:sz w:val="24"/>
          <w:szCs w:val="24"/>
        </w:rPr>
      </w:pPr>
      <w:r w:rsidRPr="00694EC0">
        <w:rPr>
          <w:rFonts w:ascii="Arial" w:hAnsi="Arial" w:cs="Arial"/>
          <w:sz w:val="24"/>
          <w:szCs w:val="24"/>
        </w:rPr>
        <w:t>ITEM INFORMATION</w:t>
      </w:r>
    </w:p>
    <w:p w:rsidR="00694EC0" w:rsidRPr="00694EC0" w:rsidP="00694EC0"/>
    <w:tbl>
      <w:tblPr>
        <w:tblStyle w:val="LightListAccent1"/>
        <w:tblW w:w="0" w:type="auto"/>
        <w:tblInd w:w="-118" w:type="dxa"/>
        <w:tblLook w:val="04A0"/>
      </w:tblPr>
      <w:tblGrid>
        <w:gridCol w:w="1271"/>
        <w:gridCol w:w="3764"/>
        <w:gridCol w:w="2046"/>
        <w:gridCol w:w="1116"/>
        <w:gridCol w:w="857"/>
        <w:gridCol w:w="404"/>
      </w:tblGrid>
      <w:tr w:rsidTr="003F185F">
        <w:tblPrEx>
          <w:tblW w:w="0" w:type="auto"/>
          <w:tblInd w:w="-118" w:type="dxa"/>
          <w:tblLook w:val="04A0"/>
        </w:tblPrEx>
        <w:tc>
          <w:tcPr>
            <w:tcW w:w="1118" w:type="dxa"/>
            <w:tcBorders>
              <w:top w:val="single" w:sz="8" w:space="0" w:color="156082" w:themeColor="accent1"/>
              <w:left w:val="single" w:sz="8" w:space="0" w:color="156082" w:themeColor="accent1"/>
              <w:bottom w:val="nil"/>
              <w:right w:val="nil"/>
            </w:tcBorders>
            <w:vAlign w:val="bottom"/>
            <w:hideMark/>
          </w:tcPr>
          <w:p w:rsidR="003F185F" w:rsidRPr="00694EC0" w:rsidP="00694EC0">
            <w:pPr>
              <w:spacing w:before="0" w:beforeAutospacing="0" w:after="0" w:afterAutospacing="0" w:line="240" w:lineRule="auto"/>
              <w:rPr>
                <w:rFonts w:ascii="Arial" w:hAnsi="Arial" w:cs="Arial"/>
                <w:sz w:val="24"/>
                <w:szCs w:val="24"/>
              </w:rPr>
            </w:pPr>
            <w:r w:rsidRPr="00694EC0">
              <w:rPr>
                <w:rFonts w:ascii="Arial" w:hAnsi="Arial" w:cs="Arial"/>
                <w:sz w:val="24"/>
                <w:szCs w:val="24"/>
              </w:rPr>
              <w:t>ITEM NUMBER</w:t>
            </w:r>
          </w:p>
        </w:tc>
        <w:tc>
          <w:tcPr>
            <w:tcW w:w="2675" w:type="dxa"/>
            <w:tcBorders>
              <w:top w:val="single" w:sz="8" w:space="0" w:color="156082" w:themeColor="accent1"/>
              <w:left w:val="nil"/>
              <w:bottom w:val="nil"/>
              <w:right w:val="nil"/>
            </w:tcBorders>
            <w:vAlign w:val="bottom"/>
            <w:hideMark/>
          </w:tcPr>
          <w:p w:rsidR="003F185F" w:rsidRPr="00694EC0" w:rsidP="00694EC0">
            <w:pPr>
              <w:spacing w:before="0" w:beforeAutospacing="0" w:after="0" w:afterAutospacing="0" w:line="240" w:lineRule="auto"/>
              <w:rPr>
                <w:rFonts w:ascii="Arial" w:hAnsi="Arial" w:cs="Arial"/>
                <w:sz w:val="24"/>
                <w:szCs w:val="24"/>
              </w:rPr>
            </w:pPr>
            <w:r w:rsidRPr="00694EC0">
              <w:rPr>
                <w:rFonts w:ascii="Arial" w:hAnsi="Arial" w:cs="Arial"/>
                <w:sz w:val="24"/>
                <w:szCs w:val="24"/>
              </w:rPr>
              <w:t>DESCRIPTION OF SUPPLIES/SERVICES</w:t>
            </w:r>
          </w:p>
        </w:tc>
        <w:tc>
          <w:tcPr>
            <w:tcW w:w="1488" w:type="dxa"/>
            <w:tcBorders>
              <w:top w:val="single" w:sz="8" w:space="0" w:color="156082" w:themeColor="accent1"/>
              <w:left w:val="nil"/>
              <w:bottom w:val="nil"/>
              <w:right w:val="nil"/>
            </w:tcBorders>
            <w:vAlign w:val="bottom"/>
            <w:hideMark/>
          </w:tcPr>
          <w:p w:rsidR="003F185F" w:rsidRPr="00694EC0" w:rsidP="00694EC0">
            <w:pPr>
              <w:spacing w:before="0" w:beforeAutospacing="0" w:after="0" w:afterAutospacing="0" w:line="240" w:lineRule="auto"/>
              <w:jc w:val="right"/>
              <w:rPr>
                <w:rFonts w:ascii="Arial" w:hAnsi="Arial" w:cs="Arial"/>
                <w:sz w:val="24"/>
                <w:szCs w:val="24"/>
              </w:rPr>
            </w:pPr>
            <w:r w:rsidRPr="00694EC0">
              <w:rPr>
                <w:rFonts w:ascii="Arial" w:hAnsi="Arial" w:cs="Arial"/>
                <w:sz w:val="24"/>
                <w:szCs w:val="24"/>
              </w:rPr>
              <w:t>QUANTITY</w:t>
            </w:r>
          </w:p>
        </w:tc>
        <w:tc>
          <w:tcPr>
            <w:tcW w:w="831" w:type="dxa"/>
            <w:tcBorders>
              <w:top w:val="single" w:sz="8" w:space="0" w:color="156082" w:themeColor="accent1"/>
              <w:left w:val="nil"/>
              <w:bottom w:val="nil"/>
              <w:right w:val="nil"/>
            </w:tcBorders>
            <w:vAlign w:val="bottom"/>
            <w:hideMark/>
          </w:tcPr>
          <w:p w:rsidR="003F185F" w:rsidRPr="00694EC0" w:rsidP="00694EC0">
            <w:pPr>
              <w:spacing w:before="0" w:beforeAutospacing="0" w:after="0" w:afterAutospacing="0" w:line="240" w:lineRule="auto"/>
              <w:jc w:val="right"/>
              <w:rPr>
                <w:rFonts w:ascii="Arial" w:hAnsi="Arial" w:cs="Arial"/>
                <w:sz w:val="24"/>
                <w:szCs w:val="24"/>
              </w:rPr>
            </w:pPr>
            <w:r w:rsidRPr="00694EC0">
              <w:rPr>
                <w:rFonts w:ascii="Arial" w:hAnsi="Arial" w:cs="Arial"/>
                <w:sz w:val="24"/>
                <w:szCs w:val="24"/>
              </w:rPr>
              <w:t>UNIT</w:t>
            </w:r>
          </w:p>
        </w:tc>
        <w:tc>
          <w:tcPr>
            <w:tcW w:w="1308" w:type="dxa"/>
            <w:tcBorders>
              <w:top w:val="single" w:sz="8" w:space="0" w:color="156082" w:themeColor="accent1"/>
              <w:left w:val="nil"/>
              <w:bottom w:val="nil"/>
              <w:right w:val="nil"/>
            </w:tcBorders>
            <w:vAlign w:val="bottom"/>
          </w:tcPr>
          <w:p w:rsidR="003F185F" w:rsidRPr="00694EC0" w:rsidP="00694EC0">
            <w:pPr>
              <w:spacing w:before="0" w:beforeAutospacing="0" w:after="0" w:afterAutospacing="0" w:line="240" w:lineRule="auto"/>
              <w:jc w:val="right"/>
              <w:rPr>
                <w:rFonts w:ascii="Arial" w:hAnsi="Arial" w:cs="Arial"/>
                <w:sz w:val="24"/>
                <w:szCs w:val="24"/>
              </w:rPr>
            </w:pPr>
          </w:p>
        </w:tc>
        <w:tc>
          <w:tcPr>
            <w:tcW w:w="2038" w:type="dxa"/>
            <w:tcBorders>
              <w:top w:val="single" w:sz="8" w:space="0" w:color="156082" w:themeColor="accent1"/>
              <w:left w:val="nil"/>
              <w:bottom w:val="nil"/>
              <w:right w:val="single" w:sz="8" w:space="0" w:color="156082" w:themeColor="accent1"/>
            </w:tcBorders>
            <w:vAlign w:val="bottom"/>
          </w:tcPr>
          <w:p w:rsidR="003F185F" w:rsidRPr="00694EC0" w:rsidP="00694EC0">
            <w:pPr>
              <w:spacing w:before="0" w:beforeAutospacing="0" w:after="0" w:afterAutospacing="0" w:line="240" w:lineRule="auto"/>
              <w:jc w:val="right"/>
              <w:rPr>
                <w:rFonts w:ascii="Arial" w:hAnsi="Arial" w:cs="Arial"/>
                <w:sz w:val="24"/>
                <w:szCs w:val="24"/>
              </w:rPr>
            </w:pPr>
          </w:p>
        </w:tc>
      </w:tr>
      <w:tr w:rsidTr="003F185F">
        <w:tblPrEx>
          <w:tblW w:w="0" w:type="auto"/>
          <w:tblInd w:w="-118" w:type="dxa"/>
          <w:tblLook w:val="04A0"/>
        </w:tblPrEx>
        <w:tc>
          <w:tcPr>
            <w:tcW w:w="1118" w:type="dxa"/>
            <w:tcBorders>
              <w:top w:val="nil"/>
              <w:bottom w:val="nil"/>
              <w:right w:val="nil"/>
            </w:tcBorders>
            <w:hideMark/>
          </w:tcPr>
          <w:p w:rsidR="003F185F" w:rsidRPr="00694EC0" w:rsidP="00694EC0">
            <w:pPr>
              <w:spacing w:after="0" w:line="240" w:lineRule="auto"/>
              <w:rPr>
                <w:rFonts w:ascii="Arial" w:hAnsi="Arial" w:cs="Arial"/>
                <w:sz w:val="24"/>
                <w:szCs w:val="24"/>
              </w:rPr>
            </w:pPr>
            <w:r w:rsidRPr="00694EC0">
              <w:rPr>
                <w:rFonts w:ascii="Arial" w:hAnsi="Arial" w:cs="Arial"/>
                <w:sz w:val="24"/>
                <w:szCs w:val="24"/>
              </w:rPr>
              <w:t>0001</w:t>
            </w:r>
          </w:p>
        </w:tc>
        <w:tc>
          <w:tcPr>
            <w:tcW w:w="2675" w:type="dxa"/>
            <w:tcBorders>
              <w:top w:val="nil"/>
              <w:left w:val="nil"/>
              <w:bottom w:val="nil"/>
              <w:right w:val="nil"/>
            </w:tcBorders>
            <w:hideMark/>
          </w:tcPr>
          <w:p w:rsidR="003F185F" w:rsidRPr="00694EC0" w:rsidP="00694EC0">
            <w:pPr>
              <w:spacing w:after="0" w:line="240" w:lineRule="auto"/>
              <w:rPr>
                <w:rFonts w:ascii="Arial" w:hAnsi="Arial" w:cs="Arial"/>
                <w:sz w:val="24"/>
                <w:szCs w:val="24"/>
              </w:rPr>
            </w:pPr>
          </w:p>
        </w:tc>
        <w:tc>
          <w:tcPr>
            <w:tcW w:w="1488"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8.00</w:t>
            </w:r>
          </w:p>
        </w:tc>
        <w:tc>
          <w:tcPr>
            <w:tcW w:w="831"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EA</w:t>
            </w:r>
          </w:p>
        </w:tc>
        <w:tc>
          <w:tcPr>
            <w:tcW w:w="1308" w:type="dxa"/>
            <w:tcBorders>
              <w:top w:val="nil"/>
              <w:left w:val="nil"/>
              <w:bottom w:val="nil"/>
              <w:right w:val="nil"/>
            </w:tcBorders>
          </w:tcPr>
          <w:p w:rsidR="003F185F" w:rsidRPr="00694EC0" w:rsidP="00694EC0">
            <w:pPr>
              <w:spacing w:after="0" w:line="240" w:lineRule="auto"/>
              <w:jc w:val="right"/>
              <w:rPr>
                <w:rFonts w:ascii="Arial" w:hAnsi="Arial" w:cs="Arial"/>
                <w:sz w:val="24"/>
                <w:szCs w:val="24"/>
              </w:rPr>
            </w:pPr>
          </w:p>
        </w:tc>
        <w:tc>
          <w:tcPr>
            <w:tcW w:w="2038" w:type="dxa"/>
            <w:tcBorders>
              <w:top w:val="nil"/>
              <w:left w:val="nil"/>
              <w:bottom w:val="nil"/>
            </w:tcBorders>
          </w:tcPr>
          <w:p w:rsidR="003F185F" w:rsidRPr="00694EC0" w:rsidP="00694EC0">
            <w:pPr>
              <w:spacing w:after="0" w:line="240" w:lineRule="auto"/>
              <w:jc w:val="right"/>
              <w:rPr>
                <w:rFonts w:ascii="Arial" w:hAnsi="Arial" w:cs="Arial"/>
                <w:sz w:val="24"/>
                <w:szCs w:val="24"/>
              </w:rPr>
            </w:pPr>
          </w:p>
        </w:tc>
      </w:tr>
      <w:tr w:rsidTr="00D0117F">
        <w:tblPrEx>
          <w:tblW w:w="0" w:type="auto"/>
          <w:tblInd w:w="-118" w:type="dxa"/>
          <w:tblLook w:val="04A0"/>
        </w:tblPrEx>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c>
          <w:tcPr>
            <w:tcW w:w="0" w:type="auto"/>
            <w:gridSpan w:val="4"/>
            <w:tcBorders>
              <w:top w:val="nil"/>
              <w:bottom w:val="single" w:sz="0" w:space="0" w:color="4F81BD"/>
            </w:tcBorders>
          </w:tcPr>
          <w:p w:rsidR="003F185F" w:rsidRPr="00694EC0" w:rsidP="00694EC0">
            <w:pPr>
              <w:spacing w:after="0" w:line="240" w:lineRule="auto"/>
              <w:rPr>
                <w:rFonts w:ascii="Arial" w:hAnsi="Arial" w:cs="Arial"/>
                <w:sz w:val="24"/>
                <w:szCs w:val="24"/>
              </w:rPr>
            </w:pPr>
            <w:r w:rsidRPr="00694EC0">
              <w:rPr>
                <w:rFonts w:ascii="Arial" w:hAnsi="Arial" w:cs="Arial"/>
                <w:sz w:val="24"/>
                <w:szCs w:val="24"/>
              </w:rPr>
              <w:t xml:space="preserve">Requesting a Reagent Rental Lease agreement for eight (8) new </w:t>
            </w:r>
            <w:r w:rsidRPr="00694EC0">
              <w:rPr>
                <w:rFonts w:ascii="Arial" w:hAnsi="Arial" w:cs="Arial"/>
                <w:sz w:val="24"/>
                <w:szCs w:val="24"/>
              </w:rPr>
              <w:t>Werfen</w:t>
            </w:r>
            <w:r w:rsidRPr="00694EC0">
              <w:rPr>
                <w:rFonts w:ascii="Arial" w:hAnsi="Arial" w:cs="Arial"/>
                <w:sz w:val="24"/>
                <w:szCs w:val="24"/>
              </w:rPr>
              <w:t xml:space="preserve"> Gem Premier 7000 blood gas analyzers (part # 00000015279) (1-Anesthesia-OR Lab, 2-Core Lab, 5-Respiratory).  Base + four 1-year option years.  Base Period: 11/1/26-10/31/27.  Possible parameters include:  pH, pCO2, pO2, Hct, Cl-, Ca++, K+, Na+, Glucose, Lactate, </w:t>
            </w:r>
            <w:r w:rsidRPr="00694EC0">
              <w:rPr>
                <w:rFonts w:ascii="Arial" w:hAnsi="Arial" w:cs="Arial"/>
                <w:sz w:val="24"/>
                <w:szCs w:val="24"/>
              </w:rPr>
              <w:t>tHb</w:t>
            </w:r>
            <w:r w:rsidRPr="00694EC0">
              <w:rPr>
                <w:rFonts w:ascii="Arial" w:hAnsi="Arial" w:cs="Arial"/>
                <w:sz w:val="24"/>
                <w:szCs w:val="24"/>
              </w:rPr>
              <w:t xml:space="preserve">, sO2, O2Hb, </w:t>
            </w:r>
            <w:r w:rsidRPr="00694EC0">
              <w:rPr>
                <w:rFonts w:ascii="Arial" w:hAnsi="Arial" w:cs="Arial"/>
                <w:sz w:val="24"/>
                <w:szCs w:val="24"/>
              </w:rPr>
              <w:t>COHb</w:t>
            </w:r>
            <w:r w:rsidRPr="00694EC0">
              <w:rPr>
                <w:rFonts w:ascii="Arial" w:hAnsi="Arial" w:cs="Arial"/>
                <w:sz w:val="24"/>
                <w:szCs w:val="24"/>
              </w:rPr>
              <w:t xml:space="preserve">, </w:t>
            </w:r>
            <w:r w:rsidRPr="00694EC0">
              <w:rPr>
                <w:rFonts w:ascii="Arial" w:hAnsi="Arial" w:cs="Arial"/>
                <w:sz w:val="24"/>
                <w:szCs w:val="24"/>
              </w:rPr>
              <w:t>MetHb</w:t>
            </w:r>
            <w:r w:rsidRPr="00694EC0">
              <w:rPr>
                <w:rFonts w:ascii="Arial" w:hAnsi="Arial" w:cs="Arial"/>
                <w:sz w:val="24"/>
                <w:szCs w:val="24"/>
              </w:rPr>
              <w:t xml:space="preserve">.  Items included: Instruments: 8-GEM PREMIER 7000 analyzers (Part# 00000015279) 8-GEM 7000 Start Up Kits (Part# 00000034346) Data Management: 1-Synapse Link (Part# 00025000735); 1-GEMWEB PLUS 500 System (Part# 00011100345) IT Solutions Support: 1-GEMweb Plus SW support 5 years-Silver (Part# 00099011640) Warranty/Service: 8-Analyzers-GEM Premier 7000, 1-year warranty Post-Warranty Service Pricing: 8-Analyzers, GEM Premier 7000, includes 4-years Thorough installation on premises, in-service and user training, technical support according to the terms and conditions, software upgrades and licensing renewals. </w:t>
            </w:r>
            <w:r w:rsidRPr="00694EC0">
              <w:rPr>
                <w:rFonts w:ascii="Arial" w:hAnsi="Arial" w:cs="Arial"/>
                <w:sz w:val="24"/>
                <w:szCs w:val="24"/>
              </w:rPr>
              <w:br/>
              <w:t>LOCAL STOCK NUMBER: GEM Premier 7000</w:t>
            </w:r>
          </w:p>
        </w:tc>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r>
      <w:tr w:rsidTr="003F185F">
        <w:tblPrEx>
          <w:tblW w:w="0" w:type="auto"/>
          <w:tblInd w:w="-118" w:type="dxa"/>
          <w:tblLook w:val="04A0"/>
        </w:tblPrEx>
        <w:tc>
          <w:tcPr>
            <w:tcW w:w="1118" w:type="dxa"/>
            <w:tcBorders>
              <w:top w:val="nil"/>
              <w:bottom w:val="nil"/>
              <w:right w:val="nil"/>
            </w:tcBorders>
            <w:hideMark/>
          </w:tcPr>
          <w:p w:rsidR="003F185F" w:rsidRPr="00694EC0" w:rsidP="00694EC0">
            <w:pPr>
              <w:spacing w:after="0" w:line="240" w:lineRule="auto"/>
              <w:rPr>
                <w:rFonts w:ascii="Arial" w:hAnsi="Arial" w:cs="Arial"/>
                <w:sz w:val="24"/>
                <w:szCs w:val="24"/>
              </w:rPr>
            </w:pPr>
            <w:r w:rsidRPr="00694EC0">
              <w:rPr>
                <w:rFonts w:ascii="Arial" w:hAnsi="Arial" w:cs="Arial"/>
                <w:sz w:val="24"/>
                <w:szCs w:val="24"/>
              </w:rPr>
              <w:t>0002</w:t>
            </w:r>
          </w:p>
        </w:tc>
        <w:tc>
          <w:tcPr>
            <w:tcW w:w="2675" w:type="dxa"/>
            <w:tcBorders>
              <w:top w:val="nil"/>
              <w:left w:val="nil"/>
              <w:bottom w:val="nil"/>
              <w:right w:val="nil"/>
            </w:tcBorders>
            <w:hideMark/>
          </w:tcPr>
          <w:p w:rsidR="003F185F" w:rsidRPr="00694EC0" w:rsidP="00694EC0">
            <w:pPr>
              <w:spacing w:after="0" w:line="240" w:lineRule="auto"/>
              <w:rPr>
                <w:rFonts w:ascii="Arial" w:hAnsi="Arial" w:cs="Arial"/>
                <w:sz w:val="24"/>
                <w:szCs w:val="24"/>
              </w:rPr>
            </w:pPr>
          </w:p>
        </w:tc>
        <w:tc>
          <w:tcPr>
            <w:tcW w:w="1488"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20.00</w:t>
            </w:r>
          </w:p>
        </w:tc>
        <w:tc>
          <w:tcPr>
            <w:tcW w:w="831"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EA</w:t>
            </w:r>
          </w:p>
        </w:tc>
        <w:tc>
          <w:tcPr>
            <w:tcW w:w="1308" w:type="dxa"/>
            <w:tcBorders>
              <w:top w:val="nil"/>
              <w:left w:val="nil"/>
              <w:bottom w:val="nil"/>
              <w:right w:val="nil"/>
            </w:tcBorders>
          </w:tcPr>
          <w:p w:rsidR="003F185F" w:rsidRPr="00694EC0" w:rsidP="00694EC0">
            <w:pPr>
              <w:spacing w:after="0" w:line="240" w:lineRule="auto"/>
              <w:jc w:val="right"/>
              <w:rPr>
                <w:rFonts w:ascii="Arial" w:hAnsi="Arial" w:cs="Arial"/>
                <w:sz w:val="24"/>
                <w:szCs w:val="24"/>
              </w:rPr>
            </w:pPr>
          </w:p>
        </w:tc>
        <w:tc>
          <w:tcPr>
            <w:tcW w:w="2038" w:type="dxa"/>
            <w:tcBorders>
              <w:top w:val="nil"/>
              <w:left w:val="nil"/>
              <w:bottom w:val="nil"/>
            </w:tcBorders>
          </w:tcPr>
          <w:p w:rsidR="003F185F" w:rsidRPr="00694EC0" w:rsidP="00694EC0">
            <w:pPr>
              <w:spacing w:after="0" w:line="240" w:lineRule="auto"/>
              <w:jc w:val="right"/>
              <w:rPr>
                <w:rFonts w:ascii="Arial" w:hAnsi="Arial" w:cs="Arial"/>
                <w:sz w:val="24"/>
                <w:szCs w:val="24"/>
              </w:rPr>
            </w:pPr>
          </w:p>
        </w:tc>
      </w:tr>
      <w:tr w:rsidTr="00D0117F">
        <w:tblPrEx>
          <w:tblW w:w="0" w:type="auto"/>
          <w:tblInd w:w="-118" w:type="dxa"/>
          <w:tblLook w:val="04A0"/>
        </w:tblPrEx>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c>
          <w:tcPr>
            <w:tcW w:w="0" w:type="auto"/>
            <w:gridSpan w:val="4"/>
            <w:tcBorders>
              <w:top w:val="nil"/>
              <w:bottom w:val="single" w:sz="0" w:space="0" w:color="4F81BD"/>
            </w:tcBorders>
          </w:tcPr>
          <w:p w:rsidR="003F185F" w:rsidRPr="00694EC0" w:rsidP="00694EC0">
            <w:pPr>
              <w:spacing w:after="0" w:line="240" w:lineRule="auto"/>
              <w:rPr>
                <w:rFonts w:ascii="Arial" w:hAnsi="Arial" w:cs="Arial"/>
                <w:sz w:val="24"/>
                <w:szCs w:val="24"/>
              </w:rPr>
            </w:pPr>
            <w:r w:rsidRPr="00694EC0">
              <w:rPr>
                <w:rFonts w:ascii="Arial" w:hAnsi="Arial" w:cs="Arial"/>
                <w:sz w:val="24"/>
                <w:szCs w:val="24"/>
              </w:rPr>
              <w:t xml:space="preserve">GEM PAK 75-test count (7K BG/ISE/GL/COOX; 31 day) </w:t>
            </w:r>
            <w:r w:rsidRPr="00694EC0">
              <w:rPr>
                <w:rFonts w:ascii="Arial" w:hAnsi="Arial" w:cs="Arial"/>
                <w:sz w:val="24"/>
                <w:szCs w:val="24"/>
              </w:rPr>
              <w:br/>
              <w:t>LOCAL STOCK NUMBER: 00077407510</w:t>
            </w:r>
          </w:p>
        </w:tc>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r>
      <w:tr w:rsidTr="003F185F">
        <w:tblPrEx>
          <w:tblW w:w="0" w:type="auto"/>
          <w:tblInd w:w="-118" w:type="dxa"/>
          <w:tblLook w:val="04A0"/>
        </w:tblPrEx>
        <w:tc>
          <w:tcPr>
            <w:tcW w:w="1118" w:type="dxa"/>
            <w:tcBorders>
              <w:top w:val="nil"/>
              <w:bottom w:val="nil"/>
              <w:right w:val="nil"/>
            </w:tcBorders>
            <w:hideMark/>
          </w:tcPr>
          <w:p w:rsidR="003F185F" w:rsidRPr="00694EC0" w:rsidP="00694EC0">
            <w:pPr>
              <w:spacing w:after="0" w:line="240" w:lineRule="auto"/>
              <w:rPr>
                <w:rFonts w:ascii="Arial" w:hAnsi="Arial" w:cs="Arial"/>
                <w:sz w:val="24"/>
                <w:szCs w:val="24"/>
              </w:rPr>
            </w:pPr>
            <w:r w:rsidRPr="00694EC0">
              <w:rPr>
                <w:rFonts w:ascii="Arial" w:hAnsi="Arial" w:cs="Arial"/>
                <w:sz w:val="24"/>
                <w:szCs w:val="24"/>
              </w:rPr>
              <w:t>0003</w:t>
            </w:r>
          </w:p>
        </w:tc>
        <w:tc>
          <w:tcPr>
            <w:tcW w:w="2675" w:type="dxa"/>
            <w:tcBorders>
              <w:top w:val="nil"/>
              <w:left w:val="nil"/>
              <w:bottom w:val="nil"/>
              <w:right w:val="nil"/>
            </w:tcBorders>
            <w:hideMark/>
          </w:tcPr>
          <w:p w:rsidR="003F185F" w:rsidRPr="00694EC0" w:rsidP="00694EC0">
            <w:pPr>
              <w:spacing w:after="0" w:line="240" w:lineRule="auto"/>
              <w:rPr>
                <w:rFonts w:ascii="Arial" w:hAnsi="Arial" w:cs="Arial"/>
                <w:sz w:val="24"/>
                <w:szCs w:val="24"/>
              </w:rPr>
            </w:pPr>
          </w:p>
        </w:tc>
        <w:tc>
          <w:tcPr>
            <w:tcW w:w="1488"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104.00</w:t>
            </w:r>
          </w:p>
        </w:tc>
        <w:tc>
          <w:tcPr>
            <w:tcW w:w="831"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EA</w:t>
            </w:r>
          </w:p>
        </w:tc>
        <w:tc>
          <w:tcPr>
            <w:tcW w:w="1308" w:type="dxa"/>
            <w:tcBorders>
              <w:top w:val="nil"/>
              <w:left w:val="nil"/>
              <w:bottom w:val="nil"/>
              <w:right w:val="nil"/>
            </w:tcBorders>
          </w:tcPr>
          <w:p w:rsidR="003F185F" w:rsidRPr="00694EC0" w:rsidP="00694EC0">
            <w:pPr>
              <w:spacing w:after="0" w:line="240" w:lineRule="auto"/>
              <w:jc w:val="right"/>
              <w:rPr>
                <w:rFonts w:ascii="Arial" w:hAnsi="Arial" w:cs="Arial"/>
                <w:sz w:val="24"/>
                <w:szCs w:val="24"/>
              </w:rPr>
            </w:pPr>
          </w:p>
        </w:tc>
        <w:tc>
          <w:tcPr>
            <w:tcW w:w="2038" w:type="dxa"/>
            <w:tcBorders>
              <w:top w:val="nil"/>
              <w:left w:val="nil"/>
              <w:bottom w:val="nil"/>
            </w:tcBorders>
          </w:tcPr>
          <w:p w:rsidR="003F185F" w:rsidRPr="00694EC0" w:rsidP="00694EC0">
            <w:pPr>
              <w:spacing w:after="0" w:line="240" w:lineRule="auto"/>
              <w:jc w:val="right"/>
              <w:rPr>
                <w:rFonts w:ascii="Arial" w:hAnsi="Arial" w:cs="Arial"/>
                <w:sz w:val="24"/>
                <w:szCs w:val="24"/>
              </w:rPr>
            </w:pPr>
          </w:p>
        </w:tc>
      </w:tr>
      <w:tr w:rsidTr="00D0117F">
        <w:tblPrEx>
          <w:tblW w:w="0" w:type="auto"/>
          <w:tblInd w:w="-118" w:type="dxa"/>
          <w:tblLook w:val="04A0"/>
        </w:tblPrEx>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c>
          <w:tcPr>
            <w:tcW w:w="0" w:type="auto"/>
            <w:gridSpan w:val="4"/>
            <w:tcBorders>
              <w:top w:val="nil"/>
              <w:bottom w:val="single" w:sz="0" w:space="0" w:color="4F81BD"/>
            </w:tcBorders>
          </w:tcPr>
          <w:p w:rsidR="003F185F" w:rsidRPr="00694EC0" w:rsidP="00694EC0">
            <w:pPr>
              <w:spacing w:after="0" w:line="240" w:lineRule="auto"/>
              <w:rPr>
                <w:rFonts w:ascii="Arial" w:hAnsi="Arial" w:cs="Arial"/>
                <w:sz w:val="24"/>
                <w:szCs w:val="24"/>
              </w:rPr>
            </w:pPr>
            <w:r w:rsidRPr="00694EC0">
              <w:rPr>
                <w:rFonts w:ascii="Arial" w:hAnsi="Arial" w:cs="Arial"/>
                <w:sz w:val="24"/>
                <w:szCs w:val="24"/>
              </w:rPr>
              <w:t xml:space="preserve">GEM PAK 150-test count (7K BG/ISE/GL/COOX; 31 day) </w:t>
            </w:r>
            <w:r w:rsidRPr="00694EC0">
              <w:rPr>
                <w:rFonts w:ascii="Arial" w:hAnsi="Arial" w:cs="Arial"/>
                <w:sz w:val="24"/>
                <w:szCs w:val="24"/>
              </w:rPr>
              <w:br/>
              <w:t>LOCAL STOCK NUMBER: 00077415010</w:t>
            </w:r>
          </w:p>
        </w:tc>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r>
      <w:tr w:rsidTr="003F185F">
        <w:tblPrEx>
          <w:tblW w:w="0" w:type="auto"/>
          <w:tblInd w:w="-118" w:type="dxa"/>
          <w:tblLook w:val="04A0"/>
        </w:tblPrEx>
        <w:tc>
          <w:tcPr>
            <w:tcW w:w="1118" w:type="dxa"/>
            <w:tcBorders>
              <w:top w:val="nil"/>
              <w:bottom w:val="nil"/>
              <w:right w:val="nil"/>
            </w:tcBorders>
            <w:hideMark/>
          </w:tcPr>
          <w:p w:rsidR="003F185F" w:rsidRPr="00694EC0" w:rsidP="00694EC0">
            <w:pPr>
              <w:spacing w:after="0" w:line="240" w:lineRule="auto"/>
              <w:rPr>
                <w:rFonts w:ascii="Arial" w:hAnsi="Arial" w:cs="Arial"/>
                <w:sz w:val="24"/>
                <w:szCs w:val="24"/>
              </w:rPr>
            </w:pPr>
            <w:r w:rsidRPr="00694EC0">
              <w:rPr>
                <w:rFonts w:ascii="Arial" w:hAnsi="Arial" w:cs="Arial"/>
                <w:sz w:val="24"/>
                <w:szCs w:val="24"/>
              </w:rPr>
              <w:t>0004</w:t>
            </w:r>
          </w:p>
        </w:tc>
        <w:tc>
          <w:tcPr>
            <w:tcW w:w="2675" w:type="dxa"/>
            <w:tcBorders>
              <w:top w:val="nil"/>
              <w:left w:val="nil"/>
              <w:bottom w:val="nil"/>
              <w:right w:val="nil"/>
            </w:tcBorders>
            <w:hideMark/>
          </w:tcPr>
          <w:p w:rsidR="003F185F" w:rsidRPr="00694EC0" w:rsidP="00694EC0">
            <w:pPr>
              <w:spacing w:after="0" w:line="240" w:lineRule="auto"/>
              <w:rPr>
                <w:rFonts w:ascii="Arial" w:hAnsi="Arial" w:cs="Arial"/>
                <w:sz w:val="24"/>
                <w:szCs w:val="24"/>
              </w:rPr>
            </w:pPr>
          </w:p>
        </w:tc>
        <w:tc>
          <w:tcPr>
            <w:tcW w:w="1488"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15.00</w:t>
            </w:r>
          </w:p>
        </w:tc>
        <w:tc>
          <w:tcPr>
            <w:tcW w:w="831"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EA</w:t>
            </w:r>
          </w:p>
        </w:tc>
        <w:tc>
          <w:tcPr>
            <w:tcW w:w="1308" w:type="dxa"/>
            <w:tcBorders>
              <w:top w:val="nil"/>
              <w:left w:val="nil"/>
              <w:bottom w:val="nil"/>
              <w:right w:val="nil"/>
            </w:tcBorders>
          </w:tcPr>
          <w:p w:rsidR="003F185F" w:rsidRPr="00694EC0" w:rsidP="00694EC0">
            <w:pPr>
              <w:spacing w:after="0" w:line="240" w:lineRule="auto"/>
              <w:jc w:val="right"/>
              <w:rPr>
                <w:rFonts w:ascii="Arial" w:hAnsi="Arial" w:cs="Arial"/>
                <w:sz w:val="24"/>
                <w:szCs w:val="24"/>
              </w:rPr>
            </w:pPr>
          </w:p>
        </w:tc>
        <w:tc>
          <w:tcPr>
            <w:tcW w:w="2038" w:type="dxa"/>
            <w:tcBorders>
              <w:top w:val="nil"/>
              <w:left w:val="nil"/>
              <w:bottom w:val="nil"/>
            </w:tcBorders>
          </w:tcPr>
          <w:p w:rsidR="003F185F" w:rsidRPr="00694EC0" w:rsidP="00694EC0">
            <w:pPr>
              <w:spacing w:after="0" w:line="240" w:lineRule="auto"/>
              <w:jc w:val="right"/>
              <w:rPr>
                <w:rFonts w:ascii="Arial" w:hAnsi="Arial" w:cs="Arial"/>
                <w:sz w:val="24"/>
                <w:szCs w:val="24"/>
              </w:rPr>
            </w:pPr>
          </w:p>
        </w:tc>
      </w:tr>
      <w:tr w:rsidTr="00D0117F">
        <w:tblPrEx>
          <w:tblW w:w="0" w:type="auto"/>
          <w:tblInd w:w="-118" w:type="dxa"/>
          <w:tblLook w:val="04A0"/>
        </w:tblPrEx>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c>
          <w:tcPr>
            <w:tcW w:w="0" w:type="auto"/>
            <w:gridSpan w:val="4"/>
            <w:tcBorders>
              <w:top w:val="nil"/>
              <w:bottom w:val="single" w:sz="0" w:space="0" w:color="4F81BD"/>
            </w:tcBorders>
          </w:tcPr>
          <w:p w:rsidR="003F185F" w:rsidRPr="00694EC0" w:rsidP="00694EC0">
            <w:pPr>
              <w:spacing w:after="0" w:line="240" w:lineRule="auto"/>
              <w:rPr>
                <w:rFonts w:ascii="Arial" w:hAnsi="Arial" w:cs="Arial"/>
                <w:sz w:val="24"/>
                <w:szCs w:val="24"/>
              </w:rPr>
            </w:pPr>
            <w:r w:rsidRPr="00694EC0">
              <w:rPr>
                <w:rFonts w:ascii="Arial" w:hAnsi="Arial" w:cs="Arial"/>
                <w:sz w:val="24"/>
                <w:szCs w:val="24"/>
              </w:rPr>
              <w:t xml:space="preserve">IL PVP (Performance Verification Product) </w:t>
            </w:r>
            <w:r w:rsidRPr="00694EC0">
              <w:rPr>
                <w:rFonts w:ascii="Arial" w:hAnsi="Arial" w:cs="Arial"/>
                <w:sz w:val="24"/>
                <w:szCs w:val="24"/>
              </w:rPr>
              <w:br/>
              <w:t>LOCAL STOCK NUMBER: 00024001515</w:t>
            </w:r>
          </w:p>
        </w:tc>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r>
      <w:tr w:rsidTr="003F185F">
        <w:tblPrEx>
          <w:tblW w:w="0" w:type="auto"/>
          <w:tblInd w:w="-118" w:type="dxa"/>
          <w:tblLook w:val="04A0"/>
        </w:tblPrEx>
        <w:tc>
          <w:tcPr>
            <w:tcW w:w="1118" w:type="dxa"/>
            <w:tcBorders>
              <w:top w:val="nil"/>
              <w:bottom w:val="nil"/>
              <w:right w:val="nil"/>
            </w:tcBorders>
            <w:hideMark/>
          </w:tcPr>
          <w:p w:rsidR="003F185F" w:rsidRPr="00694EC0" w:rsidP="00694EC0">
            <w:pPr>
              <w:spacing w:after="0" w:line="240" w:lineRule="auto"/>
              <w:rPr>
                <w:rFonts w:ascii="Arial" w:hAnsi="Arial" w:cs="Arial"/>
                <w:sz w:val="24"/>
                <w:szCs w:val="24"/>
              </w:rPr>
            </w:pPr>
            <w:r w:rsidRPr="00694EC0">
              <w:rPr>
                <w:rFonts w:ascii="Arial" w:hAnsi="Arial" w:cs="Arial"/>
                <w:sz w:val="24"/>
                <w:szCs w:val="24"/>
              </w:rPr>
              <w:t>0005</w:t>
            </w:r>
          </w:p>
        </w:tc>
        <w:tc>
          <w:tcPr>
            <w:tcW w:w="2675" w:type="dxa"/>
            <w:tcBorders>
              <w:top w:val="nil"/>
              <w:left w:val="nil"/>
              <w:bottom w:val="nil"/>
              <w:right w:val="nil"/>
            </w:tcBorders>
            <w:hideMark/>
          </w:tcPr>
          <w:p w:rsidR="003F185F" w:rsidRPr="00694EC0" w:rsidP="00694EC0">
            <w:pPr>
              <w:spacing w:after="0" w:line="240" w:lineRule="auto"/>
              <w:rPr>
                <w:rFonts w:ascii="Arial" w:hAnsi="Arial" w:cs="Arial"/>
                <w:sz w:val="24"/>
                <w:szCs w:val="24"/>
              </w:rPr>
            </w:pPr>
          </w:p>
        </w:tc>
        <w:tc>
          <w:tcPr>
            <w:tcW w:w="1488"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10.00</w:t>
            </w:r>
          </w:p>
        </w:tc>
        <w:tc>
          <w:tcPr>
            <w:tcW w:w="831" w:type="dxa"/>
            <w:tcBorders>
              <w:top w:val="nil"/>
              <w:left w:val="nil"/>
              <w:bottom w:val="nil"/>
              <w:right w:val="nil"/>
            </w:tcBorders>
            <w:hideMark/>
          </w:tcPr>
          <w:p w:rsidR="003F185F" w:rsidRPr="00694EC0" w:rsidP="00694EC0">
            <w:pPr>
              <w:spacing w:after="0" w:line="240" w:lineRule="auto"/>
              <w:jc w:val="right"/>
              <w:rPr>
                <w:rFonts w:ascii="Arial" w:hAnsi="Arial" w:cs="Arial"/>
                <w:sz w:val="24"/>
                <w:szCs w:val="24"/>
              </w:rPr>
            </w:pPr>
            <w:r w:rsidRPr="00694EC0">
              <w:rPr>
                <w:rFonts w:ascii="Arial" w:hAnsi="Arial" w:cs="Arial"/>
                <w:sz w:val="24"/>
                <w:szCs w:val="24"/>
              </w:rPr>
              <w:t>BX</w:t>
            </w:r>
          </w:p>
        </w:tc>
        <w:tc>
          <w:tcPr>
            <w:tcW w:w="1308" w:type="dxa"/>
            <w:tcBorders>
              <w:top w:val="nil"/>
              <w:left w:val="nil"/>
              <w:bottom w:val="nil"/>
              <w:right w:val="nil"/>
            </w:tcBorders>
          </w:tcPr>
          <w:p w:rsidR="003F185F" w:rsidRPr="00694EC0" w:rsidP="00694EC0">
            <w:pPr>
              <w:spacing w:after="0" w:line="240" w:lineRule="auto"/>
              <w:jc w:val="right"/>
              <w:rPr>
                <w:rFonts w:ascii="Arial" w:hAnsi="Arial" w:cs="Arial"/>
                <w:sz w:val="24"/>
                <w:szCs w:val="24"/>
              </w:rPr>
            </w:pPr>
          </w:p>
        </w:tc>
        <w:tc>
          <w:tcPr>
            <w:tcW w:w="2038" w:type="dxa"/>
            <w:tcBorders>
              <w:top w:val="nil"/>
              <w:left w:val="nil"/>
              <w:bottom w:val="nil"/>
            </w:tcBorders>
          </w:tcPr>
          <w:p w:rsidR="003F185F" w:rsidRPr="00694EC0" w:rsidP="00694EC0">
            <w:pPr>
              <w:spacing w:after="0" w:line="240" w:lineRule="auto"/>
              <w:jc w:val="right"/>
              <w:rPr>
                <w:rFonts w:ascii="Arial" w:hAnsi="Arial" w:cs="Arial"/>
                <w:sz w:val="24"/>
                <w:szCs w:val="24"/>
              </w:rPr>
            </w:pPr>
          </w:p>
        </w:tc>
      </w:tr>
      <w:tr w:rsidTr="00D0117F">
        <w:tblPrEx>
          <w:tblW w:w="0" w:type="auto"/>
          <w:tblInd w:w="-118" w:type="dxa"/>
          <w:tblLook w:val="04A0"/>
        </w:tblPrEx>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c>
          <w:tcPr>
            <w:tcW w:w="0" w:type="auto"/>
            <w:gridSpan w:val="4"/>
            <w:tcBorders>
              <w:top w:val="nil"/>
              <w:bottom w:val="single" w:sz="0" w:space="0" w:color="4F81BD"/>
            </w:tcBorders>
          </w:tcPr>
          <w:p w:rsidR="003F185F" w:rsidRPr="00694EC0" w:rsidP="00694EC0">
            <w:pPr>
              <w:spacing w:after="0" w:line="240" w:lineRule="auto"/>
              <w:rPr>
                <w:rFonts w:ascii="Arial" w:hAnsi="Arial" w:cs="Arial"/>
                <w:sz w:val="24"/>
                <w:szCs w:val="24"/>
              </w:rPr>
            </w:pPr>
            <w:r w:rsidRPr="00694EC0">
              <w:rPr>
                <w:rFonts w:ascii="Arial" w:hAnsi="Arial" w:cs="Arial"/>
                <w:sz w:val="24"/>
                <w:szCs w:val="24"/>
              </w:rPr>
              <w:t xml:space="preserve">Paper Printer 5/box GEM 5000/4000/3500) </w:t>
            </w:r>
            <w:r w:rsidRPr="00694EC0">
              <w:rPr>
                <w:rFonts w:ascii="Arial" w:hAnsi="Arial" w:cs="Arial"/>
                <w:sz w:val="24"/>
                <w:szCs w:val="24"/>
              </w:rPr>
              <w:br/>
              <w:t>LOCAL STOCK NUMBER: 00025000500</w:t>
            </w:r>
          </w:p>
        </w:tc>
        <w:tc>
          <w:tcPr>
            <w:tcW w:w="0" w:type="auto"/>
            <w:tcBorders>
              <w:top w:val="nil"/>
              <w:bottom w:val="single" w:sz="0" w:space="0" w:color="4F81BD"/>
            </w:tcBorders>
          </w:tcPr>
          <w:p w:rsidR="003F185F" w:rsidRPr="00694EC0" w:rsidP="00694EC0">
            <w:pPr>
              <w:spacing w:after="0" w:line="240" w:lineRule="auto"/>
              <w:rPr>
                <w:rFonts w:ascii="Arial" w:hAnsi="Arial" w:cs="Arial"/>
                <w:sz w:val="24"/>
                <w:szCs w:val="24"/>
              </w:rPr>
            </w:pPr>
          </w:p>
        </w:tc>
      </w:tr>
    </w:tbl>
    <w:p w:rsidR="00694EC0" w:rsidP="00694EC0">
      <w:pPr>
        <w:pStyle w:val="Heading3"/>
        <w:spacing w:before="0" w:after="0" w:line="240" w:lineRule="auto"/>
        <w:rPr>
          <w:rFonts w:ascii="Arial" w:hAnsi="Arial" w:cs="Arial"/>
          <w:sz w:val="24"/>
          <w:szCs w:val="24"/>
        </w:rPr>
      </w:pPr>
    </w:p>
    <w:p w:rsidR="007630B7" w:rsidP="00694EC0">
      <w:pPr>
        <w:pStyle w:val="Heading3"/>
        <w:spacing w:before="0" w:after="0" w:line="240" w:lineRule="auto"/>
        <w:rPr>
          <w:rFonts w:ascii="Arial" w:hAnsi="Arial" w:cs="Arial"/>
          <w:sz w:val="24"/>
          <w:szCs w:val="24"/>
        </w:rPr>
      </w:pPr>
      <w:r w:rsidRPr="00694EC0">
        <w:rPr>
          <w:rFonts w:ascii="Arial" w:hAnsi="Arial" w:cs="Arial"/>
          <w:sz w:val="24"/>
          <w:szCs w:val="24"/>
        </w:rPr>
        <w:t>STATEMENT OF WORK</w:t>
      </w:r>
    </w:p>
    <w:p w:rsidR="00694EC0" w:rsidRPr="00694EC0" w:rsidP="00694EC0"/>
    <w:p w:rsidR="00694EC0" w:rsidRPr="00694EC0" w:rsidP="00694EC0">
      <w:pPr>
        <w:spacing w:after="0" w:line="240" w:lineRule="auto"/>
        <w:rPr>
          <w:rFonts w:ascii="Arial" w:hAnsi="Arial" w:cs="Arial"/>
          <w:sz w:val="24"/>
          <w:szCs w:val="24"/>
        </w:rPr>
      </w:pPr>
      <w:r w:rsidRPr="00694EC0">
        <w:rPr>
          <w:rFonts w:ascii="Arial" w:hAnsi="Arial" w:cs="Arial"/>
          <w:sz w:val="24"/>
          <w:szCs w:val="24"/>
        </w:rPr>
        <w:t>A. GENERAL INFORMATION</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1. Introduction: VANTHCS P&amp;LMS would like to obtain blood gas analyzers for testing CO-oximetry, electrolytes, and metabolites. The tests performed are: pH, pCO2, pO2, measured total Hemoglobin (</w:t>
      </w:r>
      <w:r w:rsidRPr="00694EC0">
        <w:rPr>
          <w:rFonts w:ascii="Arial" w:hAnsi="Arial" w:cs="Arial"/>
          <w:sz w:val="24"/>
          <w:szCs w:val="24"/>
        </w:rPr>
        <w:t>tHb</w:t>
      </w:r>
      <w:r w:rsidRPr="00694EC0">
        <w:rPr>
          <w:rFonts w:ascii="Arial" w:hAnsi="Arial" w:cs="Arial"/>
          <w:sz w:val="24"/>
          <w:szCs w:val="24"/>
        </w:rPr>
        <w:t>), Oxyhemoglobin (O2Hb), measured oxygen saturation (sO2), carboxyhemoglobin (</w:t>
      </w:r>
      <w:r w:rsidRPr="00694EC0">
        <w:rPr>
          <w:rFonts w:ascii="Arial" w:hAnsi="Arial" w:cs="Arial"/>
          <w:sz w:val="24"/>
          <w:szCs w:val="24"/>
        </w:rPr>
        <w:t>COHb</w:t>
      </w:r>
      <w:r w:rsidRPr="00694EC0">
        <w:rPr>
          <w:rFonts w:ascii="Arial" w:hAnsi="Arial" w:cs="Arial"/>
          <w:sz w:val="24"/>
          <w:szCs w:val="24"/>
        </w:rPr>
        <w:t>), methemoglobin (</w:t>
      </w:r>
      <w:r w:rsidRPr="00694EC0">
        <w:rPr>
          <w:rFonts w:ascii="Arial" w:hAnsi="Arial" w:cs="Arial"/>
          <w:sz w:val="24"/>
          <w:szCs w:val="24"/>
        </w:rPr>
        <w:t>MetHb</w:t>
      </w:r>
      <w:r w:rsidRPr="00694EC0">
        <w:rPr>
          <w:rFonts w:ascii="Arial" w:hAnsi="Arial" w:cs="Arial"/>
          <w:sz w:val="24"/>
          <w:szCs w:val="24"/>
        </w:rPr>
        <w:t>), actual bicarbonate (cHCO3-), actual base excess (ABE), sodium (Na+), potassium (K+), chloride (Cl-), ionized calcium (Ca2+), glucose (Glu), lactate (Lac).</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2. Scope of Work: The contractor will provide blood gas analyzers, analyzer warranty, service for repairs, data manager and supplies. The Contractor agrees to the following terms of this contract exclusively with VISN 17, VA North Texas Health Care System facilities. The contractor shall provide all resources necessary to accomplish the deliverables described in this statement of work (SOW), except as may otherwise be specified.</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B. GENERAL REQUIREMENTS</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1. The contractor will provide eight blood gas analyzers, data management software, installation on premises, in-service and user training.</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2. All labor and travel expenses are provided at No Charge during the first year. A service agreement will be obtained to cover the remaining option years.</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3. A dedicated Implementation Team shall be assigned (Implementation Project Manager, Networking Specialist, and Interface Engineer).</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4. The analyzers will be in the Anesthesia OR Stat Lab, Respiratory and P&amp;LMS-Core Lab departments.</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Location # of Analyzers</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Anesthesia-OR Stat Lab 1</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Core Lab 2</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Respiratory-Emergency dept. 1</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Respiratory-MICU/CCU 2</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Respiratory-TICU/SICU 2</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C. SERVICE EXPENSE</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1. Contractor shall provide on-site service for the entire agreement period.</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2. Contractor shall provide technical support according to the terms and conditions of the contract.</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3. Equipment warranty is 12 months limited manufacturer warranty.</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4. Software upgrades and licensing renewals will be included at no additional charge.</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 xml:space="preserve">D. The COR and the Contractor will </w:t>
      </w:r>
      <w:r w:rsidRPr="00694EC0">
        <w:rPr>
          <w:rFonts w:ascii="Arial" w:hAnsi="Arial" w:cs="Arial"/>
          <w:sz w:val="24"/>
          <w:szCs w:val="24"/>
        </w:rPr>
        <w:t>assure</w:t>
      </w:r>
      <w:r w:rsidRPr="00694EC0">
        <w:rPr>
          <w:rFonts w:ascii="Arial" w:hAnsi="Arial" w:cs="Arial"/>
          <w:sz w:val="24"/>
          <w:szCs w:val="24"/>
        </w:rPr>
        <w:t xml:space="preserve"> that:</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1. No other information except what is in this contract will be shared with the contractor in any follow up communication.</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2. None of the information in this contract includes Protected Health Information (PHI) or Individually Identifiable Information (III).</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3. NO VA DATA OF ANY TYPE SHALL BE TRANSFERRED FROM THE VA.</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4. ALL DATA AND ELECTRONIC MEDIA WILL NOT LEAVE THE VA.</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 xml:space="preserve">5. All </w:t>
      </w:r>
      <w:r w:rsidRPr="00694EC0">
        <w:rPr>
          <w:rFonts w:ascii="Arial" w:hAnsi="Arial" w:cs="Arial"/>
          <w:sz w:val="24"/>
          <w:szCs w:val="24"/>
        </w:rPr>
        <w:t>hardrives</w:t>
      </w:r>
      <w:r w:rsidRPr="00694EC0">
        <w:rPr>
          <w:rFonts w:ascii="Arial" w:hAnsi="Arial" w:cs="Arial"/>
          <w:sz w:val="24"/>
          <w:szCs w:val="24"/>
        </w:rPr>
        <w:t xml:space="preserve"> will not leave the VA.</w:t>
      </w:r>
    </w:p>
    <w:p w:rsidR="00694EC0" w:rsidRPr="00694EC0" w:rsidP="00694EC0">
      <w:pPr>
        <w:spacing w:after="0" w:line="240" w:lineRule="auto"/>
        <w:rPr>
          <w:rFonts w:ascii="Arial" w:hAnsi="Arial" w:cs="Arial"/>
          <w:sz w:val="24"/>
          <w:szCs w:val="24"/>
        </w:rPr>
      </w:pPr>
      <w:r w:rsidRPr="00694EC0">
        <w:rPr>
          <w:rFonts w:ascii="Arial" w:hAnsi="Arial" w:cs="Arial"/>
          <w:sz w:val="24"/>
          <w:szCs w:val="24"/>
        </w:rPr>
        <w:t>6. Vendor will have supervised access when onsite performing service/maintenance.</w:t>
      </w:r>
    </w:p>
    <w:p w:rsidR="00694EC0" w:rsidRPr="00694EC0" w:rsidP="00694EC0">
      <w:pPr>
        <w:spacing w:after="0" w:line="240" w:lineRule="auto"/>
        <w:rPr>
          <w:rFonts w:ascii="Arial" w:hAnsi="Arial" w:cs="Arial"/>
          <w:sz w:val="24"/>
          <w:szCs w:val="24"/>
        </w:rPr>
      </w:pPr>
    </w:p>
    <w:p w:rsidR="00832E0A" w:rsidRPr="00694EC0" w:rsidP="00694EC0">
      <w:pPr>
        <w:numPr>
          <w:ilvl w:val="0"/>
          <w:numId w:val="1"/>
        </w:numPr>
        <w:spacing w:after="0" w:line="240" w:lineRule="auto"/>
        <w:ind w:left="720"/>
        <w:rPr>
          <w:rFonts w:ascii="Arial" w:hAnsi="Arial" w:cs="Arial"/>
          <w:sz w:val="24"/>
          <w:szCs w:val="24"/>
          <w:u w:val="single"/>
        </w:rPr>
      </w:pPr>
      <w:r w:rsidRPr="00694EC0">
        <w:rPr>
          <w:rFonts w:ascii="Arial" w:hAnsi="Arial" w:cs="Arial"/>
          <w:sz w:val="24"/>
          <w:szCs w:val="24"/>
        </w:rPr>
        <w:t>Must perform the following tests:  pH, pCO</w:t>
      </w:r>
      <w:r w:rsidRPr="00694EC0">
        <w:rPr>
          <w:rFonts w:ascii="Arial" w:hAnsi="Arial" w:cs="Arial"/>
          <w:sz w:val="24"/>
          <w:szCs w:val="24"/>
          <w:vertAlign w:val="subscript"/>
        </w:rPr>
        <w:t>2</w:t>
      </w:r>
      <w:r w:rsidRPr="00694EC0">
        <w:rPr>
          <w:rFonts w:ascii="Arial" w:hAnsi="Arial" w:cs="Arial"/>
          <w:sz w:val="24"/>
          <w:szCs w:val="24"/>
        </w:rPr>
        <w:t>, pO</w:t>
      </w:r>
      <w:r w:rsidRPr="00694EC0">
        <w:rPr>
          <w:rFonts w:ascii="Arial" w:hAnsi="Arial" w:cs="Arial"/>
          <w:sz w:val="24"/>
          <w:szCs w:val="24"/>
          <w:vertAlign w:val="subscript"/>
        </w:rPr>
        <w:t>2</w:t>
      </w:r>
      <w:r w:rsidRPr="00694EC0">
        <w:rPr>
          <w:rFonts w:ascii="Arial" w:hAnsi="Arial" w:cs="Arial"/>
          <w:sz w:val="24"/>
          <w:szCs w:val="24"/>
        </w:rPr>
        <w:t>, measured total hemoglobin (</w:t>
      </w:r>
      <w:r w:rsidRPr="00694EC0">
        <w:rPr>
          <w:rFonts w:ascii="Arial" w:hAnsi="Arial" w:cs="Arial"/>
          <w:sz w:val="24"/>
          <w:szCs w:val="24"/>
        </w:rPr>
        <w:t>tHb</w:t>
      </w:r>
      <w:r w:rsidRPr="00694EC0">
        <w:rPr>
          <w:rFonts w:ascii="Arial" w:hAnsi="Arial" w:cs="Arial"/>
          <w:sz w:val="24"/>
          <w:szCs w:val="24"/>
        </w:rPr>
        <w:t>), measured oxygen saturation (sO</w:t>
      </w:r>
      <w:r w:rsidRPr="00694EC0">
        <w:rPr>
          <w:rFonts w:ascii="Arial" w:hAnsi="Arial" w:cs="Arial"/>
          <w:sz w:val="24"/>
          <w:szCs w:val="24"/>
          <w:vertAlign w:val="subscript"/>
        </w:rPr>
        <w:t>2</w:t>
      </w:r>
      <w:r w:rsidRPr="00694EC0">
        <w:rPr>
          <w:rFonts w:ascii="Arial" w:hAnsi="Arial" w:cs="Arial"/>
          <w:sz w:val="24"/>
          <w:szCs w:val="24"/>
        </w:rPr>
        <w:t>), oxyhemoglobin (O2Hb), carboxyhemoglobin (</w:t>
      </w:r>
      <w:r w:rsidRPr="00694EC0">
        <w:rPr>
          <w:rFonts w:ascii="Arial" w:hAnsi="Arial" w:cs="Arial"/>
          <w:sz w:val="24"/>
          <w:szCs w:val="24"/>
        </w:rPr>
        <w:t>COHb</w:t>
      </w:r>
      <w:r w:rsidRPr="00694EC0">
        <w:rPr>
          <w:rFonts w:ascii="Arial" w:hAnsi="Arial" w:cs="Arial"/>
          <w:sz w:val="24"/>
          <w:szCs w:val="24"/>
        </w:rPr>
        <w:t>), methemoglobin (</w:t>
      </w:r>
      <w:r w:rsidRPr="00694EC0">
        <w:rPr>
          <w:rFonts w:ascii="Arial" w:hAnsi="Arial" w:cs="Arial"/>
          <w:sz w:val="24"/>
          <w:szCs w:val="24"/>
        </w:rPr>
        <w:t>MetHb</w:t>
      </w:r>
      <w:r w:rsidRPr="00694EC0">
        <w:rPr>
          <w:rFonts w:ascii="Arial" w:hAnsi="Arial" w:cs="Arial"/>
          <w:sz w:val="24"/>
          <w:szCs w:val="24"/>
        </w:rPr>
        <w:t>), actual bicarbonate (cHCO</w:t>
      </w:r>
      <w:r w:rsidRPr="00694EC0">
        <w:rPr>
          <w:rFonts w:ascii="Arial" w:hAnsi="Arial" w:cs="Arial"/>
          <w:sz w:val="24"/>
          <w:szCs w:val="24"/>
          <w:vertAlign w:val="subscript"/>
        </w:rPr>
        <w:t>3</w:t>
      </w:r>
      <w:r w:rsidRPr="00694EC0">
        <w:rPr>
          <w:rFonts w:ascii="Arial" w:hAnsi="Arial" w:cs="Arial"/>
          <w:sz w:val="24"/>
          <w:szCs w:val="24"/>
          <w:vertAlign w:val="superscript"/>
        </w:rPr>
        <w:t>-</w:t>
      </w:r>
      <w:r w:rsidRPr="00694EC0">
        <w:rPr>
          <w:rFonts w:ascii="Arial" w:hAnsi="Arial" w:cs="Arial"/>
          <w:sz w:val="24"/>
          <w:szCs w:val="24"/>
        </w:rPr>
        <w:t>), actual base excess (ABE), potassium (K+), sodium (Na+), ionized calcium (Ca</w:t>
      </w:r>
      <w:r w:rsidRPr="00694EC0">
        <w:rPr>
          <w:rFonts w:ascii="Arial" w:hAnsi="Arial" w:cs="Arial"/>
          <w:sz w:val="24"/>
          <w:szCs w:val="24"/>
          <w:vertAlign w:val="superscript"/>
        </w:rPr>
        <w:t>2+</w:t>
      </w:r>
      <w:r w:rsidRPr="00694EC0">
        <w:rPr>
          <w:rFonts w:ascii="Arial" w:hAnsi="Arial" w:cs="Arial"/>
          <w:sz w:val="24"/>
          <w:szCs w:val="24"/>
        </w:rPr>
        <w:t xml:space="preserve">), chloride (Cl-), glucose (Glu), lactate (Lac) </w:t>
      </w:r>
    </w:p>
    <w:p w:rsidR="00832E0A" w:rsidRPr="00694EC0" w:rsidP="00694EC0">
      <w:pPr>
        <w:spacing w:after="0" w:line="240" w:lineRule="auto"/>
        <w:ind w:left="720" w:right="720"/>
        <w:rPr>
          <w:rFonts w:ascii="Arial" w:hAnsi="Arial" w:cs="Arial"/>
          <w:sz w:val="24"/>
          <w:szCs w:val="24"/>
          <w:u w:val="single"/>
        </w:rPr>
      </w:pPr>
    </w:p>
    <w:p w:rsidR="00832E0A" w:rsidRPr="00694EC0" w:rsidP="00694EC0">
      <w:pPr>
        <w:pStyle w:val="ListParagraph"/>
        <w:numPr>
          <w:ilvl w:val="0"/>
          <w:numId w:val="1"/>
        </w:numPr>
        <w:autoSpaceDE w:val="0"/>
        <w:autoSpaceDN w:val="0"/>
        <w:adjustRightInd w:val="0"/>
        <w:spacing w:after="0" w:line="240" w:lineRule="auto"/>
        <w:ind w:left="720"/>
        <w:jc w:val="both"/>
        <w:rPr>
          <w:rFonts w:ascii="Arial" w:hAnsi="Arial" w:cs="Arial"/>
          <w:sz w:val="24"/>
          <w:szCs w:val="24"/>
        </w:rPr>
      </w:pPr>
      <w:r w:rsidRPr="00694EC0">
        <w:rPr>
          <w:rFonts w:ascii="Arial" w:hAnsi="Arial" w:cs="Arial"/>
          <w:sz w:val="24"/>
          <w:szCs w:val="24"/>
        </w:rPr>
        <w:t xml:space="preserve">Reports all tests performed in less than a minute.   </w:t>
      </w:r>
    </w:p>
    <w:p w:rsidR="00832E0A" w:rsidRPr="00694EC0" w:rsidP="00694EC0">
      <w:pPr>
        <w:pStyle w:val="ListParagraph"/>
        <w:spacing w:after="0" w:line="240" w:lineRule="auto"/>
        <w:rPr>
          <w:rFonts w:ascii="Arial" w:hAnsi="Arial" w:cs="Arial"/>
          <w:sz w:val="24"/>
          <w:szCs w:val="24"/>
        </w:rPr>
      </w:pPr>
    </w:p>
    <w:p w:rsidR="00832E0A" w:rsidRPr="00694EC0" w:rsidP="00694EC0">
      <w:pPr>
        <w:pStyle w:val="ListParagraph"/>
        <w:numPr>
          <w:ilvl w:val="0"/>
          <w:numId w:val="1"/>
        </w:numPr>
        <w:spacing w:after="0" w:line="240" w:lineRule="auto"/>
        <w:ind w:left="720"/>
        <w:rPr>
          <w:rFonts w:ascii="Arial" w:hAnsi="Arial" w:cs="Arial"/>
          <w:sz w:val="24"/>
          <w:szCs w:val="24"/>
        </w:rPr>
      </w:pPr>
      <w:r w:rsidRPr="00694EC0">
        <w:rPr>
          <w:rFonts w:ascii="Arial" w:hAnsi="Arial" w:cs="Arial"/>
          <w:sz w:val="24"/>
          <w:szCs w:val="24"/>
        </w:rPr>
        <w:t>Provides detection of hemolysis.</w:t>
      </w:r>
    </w:p>
    <w:p w:rsidR="00832E0A" w:rsidRPr="00694EC0" w:rsidP="00694EC0">
      <w:pPr>
        <w:pStyle w:val="ListParagraph"/>
        <w:spacing w:after="0" w:line="240" w:lineRule="auto"/>
        <w:rPr>
          <w:rFonts w:ascii="Arial" w:hAnsi="Arial" w:cs="Arial"/>
          <w:sz w:val="24"/>
          <w:szCs w:val="24"/>
        </w:rPr>
      </w:pPr>
    </w:p>
    <w:p w:rsidR="00832E0A" w:rsidRPr="00694EC0" w:rsidP="00694EC0">
      <w:pPr>
        <w:pStyle w:val="ListParagraph"/>
        <w:numPr>
          <w:ilvl w:val="0"/>
          <w:numId w:val="1"/>
        </w:numPr>
        <w:spacing w:after="0" w:line="240" w:lineRule="auto"/>
        <w:ind w:left="720"/>
        <w:rPr>
          <w:rFonts w:ascii="Arial" w:hAnsi="Arial" w:cs="Arial"/>
          <w:sz w:val="24"/>
          <w:szCs w:val="24"/>
        </w:rPr>
      </w:pPr>
      <w:r w:rsidRPr="00694EC0">
        <w:rPr>
          <w:rFonts w:ascii="Arial" w:hAnsi="Arial" w:cs="Arial"/>
          <w:sz w:val="24"/>
          <w:szCs w:val="24"/>
        </w:rPr>
        <w:t>Provides a measured Total Hemoglobin (</w:t>
      </w:r>
      <w:r w:rsidRPr="00694EC0">
        <w:rPr>
          <w:rFonts w:ascii="Arial" w:hAnsi="Arial" w:cs="Arial"/>
          <w:sz w:val="24"/>
          <w:szCs w:val="24"/>
        </w:rPr>
        <w:t>tHb</w:t>
      </w:r>
      <w:r w:rsidRPr="00694EC0">
        <w:rPr>
          <w:rFonts w:ascii="Arial" w:hAnsi="Arial" w:cs="Arial"/>
          <w:sz w:val="24"/>
          <w:szCs w:val="24"/>
        </w:rPr>
        <w:t>) and Oxygen Saturation (sO2) instead of calculated values.  This provides a more accurate result minimizing the need for unnecessary, expensive, blood transfusions and possible injury to the patient.</w:t>
      </w:r>
    </w:p>
    <w:p w:rsidR="00832E0A" w:rsidRPr="00694EC0" w:rsidP="00694EC0">
      <w:pPr>
        <w:spacing w:after="0" w:line="240" w:lineRule="auto"/>
        <w:ind w:left="720"/>
        <w:jc w:val="both"/>
        <w:rPr>
          <w:rFonts w:ascii="Arial" w:hAnsi="Arial" w:cs="Arial"/>
          <w:sz w:val="24"/>
          <w:szCs w:val="24"/>
        </w:rPr>
      </w:pPr>
    </w:p>
    <w:p w:rsidR="00832E0A" w:rsidRPr="00694EC0" w:rsidP="00694EC0">
      <w:pPr>
        <w:pStyle w:val="ListParagraph"/>
        <w:numPr>
          <w:ilvl w:val="0"/>
          <w:numId w:val="2"/>
        </w:numPr>
        <w:spacing w:after="0" w:line="240" w:lineRule="auto"/>
        <w:rPr>
          <w:rFonts w:ascii="Arial" w:hAnsi="Arial" w:cs="Arial"/>
          <w:sz w:val="24"/>
          <w:szCs w:val="24"/>
        </w:rPr>
      </w:pPr>
      <w:r w:rsidRPr="00694EC0">
        <w:rPr>
          <w:rFonts w:ascii="Arial" w:hAnsi="Arial" w:cs="Arial"/>
          <w:sz w:val="24"/>
          <w:szCs w:val="24"/>
        </w:rPr>
        <w:t xml:space="preserve">The data manager must conform to the </w:t>
      </w:r>
      <w:r w:rsidRPr="00694EC0">
        <w:rPr>
          <w:rFonts w:ascii="Arial" w:hAnsi="Arial" w:cs="Arial"/>
          <w:sz w:val="24"/>
          <w:szCs w:val="24"/>
        </w:rPr>
        <w:t>VistA</w:t>
      </w:r>
      <w:r w:rsidRPr="00694EC0">
        <w:rPr>
          <w:rFonts w:ascii="Arial" w:hAnsi="Arial" w:cs="Arial"/>
          <w:sz w:val="24"/>
          <w:szCs w:val="24"/>
        </w:rPr>
        <w:t xml:space="preserve"> Lab Point of Care HL7 specifications.</w:t>
      </w:r>
    </w:p>
    <w:p w:rsidR="00832E0A" w:rsidRPr="00694EC0" w:rsidP="00694EC0">
      <w:pPr>
        <w:numPr>
          <w:ilvl w:val="0"/>
          <w:numId w:val="2"/>
        </w:numPr>
        <w:spacing w:after="0" w:line="240" w:lineRule="auto"/>
        <w:jc w:val="both"/>
        <w:rPr>
          <w:rFonts w:ascii="Arial" w:hAnsi="Arial" w:cs="Arial"/>
          <w:sz w:val="24"/>
          <w:szCs w:val="24"/>
        </w:rPr>
      </w:pPr>
      <w:r w:rsidRPr="00694EC0">
        <w:rPr>
          <w:rFonts w:ascii="Arial" w:hAnsi="Arial" w:cs="Arial"/>
          <w:sz w:val="24"/>
          <w:szCs w:val="24"/>
        </w:rPr>
        <w:t>Does not require an Individual Quality Control Plan (IQCP) as prescribed by CMS guideline 493.1256.</w:t>
      </w:r>
    </w:p>
    <w:p w:rsidR="00832E0A" w:rsidRPr="00694EC0" w:rsidP="00694EC0">
      <w:pPr>
        <w:spacing w:after="0" w:line="240" w:lineRule="auto"/>
        <w:ind w:left="720"/>
        <w:jc w:val="both"/>
        <w:rPr>
          <w:rFonts w:ascii="Arial" w:hAnsi="Arial" w:cs="Arial"/>
          <w:sz w:val="24"/>
          <w:szCs w:val="24"/>
        </w:rPr>
      </w:pPr>
    </w:p>
    <w:p w:rsidR="00832E0A" w:rsidRPr="00694EC0" w:rsidP="00694EC0">
      <w:pPr>
        <w:numPr>
          <w:ilvl w:val="0"/>
          <w:numId w:val="2"/>
        </w:numPr>
        <w:spacing w:after="0" w:line="240" w:lineRule="auto"/>
        <w:jc w:val="both"/>
        <w:rPr>
          <w:rFonts w:ascii="Arial" w:hAnsi="Arial" w:cs="Arial"/>
          <w:sz w:val="24"/>
          <w:szCs w:val="24"/>
        </w:rPr>
      </w:pPr>
      <w:r w:rsidRPr="00694EC0">
        <w:rPr>
          <w:rFonts w:ascii="Arial" w:hAnsi="Arial" w:cs="Arial"/>
          <w:sz w:val="24"/>
          <w:szCs w:val="24"/>
        </w:rPr>
        <w:t xml:space="preserve">Has three individual onboard internal aqueous quality control solutions (separate from calibration material) as well as external aqueous quality control solutions that follow the same sample pathway as actual patient samples including the inlet probe. This ensures the most accurate patient results repeatedly.  </w:t>
      </w:r>
    </w:p>
    <w:p w:rsidR="00832E0A" w:rsidRPr="00694EC0" w:rsidP="00694EC0">
      <w:pPr>
        <w:spacing w:after="0" w:line="240" w:lineRule="auto"/>
        <w:ind w:left="720"/>
        <w:jc w:val="both"/>
        <w:rPr>
          <w:rFonts w:ascii="Arial" w:hAnsi="Arial" w:cs="Arial"/>
          <w:sz w:val="24"/>
          <w:szCs w:val="24"/>
        </w:rPr>
      </w:pPr>
    </w:p>
    <w:p w:rsidR="00832E0A" w:rsidRPr="00694EC0" w:rsidP="00694EC0">
      <w:pPr>
        <w:pStyle w:val="ListParagraph"/>
        <w:numPr>
          <w:ilvl w:val="0"/>
          <w:numId w:val="2"/>
        </w:numPr>
        <w:spacing w:after="0" w:line="240" w:lineRule="auto"/>
        <w:rPr>
          <w:rFonts w:ascii="Arial" w:hAnsi="Arial" w:cs="Arial"/>
          <w:sz w:val="24"/>
          <w:szCs w:val="24"/>
        </w:rPr>
      </w:pPr>
      <w:r w:rsidRPr="00694EC0">
        <w:rPr>
          <w:rFonts w:ascii="Arial" w:hAnsi="Arial" w:cs="Arial"/>
          <w:sz w:val="24"/>
          <w:szCs w:val="24"/>
        </w:rPr>
        <w:t>All-in-one, multi-use room temperature storage cartridge containing all components for analytical testing.  This reduces inventory management and improves staff efficiency.</w:t>
      </w:r>
    </w:p>
    <w:p w:rsidR="00832E0A" w:rsidRPr="00694EC0" w:rsidP="00694EC0">
      <w:pPr>
        <w:pStyle w:val="ListParagraph"/>
        <w:spacing w:after="0" w:line="240" w:lineRule="auto"/>
        <w:rPr>
          <w:rFonts w:ascii="Arial" w:hAnsi="Arial" w:cs="Arial"/>
          <w:sz w:val="24"/>
          <w:szCs w:val="24"/>
        </w:rPr>
      </w:pPr>
    </w:p>
    <w:p w:rsidR="00832E0A" w:rsidRPr="00694EC0" w:rsidP="00694EC0">
      <w:pPr>
        <w:pStyle w:val="ListParagraph"/>
        <w:numPr>
          <w:ilvl w:val="0"/>
          <w:numId w:val="2"/>
        </w:numPr>
        <w:spacing w:after="0" w:line="240" w:lineRule="auto"/>
        <w:jc w:val="both"/>
        <w:rPr>
          <w:rFonts w:ascii="Arial" w:hAnsi="Arial" w:cs="Arial"/>
          <w:sz w:val="24"/>
          <w:szCs w:val="24"/>
        </w:rPr>
      </w:pPr>
      <w:r w:rsidRPr="00694EC0">
        <w:rPr>
          <w:rFonts w:ascii="Arial" w:hAnsi="Arial" w:cs="Arial"/>
          <w:sz w:val="24"/>
          <w:szCs w:val="24"/>
        </w:rPr>
        <w:t>Consumables must have no less than 31-day onboard in-use life</w:t>
      </w:r>
    </w:p>
    <w:p w:rsidR="00832E0A" w:rsidRPr="00694EC0" w:rsidP="00694EC0">
      <w:pPr>
        <w:pStyle w:val="ListParagraph"/>
        <w:spacing w:after="0" w:line="240" w:lineRule="auto"/>
        <w:jc w:val="both"/>
        <w:rPr>
          <w:rFonts w:ascii="Arial" w:hAnsi="Arial" w:cs="Arial"/>
          <w:sz w:val="24"/>
          <w:szCs w:val="24"/>
        </w:rPr>
      </w:pPr>
    </w:p>
    <w:p w:rsidR="00832E0A" w:rsidRPr="00694EC0" w:rsidP="00694EC0">
      <w:pPr>
        <w:pStyle w:val="ListParagraph"/>
        <w:numPr>
          <w:ilvl w:val="0"/>
          <w:numId w:val="2"/>
        </w:numPr>
        <w:spacing w:after="0" w:line="240" w:lineRule="auto"/>
        <w:rPr>
          <w:rFonts w:ascii="Arial" w:hAnsi="Arial" w:cs="Arial"/>
          <w:sz w:val="24"/>
          <w:szCs w:val="24"/>
        </w:rPr>
      </w:pPr>
      <w:r w:rsidRPr="00694EC0">
        <w:rPr>
          <w:rFonts w:ascii="Arial" w:hAnsi="Arial" w:cs="Arial"/>
          <w:sz w:val="24"/>
          <w:szCs w:val="24"/>
        </w:rPr>
        <w:t>Contains an integrated barcode scanner, automatic inlet, automatic blood clot detection, air detection and parameter lockout with failure of QC or calibrations.</w:t>
      </w:r>
    </w:p>
    <w:p w:rsidR="00832E0A" w:rsidRPr="00694EC0" w:rsidP="00694EC0">
      <w:pPr>
        <w:pStyle w:val="ListParagraph"/>
        <w:spacing w:after="0" w:line="240" w:lineRule="auto"/>
        <w:rPr>
          <w:rFonts w:ascii="Arial" w:hAnsi="Arial" w:cs="Arial"/>
          <w:sz w:val="24"/>
          <w:szCs w:val="24"/>
        </w:rPr>
      </w:pPr>
    </w:p>
    <w:p w:rsidR="00832E0A" w:rsidRPr="00694EC0" w:rsidP="00694EC0">
      <w:pPr>
        <w:pStyle w:val="ListParagraph"/>
        <w:numPr>
          <w:ilvl w:val="0"/>
          <w:numId w:val="2"/>
        </w:numPr>
        <w:spacing w:after="0" w:line="240" w:lineRule="auto"/>
        <w:rPr>
          <w:rFonts w:ascii="Arial" w:hAnsi="Arial" w:cs="Arial"/>
          <w:sz w:val="24"/>
          <w:szCs w:val="24"/>
        </w:rPr>
      </w:pPr>
      <w:r w:rsidRPr="00694EC0">
        <w:rPr>
          <w:rFonts w:ascii="Arial" w:hAnsi="Arial" w:cs="Arial"/>
          <w:sz w:val="24"/>
          <w:szCs w:val="24"/>
        </w:rPr>
        <w:t xml:space="preserve">Capable of utilizing </w:t>
      </w:r>
      <w:r w:rsidRPr="00694EC0">
        <w:rPr>
          <w:rFonts w:ascii="Arial" w:hAnsi="Arial" w:cs="Arial"/>
          <w:sz w:val="24"/>
          <w:szCs w:val="24"/>
        </w:rPr>
        <w:t>safePICO</w:t>
      </w:r>
      <w:r w:rsidRPr="00694EC0">
        <w:rPr>
          <w:rFonts w:ascii="Arial" w:hAnsi="Arial" w:cs="Arial"/>
          <w:sz w:val="24"/>
          <w:szCs w:val="24"/>
        </w:rPr>
        <w:t xml:space="preserve"> syringes containing metal mixing balls which assist in mixing the sample and anticoagulant in the syringe.   This help ensure samples are well mixed and helps to standardize the way staff mixes a sample resulting in improved patient results.</w:t>
      </w:r>
    </w:p>
    <w:p w:rsidR="00832E0A" w:rsidRPr="00694EC0" w:rsidP="00694EC0">
      <w:pPr>
        <w:pStyle w:val="ListParagraph"/>
        <w:spacing w:after="0" w:line="240" w:lineRule="auto"/>
        <w:rPr>
          <w:rFonts w:ascii="Arial" w:hAnsi="Arial" w:cs="Arial"/>
          <w:sz w:val="24"/>
          <w:szCs w:val="24"/>
        </w:rPr>
      </w:pPr>
    </w:p>
    <w:p w:rsidR="00832E0A" w:rsidRPr="00694EC0" w:rsidP="00694EC0">
      <w:pPr>
        <w:pStyle w:val="ListParagraph"/>
        <w:numPr>
          <w:ilvl w:val="0"/>
          <w:numId w:val="2"/>
        </w:numPr>
        <w:spacing w:after="0" w:line="240" w:lineRule="auto"/>
        <w:rPr>
          <w:rFonts w:ascii="Arial" w:hAnsi="Arial" w:cs="Arial"/>
          <w:sz w:val="24"/>
          <w:szCs w:val="24"/>
        </w:rPr>
      </w:pPr>
      <w:r w:rsidRPr="00694EC0">
        <w:rPr>
          <w:rFonts w:ascii="Arial" w:hAnsi="Arial" w:cs="Arial"/>
          <w:sz w:val="24"/>
          <w:szCs w:val="24"/>
        </w:rPr>
        <w:t xml:space="preserve">Capable of utilizing the </w:t>
      </w:r>
      <w:r w:rsidRPr="00694EC0">
        <w:rPr>
          <w:rFonts w:ascii="Arial" w:hAnsi="Arial" w:cs="Arial"/>
          <w:sz w:val="24"/>
          <w:szCs w:val="24"/>
        </w:rPr>
        <w:t>safePICO</w:t>
      </w:r>
      <w:r w:rsidRPr="00694EC0">
        <w:rPr>
          <w:rFonts w:ascii="Arial" w:hAnsi="Arial" w:cs="Arial"/>
          <w:sz w:val="24"/>
          <w:szCs w:val="24"/>
        </w:rPr>
        <w:t xml:space="preserve"> syringes whose needle shield design maximizes operator safety. The self-sealing cap tip does not need to be removed from the syringe to run the sample therefore minimizing operator contact with patient blood.  The self-sealing cap tip allows the operator to quickly remove air bubbles which can affect patient results.  </w:t>
      </w:r>
    </w:p>
    <w:p w:rsidR="00167C45" w:rsidRPr="00694EC0" w:rsidP="00694EC0">
      <w:pPr>
        <w:spacing w:after="0" w:line="240" w:lineRule="auto"/>
        <w:rPr>
          <w:rFonts w:ascii="Arial"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81A08CE"/>
    <w:multiLevelType w:val="hybridMultilevel"/>
    <w:tmpl w:val="9F062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E4F04CD"/>
    <w:multiLevelType w:val="hybridMultilevel"/>
    <w:tmpl w:val="BA7834BC"/>
    <w:lvl w:ilvl="0">
      <w:start w:val="1"/>
      <w:numFmt w:val="bullet"/>
      <w:lvlText w:val=""/>
      <w:lvlJc w:val="left"/>
      <w:pPr>
        <w:tabs>
          <w:tab w:val="num" w:pos="2160"/>
        </w:tabs>
        <w:ind w:left="2160" w:hanging="360"/>
      </w:pPr>
      <w:rPr>
        <w:rFonts w:ascii="Symbol" w:hAnsi="Symbol" w:hint="default"/>
      </w:rPr>
    </w:lvl>
    <w:lvl w:ilvl="1" w:tentative="1">
      <w:start w:val="1"/>
      <w:numFmt w:val="bullet"/>
      <w:lvlText w:val="o"/>
      <w:lvlJc w:val="left"/>
      <w:pPr>
        <w:tabs>
          <w:tab w:val="num" w:pos="2880"/>
        </w:tabs>
        <w:ind w:left="2880" w:hanging="360"/>
      </w:pPr>
      <w:rPr>
        <w:rFonts w:ascii="Courier New" w:hAnsi="Courier New" w:cs="Courier New" w:hint="default"/>
      </w:rPr>
    </w:lvl>
    <w:lvl w:ilvl="2" w:tentative="1">
      <w:start w:val="1"/>
      <w:numFmt w:val="bullet"/>
      <w:lvlText w:val=""/>
      <w:lvlJc w:val="left"/>
      <w:pPr>
        <w:tabs>
          <w:tab w:val="num" w:pos="3600"/>
        </w:tabs>
        <w:ind w:left="3600" w:hanging="360"/>
      </w:pPr>
      <w:rPr>
        <w:rFonts w:ascii="Wingdings" w:hAnsi="Wingdings" w:hint="default"/>
      </w:rPr>
    </w:lvl>
    <w:lvl w:ilvl="3" w:tentative="1">
      <w:start w:val="1"/>
      <w:numFmt w:val="bullet"/>
      <w:lvlText w:val=""/>
      <w:lvlJc w:val="left"/>
      <w:pPr>
        <w:tabs>
          <w:tab w:val="num" w:pos="4320"/>
        </w:tabs>
        <w:ind w:left="4320" w:hanging="360"/>
      </w:pPr>
      <w:rPr>
        <w:rFonts w:ascii="Symbol" w:hAnsi="Symbol" w:hint="default"/>
      </w:rPr>
    </w:lvl>
    <w:lvl w:ilvl="4" w:tentative="1">
      <w:start w:val="1"/>
      <w:numFmt w:val="bullet"/>
      <w:lvlText w:val="o"/>
      <w:lvlJc w:val="left"/>
      <w:pPr>
        <w:tabs>
          <w:tab w:val="num" w:pos="5040"/>
        </w:tabs>
        <w:ind w:left="5040" w:hanging="360"/>
      </w:pPr>
      <w:rPr>
        <w:rFonts w:ascii="Courier New" w:hAnsi="Courier New" w:cs="Courier New" w:hint="default"/>
      </w:rPr>
    </w:lvl>
    <w:lvl w:ilvl="5" w:tentative="1">
      <w:start w:val="1"/>
      <w:numFmt w:val="bullet"/>
      <w:lvlText w:val=""/>
      <w:lvlJc w:val="left"/>
      <w:pPr>
        <w:tabs>
          <w:tab w:val="num" w:pos="5760"/>
        </w:tabs>
        <w:ind w:left="5760" w:hanging="360"/>
      </w:pPr>
      <w:rPr>
        <w:rFonts w:ascii="Wingdings" w:hAnsi="Wingdings" w:hint="default"/>
      </w:rPr>
    </w:lvl>
    <w:lvl w:ilvl="6" w:tentative="1">
      <w:start w:val="1"/>
      <w:numFmt w:val="bullet"/>
      <w:lvlText w:val=""/>
      <w:lvlJc w:val="left"/>
      <w:pPr>
        <w:tabs>
          <w:tab w:val="num" w:pos="6480"/>
        </w:tabs>
        <w:ind w:left="6480" w:hanging="360"/>
      </w:pPr>
      <w:rPr>
        <w:rFonts w:ascii="Symbol" w:hAnsi="Symbol" w:hint="default"/>
      </w:rPr>
    </w:lvl>
    <w:lvl w:ilvl="7" w:tentative="1">
      <w:start w:val="1"/>
      <w:numFmt w:val="bullet"/>
      <w:lvlText w:val="o"/>
      <w:lvlJc w:val="left"/>
      <w:pPr>
        <w:tabs>
          <w:tab w:val="num" w:pos="7200"/>
        </w:tabs>
        <w:ind w:left="7200" w:hanging="360"/>
      </w:pPr>
      <w:rPr>
        <w:rFonts w:ascii="Courier New" w:hAnsi="Courier New" w:cs="Courier New" w:hint="default"/>
      </w:rPr>
    </w:lvl>
    <w:lvl w:ilvl="8" w:tentative="1">
      <w:start w:val="1"/>
      <w:numFmt w:val="bullet"/>
      <w:lvlText w:val=""/>
      <w:lvlJc w:val="left"/>
      <w:pPr>
        <w:tabs>
          <w:tab w:val="num" w:pos="7920"/>
        </w:tabs>
        <w:ind w:left="79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7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67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C45"/>
    <w:rPr>
      <w:rFonts w:eastAsiaTheme="majorEastAsia" w:cstheme="majorBidi"/>
      <w:color w:val="272727" w:themeColor="text1" w:themeTint="D8"/>
    </w:rPr>
  </w:style>
  <w:style w:type="paragraph" w:styleId="Quote">
    <w:name w:val="Quote"/>
    <w:basedOn w:val="Normal"/>
    <w:next w:val="Normal"/>
    <w:link w:val="QuoteChar"/>
    <w:uiPriority w:val="29"/>
    <w:qFormat/>
    <w:rsid w:val="00167C45"/>
    <w:pPr>
      <w:spacing w:before="160"/>
      <w:jc w:val="center"/>
    </w:pPr>
    <w:rPr>
      <w:i/>
      <w:iCs/>
      <w:color w:val="404040" w:themeColor="text1" w:themeTint="BF"/>
    </w:rPr>
  </w:style>
  <w:style w:type="character" w:customStyle="1" w:styleId="QuoteChar">
    <w:name w:val="Quote Char"/>
    <w:basedOn w:val="DefaultParagraphFont"/>
    <w:link w:val="Quote"/>
    <w:uiPriority w:val="29"/>
    <w:rsid w:val="00167C45"/>
    <w:rPr>
      <w:i/>
      <w:iCs/>
      <w:color w:val="404040" w:themeColor="text1" w:themeTint="BF"/>
    </w:rPr>
  </w:style>
  <w:style w:type="paragraph" w:styleId="IntenseQuote">
    <w:name w:val="Intense Quote"/>
    <w:basedOn w:val="Normal"/>
    <w:next w:val="Normal"/>
    <w:link w:val="IntenseQuoteChar"/>
    <w:uiPriority w:val="30"/>
    <w:qFormat/>
    <w:rsid w:val="00167C4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67C45"/>
    <w:rPr>
      <w:i/>
      <w:iCs/>
      <w:color w:val="366092" w:themeColor="accent1" w:themeShade="BF"/>
    </w:rPr>
  </w:style>
  <w:style w:type="character" w:styleId="IntenseReference">
    <w:name w:val="Intense Reference"/>
    <w:basedOn w:val="DefaultParagraphFont"/>
    <w:uiPriority w:val="32"/>
    <w:qFormat/>
    <w:rsid w:val="00167C45"/>
    <w:rPr>
      <w:b/>
      <w:bCs/>
      <w:smallCaps/>
      <w:color w:val="366092" w:themeColor="accent1" w:themeShade="BF"/>
      <w:spacing w:val="5"/>
    </w:rPr>
  </w:style>
  <w:style w:type="paragraph" w:styleId="BodyText">
    <w:name w:val="Body Text"/>
    <w:basedOn w:val="Normal"/>
    <w:link w:val="BodyTextChar"/>
    <w:uiPriority w:val="1"/>
    <w:semiHidden/>
    <w:unhideWhenUsed/>
    <w:qFormat/>
    <w:rsid w:val="007630B7"/>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semiHidden/>
    <w:rsid w:val="007630B7"/>
    <w:rPr>
      <w:rFonts w:ascii="Times New Roman" w:eastAsia="Times New Roman" w:hAnsi="Times New Roman" w:cs="Times New Roman"/>
      <w:kern w:val="0"/>
      <w:sz w:val="22"/>
      <w:szCs w:val="22"/>
      <w14:ligatures w14:val="none"/>
    </w:rPr>
  </w:style>
  <w:style w:type="paragraph" w:styleId="BodyTextIndent">
    <w:name w:val="Body Text Indent"/>
    <w:basedOn w:val="Normal"/>
    <w:link w:val="BodyTextIndentChar"/>
    <w:uiPriority w:val="99"/>
    <w:semiHidden/>
    <w:unhideWhenUsed/>
    <w:rsid w:val="007630B7"/>
    <w:pPr>
      <w:spacing w:after="0"/>
      <w:ind w:left="1440" w:firstLine="720"/>
    </w:pPr>
    <w:rPr>
      <w:rFonts w:eastAsiaTheme="minorHAnsi"/>
      <w:kern w:val="2"/>
      <w:sz w:val="24"/>
      <w:szCs w:val="24"/>
      <w14:ligatures w14:val="standardContextual"/>
    </w:rPr>
  </w:style>
  <w:style w:type="character" w:customStyle="1" w:styleId="BodyTextIndentChar">
    <w:name w:val="Body Text Indent Char"/>
    <w:basedOn w:val="DefaultParagraphFont"/>
    <w:link w:val="BodyTextIndent"/>
    <w:uiPriority w:val="99"/>
    <w:semiHidden/>
    <w:rsid w:val="007630B7"/>
  </w:style>
  <w:style w:type="paragraph" w:styleId="BodyTextIndent2">
    <w:name w:val="Body Text Indent 2"/>
    <w:basedOn w:val="Normal"/>
    <w:link w:val="BodyTextIndent2Char"/>
    <w:uiPriority w:val="99"/>
    <w:semiHidden/>
    <w:unhideWhenUsed/>
    <w:rsid w:val="007630B7"/>
    <w:pPr>
      <w:spacing w:after="160"/>
      <w:ind w:left="1440" w:firstLine="720"/>
    </w:pPr>
    <w:rPr>
      <w:rFonts w:eastAsiaTheme="minorHAnsi"/>
      <w:kern w:val="2"/>
      <w14:ligatures w14:val="standardContextual"/>
    </w:rPr>
  </w:style>
  <w:style w:type="character" w:customStyle="1" w:styleId="BodyTextIndent2Char">
    <w:name w:val="Body Text Indent 2 Char"/>
    <w:basedOn w:val="DefaultParagraphFont"/>
    <w:link w:val="BodyTextIndent2"/>
    <w:uiPriority w:val="99"/>
    <w:semiHidden/>
    <w:rsid w:val="007630B7"/>
    <w:rPr>
      <w:sz w:val="22"/>
      <w:szCs w:val="22"/>
    </w:rPr>
  </w:style>
  <w:style w:type="paragraph" w:customStyle="1" w:styleId="Default">
    <w:name w:val="Default"/>
    <w:rsid w:val="007630B7"/>
    <w:pPr>
      <w:autoSpaceDE w:val="0"/>
      <w:autoSpaceDN w:val="0"/>
      <w:adjustRightInd w:val="0"/>
      <w:spacing w:after="0" w:line="240" w:lineRule="auto"/>
    </w:pPr>
    <w:rPr>
      <w:rFonts w:ascii="Arial" w:hAnsi="Arial" w:cs="Arial"/>
      <w:color w:val="000000"/>
      <w:kern w:val="0"/>
      <w:sz w:val="22"/>
      <w:szCs w:val="22"/>
      <w14:ligatures w14:val="none"/>
    </w:rPr>
  </w:style>
  <w:style w:type="paragraph" w:customStyle="1" w:styleId="Level1">
    <w:name w:val="Level1"/>
    <w:basedOn w:val="Normal"/>
    <w:rsid w:val="007630B7"/>
    <w:pPr>
      <w:tabs>
        <w:tab w:val="left" w:pos="720"/>
      </w:tabs>
      <w:suppressAutoHyphens/>
      <w:spacing w:after="160" w:line="360" w:lineRule="auto"/>
      <w:ind w:left="720" w:hanging="360"/>
    </w:pPr>
    <w:rPr>
      <w:rFonts w:eastAsiaTheme="minorHAnsi"/>
      <w:kern w:val="2"/>
      <w:sz w:val="24"/>
      <w:szCs w:val="24"/>
      <w14:ligatures w14:val="standardContextual"/>
    </w:rPr>
  </w:style>
  <w:style w:type="paragraph" w:customStyle="1" w:styleId="Level2">
    <w:name w:val="Level2"/>
    <w:basedOn w:val="Level1"/>
    <w:rsid w:val="007630B7"/>
    <w:pPr>
      <w:tabs>
        <w:tab w:val="clear" w:pos="720"/>
        <w:tab w:val="left" w:pos="1080"/>
      </w:tabs>
      <w:ind w:left="1080"/>
    </w:pPr>
  </w:style>
  <w:style w:type="table" w:styleId="LightListAccent1">
    <w:name w:val="Light List Accent 1"/>
    <w:basedOn w:val="TableNormal"/>
    <w:uiPriority w:val="61"/>
    <w:unhideWhenUsed/>
    <w:rsid w:val="007630B7"/>
    <w:pPr>
      <w:spacing w:after="0" w:line="240" w:lineRule="auto"/>
    </w:pPr>
    <w:rPr>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156082" w:themeFill="accent1"/>
      </w:tcPr>
    </w:tblStylePr>
    <w:tblStylePr w:type="lastRow">
      <w:pPr>
        <w:spacing w:before="100" w:beforeLines="0" w:beforeAutospacing="1" w:after="100" w:afterLines="0" w:afterAutospacing="1"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2026-05-08T15:42:07Z</dcterms:created>
  <dcterms:modified xsi:type="dcterms:W3CDTF">2026-05-08T15:42:07Z</dcterms:modified>
</cp:coreProperties>
</file>