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9BDC" w14:textId="77777777" w:rsidR="00F76CA1" w:rsidRDefault="00E12445">
      <w:pPr>
        <w:pBdr>
          <w:top w:val="single" w:sz="4" w:space="0" w:color="000000"/>
          <w:left w:val="single" w:sz="4" w:space="0" w:color="000000"/>
          <w:bottom w:val="single" w:sz="4" w:space="0" w:color="000000"/>
          <w:right w:val="single" w:sz="4" w:space="0" w:color="000000"/>
        </w:pBdr>
        <w:shd w:val="clear" w:color="auto" w:fill="E6E6E6"/>
        <w:spacing w:after="220" w:line="259" w:lineRule="auto"/>
        <w:ind w:left="1032" w:firstLine="0"/>
      </w:pPr>
      <w:r>
        <w:rPr>
          <w:b/>
          <w:sz w:val="28"/>
        </w:rPr>
        <w:t xml:space="preserve">  Justification for Other than Full and Open Competition </w:t>
      </w:r>
    </w:p>
    <w:p w14:paraId="4637F6F3" w14:textId="77777777" w:rsidR="00F76CA1" w:rsidRDefault="00E12445">
      <w:pPr>
        <w:spacing w:after="484" w:line="259" w:lineRule="auto"/>
        <w:ind w:left="44" w:firstLine="0"/>
        <w:jc w:val="center"/>
      </w:pPr>
      <w:r>
        <w:rPr>
          <w:i/>
        </w:rPr>
        <w:t xml:space="preserve">“Source Selection Information – see FAR 2.101 and 3.104” </w:t>
      </w:r>
    </w:p>
    <w:p w14:paraId="6C09B2AC" w14:textId="77777777" w:rsidR="00F76CA1" w:rsidRDefault="00E12445">
      <w:pPr>
        <w:numPr>
          <w:ilvl w:val="0"/>
          <w:numId w:val="1"/>
        </w:numPr>
        <w:spacing w:after="117"/>
        <w:ind w:right="107" w:hanging="451"/>
      </w:pPr>
      <w:r>
        <w:rPr>
          <w:b/>
        </w:rPr>
        <w:t>Identification of the agency and contracting activity.</w:t>
      </w:r>
    </w:p>
    <w:p w14:paraId="4B186DFD" w14:textId="77777777" w:rsidR="00F76CA1" w:rsidRDefault="00E12445">
      <w:pPr>
        <w:numPr>
          <w:ilvl w:val="1"/>
          <w:numId w:val="1"/>
        </w:numPr>
        <w:spacing w:after="231"/>
        <w:ind w:right="128" w:hanging="422"/>
      </w:pPr>
      <w:r>
        <w:rPr>
          <w:b/>
        </w:rPr>
        <w:t>Federal agency and contracting activity.</w:t>
      </w:r>
      <w:r>
        <w:t xml:space="preserve"> </w:t>
      </w:r>
      <w:r>
        <w:rPr>
          <w:b/>
        </w:rPr>
        <w:t xml:space="preserve">HHS.  </w:t>
      </w:r>
      <w:r>
        <w:t>National Institutes of Health (NIH)</w:t>
      </w:r>
    </w:p>
    <w:p w14:paraId="03406658" w14:textId="77777777" w:rsidR="00F76CA1" w:rsidRDefault="00E12445">
      <w:pPr>
        <w:numPr>
          <w:ilvl w:val="1"/>
          <w:numId w:val="1"/>
        </w:numPr>
        <w:spacing w:after="229"/>
        <w:ind w:right="128" w:hanging="422"/>
      </w:pPr>
      <w:r>
        <w:rPr>
          <w:b/>
        </w:rPr>
        <w:t>Sponsoring organization.</w:t>
      </w:r>
      <w:r>
        <w:t xml:space="preserve">  Clinical Center/Department of Transfusion Medicine/Center for Clinical Engineering (CCE)</w:t>
      </w:r>
    </w:p>
    <w:p w14:paraId="58A2F2DE" w14:textId="77777777" w:rsidR="00F76CA1" w:rsidRDefault="00E12445">
      <w:pPr>
        <w:numPr>
          <w:ilvl w:val="1"/>
          <w:numId w:val="1"/>
        </w:numPr>
        <w:spacing w:after="256"/>
        <w:ind w:right="128" w:hanging="422"/>
      </w:pPr>
      <w:r>
        <w:rPr>
          <w:b/>
        </w:rPr>
        <w:t>Project Officer Information:</w:t>
      </w:r>
    </w:p>
    <w:p w14:paraId="7E4C11A1" w14:textId="16F917B3" w:rsidR="00F76CA1" w:rsidRDefault="00E12445">
      <w:pPr>
        <w:numPr>
          <w:ilvl w:val="3"/>
          <w:numId w:val="2"/>
        </w:numPr>
        <w:spacing w:after="207"/>
        <w:ind w:right="107" w:hanging="361"/>
      </w:pPr>
      <w:r>
        <w:rPr>
          <w:b/>
        </w:rPr>
        <w:t xml:space="preserve">Project Officer name: </w:t>
      </w:r>
      <w:r w:rsidR="00812DC7">
        <w:t>Xiangbin Zeng</w:t>
      </w:r>
    </w:p>
    <w:p w14:paraId="474D3C4F" w14:textId="39D7F5F7" w:rsidR="00F76CA1" w:rsidRDefault="00E12445">
      <w:pPr>
        <w:numPr>
          <w:ilvl w:val="3"/>
          <w:numId w:val="2"/>
        </w:numPr>
        <w:spacing w:after="200" w:line="259" w:lineRule="auto"/>
        <w:ind w:right="107" w:hanging="361"/>
      </w:pPr>
      <w:r>
        <w:rPr>
          <w:b/>
        </w:rPr>
        <w:t>Mailing address.</w:t>
      </w:r>
      <w:r>
        <w:t xml:space="preserve"> 10 Center Dr. Bldg. 10, Rm </w:t>
      </w:r>
      <w:r w:rsidR="00812DC7">
        <w:t>7N208</w:t>
      </w:r>
      <w:r>
        <w:t>, Bethesda, MD 20892</w:t>
      </w:r>
    </w:p>
    <w:p w14:paraId="790F6F0C" w14:textId="512B4345" w:rsidR="00F76CA1" w:rsidRDefault="00E12445">
      <w:pPr>
        <w:numPr>
          <w:ilvl w:val="3"/>
          <w:numId w:val="2"/>
        </w:numPr>
        <w:spacing w:after="207"/>
        <w:ind w:right="107" w:hanging="361"/>
      </w:pPr>
      <w:r>
        <w:rPr>
          <w:b/>
        </w:rPr>
        <w:t>E-mail address.</w:t>
      </w:r>
      <w:r>
        <w:t xml:space="preserve"> </w:t>
      </w:r>
      <w:r w:rsidR="00812DC7">
        <w:t>xiangbin.zeng</w:t>
      </w:r>
      <w:r>
        <w:t>@nih.gov</w:t>
      </w:r>
    </w:p>
    <w:p w14:paraId="60242315" w14:textId="66EEEBE1" w:rsidR="00F76CA1" w:rsidRDefault="00E12445">
      <w:pPr>
        <w:numPr>
          <w:ilvl w:val="3"/>
          <w:numId w:val="2"/>
        </w:numPr>
        <w:spacing w:after="192"/>
        <w:ind w:right="107" w:hanging="361"/>
      </w:pPr>
      <w:r>
        <w:rPr>
          <w:b/>
        </w:rPr>
        <w:t>Telephone number.</w:t>
      </w:r>
      <w:r>
        <w:t xml:space="preserve"> (301) </w:t>
      </w:r>
      <w:r w:rsidR="00812DC7">
        <w:t>827</w:t>
      </w:r>
      <w:r>
        <w:t>-</w:t>
      </w:r>
      <w:r w:rsidR="00812DC7">
        <w:t>9671</w:t>
      </w:r>
    </w:p>
    <w:p w14:paraId="6562C30E" w14:textId="77777777" w:rsidR="00F76CA1" w:rsidRDefault="00E12445">
      <w:pPr>
        <w:numPr>
          <w:ilvl w:val="0"/>
          <w:numId w:val="1"/>
        </w:numPr>
        <w:spacing w:after="231"/>
        <w:ind w:right="107" w:hanging="451"/>
      </w:pPr>
      <w:r>
        <w:rPr>
          <w:b/>
        </w:rPr>
        <w:t>Nature and/or description of the action being approved.</w:t>
      </w:r>
    </w:p>
    <w:p w14:paraId="18E1D58B" w14:textId="4AA98B23" w:rsidR="00F76CA1" w:rsidRDefault="00E12445">
      <w:pPr>
        <w:numPr>
          <w:ilvl w:val="1"/>
          <w:numId w:val="1"/>
        </w:numPr>
        <w:spacing w:after="232"/>
        <w:ind w:right="128" w:hanging="422"/>
      </w:pPr>
      <w:r>
        <w:rPr>
          <w:b/>
        </w:rPr>
        <w:t xml:space="preserve">Acquisition purpose and objectives. </w:t>
      </w:r>
      <w:r>
        <w:t xml:space="preserve">To purchase all reagents and </w:t>
      </w:r>
      <w:r w:rsidR="000545EB">
        <w:t>consumables on an as-needed basis for clinical patient-care quality control flow cytometry assays by using</w:t>
      </w:r>
      <w:r>
        <w:t xml:space="preserve"> </w:t>
      </w:r>
      <w:r w:rsidR="000545EB" w:rsidRPr="000545EB">
        <w:t xml:space="preserve">FACSLyris </w:t>
      </w:r>
      <w:r w:rsidR="000545EB">
        <w:t xml:space="preserve">flow cytometer </w:t>
      </w:r>
      <w:r w:rsidR="00EB480F">
        <w:t xml:space="preserve">instrument </w:t>
      </w:r>
      <w:r w:rsidR="000545EB" w:rsidRPr="000545EB">
        <w:t>from BD Bioscience</w:t>
      </w:r>
      <w:r w:rsidR="00EB480F">
        <w:t>.</w:t>
      </w:r>
      <w:r w:rsidR="000545EB" w:rsidRPr="000545EB">
        <w:t xml:space="preserve"> </w:t>
      </w:r>
      <w:r>
        <w:t xml:space="preserve">Each time the instrument is used, fresh vials of monoclonal antibodies, </w:t>
      </w:r>
      <w:r w:rsidR="000545EB" w:rsidRPr="000545EB">
        <w:t xml:space="preserve">assay quality controls, buffers, fluids, and disposable components </w:t>
      </w:r>
      <w:r>
        <w:t xml:space="preserve">must be used. This contract is to purchase the monoclonal antibodies, </w:t>
      </w:r>
      <w:r w:rsidR="000545EB">
        <w:t>assay quality control</w:t>
      </w:r>
      <w:r w:rsidR="00EB480F">
        <w:t xml:space="preserve">s, buffer, sheath fluids, and </w:t>
      </w:r>
      <w:r>
        <w:t>disposable</w:t>
      </w:r>
      <w:r w:rsidR="00EB480F">
        <w:t xml:space="preserve"> components</w:t>
      </w:r>
      <w:r>
        <w:t>. The monoclonal antibodies are sold as sterile single use vials.  For each procedure one to four vials are used.</w:t>
      </w:r>
    </w:p>
    <w:p w14:paraId="370D4940" w14:textId="21626ECC" w:rsidR="00CB63A8" w:rsidRDefault="00E12445" w:rsidP="00CB63A8">
      <w:pPr>
        <w:numPr>
          <w:ilvl w:val="1"/>
          <w:numId w:val="1"/>
        </w:numPr>
        <w:spacing w:after="232" w:line="250" w:lineRule="auto"/>
        <w:ind w:left="1325" w:right="130" w:hanging="418"/>
      </w:pPr>
      <w:r w:rsidRPr="00CB63A8">
        <w:rPr>
          <w:b/>
        </w:rPr>
        <w:t>Project background.</w:t>
      </w:r>
      <w:r w:rsidRPr="00CB63A8">
        <w:rPr>
          <w:b/>
          <w:i/>
        </w:rPr>
        <w:t xml:space="preserve"> </w:t>
      </w:r>
      <w:r w:rsidR="00CB63A8">
        <w:t>The Center of Cellular Engineering, Department of Transfusion Medicine is an AABB-accredited cellular therapy laboratory whose central mission is to provide services to support NIH's intramural clinical trials. CCE produces clinical therapies from cells collected from NIH Clinical Center (CC) patients and healthy donors. The products are manufactured by the laboratory are used to treat patients with cancer, hematological malignancies, marrow failure, congenital immune disorders, and autoimmune diseases. Products are manufactured using US Food and Drug Administration (FDA) guidelines for manufacturing practices.  BD Biosciences is a leading provider of flow cytometry instruments, reagents, and assay solutions used in clinical quality control (QC) and patient-care testing. BD Biosciences offers a comprehensive portfolio of validated antibodies, controls, and reagents that support immunophenotyping, in-process testing, and lot release flow cytometry assays performed under regulated clinical laboratory environments.</w:t>
      </w:r>
    </w:p>
    <w:p w14:paraId="41E2E4A8" w14:textId="4522A26F" w:rsidR="00F76CA1" w:rsidRDefault="00CB63A8" w:rsidP="00CB63A8">
      <w:pPr>
        <w:ind w:left="1322" w:right="128" w:firstLine="0"/>
      </w:pPr>
      <w:r>
        <w:lastRenderedPageBreak/>
        <w:t xml:space="preserve">BD Biosciences products are widely implemented in CLIA-compliant and GMP-supported laboratories due to their consistency, reliability, and long-term lot-to-lot availability, which are critical for QC testing. These reagents and consumables enable accurate monitoring of cell identity, purity, viability, and potency for cell-based products intended for clinical use, ensuring assay standardization and patient safety. </w:t>
      </w:r>
      <w:r w:rsidR="00E12445">
        <w:rPr>
          <w:b/>
          <w:color w:val="FF0000"/>
        </w:rPr>
        <w:t xml:space="preserve"> </w:t>
      </w:r>
    </w:p>
    <w:p w14:paraId="386AEA62" w14:textId="77777777" w:rsidR="00F76CA1" w:rsidRDefault="00E12445">
      <w:pPr>
        <w:numPr>
          <w:ilvl w:val="0"/>
          <w:numId w:val="1"/>
        </w:numPr>
        <w:spacing w:after="231"/>
        <w:ind w:right="107" w:hanging="451"/>
      </w:pPr>
      <w:r>
        <w:rPr>
          <w:b/>
        </w:rPr>
        <w:t xml:space="preserve">Description of the supplies or services required to meet the agency’s needs (including the estimated value).  </w:t>
      </w:r>
      <w:r>
        <w:rPr>
          <w:color w:val="FF0000"/>
        </w:rPr>
        <w:t xml:space="preserve"> </w:t>
      </w:r>
    </w:p>
    <w:p w14:paraId="78AE73E9" w14:textId="769A8336" w:rsidR="00F76CA1" w:rsidRDefault="00E12445">
      <w:pPr>
        <w:numPr>
          <w:ilvl w:val="1"/>
          <w:numId w:val="1"/>
        </w:numPr>
        <w:spacing w:after="233"/>
        <w:ind w:right="128" w:hanging="422"/>
      </w:pPr>
      <w:r>
        <w:rPr>
          <w:b/>
        </w:rPr>
        <w:t xml:space="preserve">Project title.  </w:t>
      </w:r>
      <w:r w:rsidR="002863D8">
        <w:t>To purchase specifi</w:t>
      </w:r>
      <w:r w:rsidR="003B33D5">
        <w:t>ed</w:t>
      </w:r>
      <w:r w:rsidR="002863D8">
        <w:t xml:space="preserve"> reagents and consumables on an as-needed basis for clinical patient-care quality control flow cytometry assays by using </w:t>
      </w:r>
      <w:r w:rsidR="002863D8" w:rsidRPr="000545EB">
        <w:t xml:space="preserve">FACSLyris </w:t>
      </w:r>
      <w:r w:rsidR="002863D8">
        <w:t xml:space="preserve">flow cytometer instrument </w:t>
      </w:r>
      <w:r w:rsidR="002863D8" w:rsidRPr="000545EB">
        <w:t>from BD Bioscience</w:t>
      </w:r>
      <w:r w:rsidR="002863D8">
        <w:t>.</w:t>
      </w:r>
      <w:r w:rsidR="001C05BC" w:rsidRPr="001C05BC">
        <w:rPr>
          <w:b/>
        </w:rPr>
        <w:t xml:space="preserve"> </w:t>
      </w:r>
    </w:p>
    <w:p w14:paraId="57A1A854" w14:textId="4EAB5647" w:rsidR="00F76CA1" w:rsidRDefault="00E12445">
      <w:pPr>
        <w:numPr>
          <w:ilvl w:val="1"/>
          <w:numId w:val="1"/>
        </w:numPr>
        <w:spacing w:after="252"/>
        <w:ind w:right="128" w:hanging="422"/>
      </w:pPr>
      <w:r>
        <w:rPr>
          <w:b/>
        </w:rPr>
        <w:t xml:space="preserve">Project description.  </w:t>
      </w:r>
      <w:r w:rsidR="001C05BC" w:rsidRPr="001C05BC">
        <w:rPr>
          <w:bCs/>
        </w:rPr>
        <w:t xml:space="preserve">CCE performs in-process and lot-release flow cytometry assays for products manufactured at CCE and administered to patients at the Clinical Center. </w:t>
      </w:r>
      <w:r w:rsidR="004118F2" w:rsidRPr="001C05BC">
        <w:rPr>
          <w:bCs/>
        </w:rPr>
        <w:t xml:space="preserve">This agreement will include the purchase of monoclonal antibodies, disposables, and buffers. </w:t>
      </w:r>
      <w:r w:rsidR="004118F2" w:rsidRPr="004118F2">
        <w:rPr>
          <w:bCs/>
        </w:rPr>
        <w:t>These assays require specific reagents, including but not limited to monoclonal antibodies (CD34, CD3, CD4, CD8, and CD56), assay quality controls, buffers, fluids, and disposable components.</w:t>
      </w:r>
      <w:r w:rsidR="004118F2" w:rsidRPr="004118F2">
        <w:rPr>
          <w:b/>
        </w:rPr>
        <w:t xml:space="preserve"> </w:t>
      </w:r>
      <w:r w:rsidR="001C05BC" w:rsidRPr="001C05BC">
        <w:rPr>
          <w:bCs/>
        </w:rPr>
        <w:t xml:space="preserve">The protocol-specific processes used by CCE are proprietary and must be performed using compatible reagents and supplies from BD Biosciences. </w:t>
      </w:r>
      <w:r w:rsidRPr="004118F2">
        <w:t xml:space="preserve">Any type of lapse or change to a reagent could have detrimental results on the clinical experiment and patient’s quality of care and health.  Without using specified reagents as validated under an IND, doctors and investigators will have difficulties tracking changes with patient progress and consistency.  Further, NIH would spend resources and time validating new reagents before permitted use in </w:t>
      </w:r>
      <w:r w:rsidR="004118F2">
        <w:t>lot release assays on cells manufactured at CCE.</w:t>
      </w:r>
    </w:p>
    <w:p w14:paraId="6FC393ED" w14:textId="77777777" w:rsidR="00F76CA1" w:rsidRDefault="00E12445">
      <w:pPr>
        <w:numPr>
          <w:ilvl w:val="2"/>
          <w:numId w:val="1"/>
        </w:numPr>
        <w:spacing w:after="231"/>
        <w:ind w:right="107" w:hanging="360"/>
      </w:pPr>
      <w:r>
        <w:rPr>
          <w:b/>
        </w:rPr>
        <w:t xml:space="preserve">Requirement type.   </w:t>
      </w:r>
    </w:p>
    <w:p w14:paraId="3D0EDD24" w14:textId="77777777" w:rsidR="00F76CA1" w:rsidRDefault="00E12445">
      <w:pPr>
        <w:numPr>
          <w:ilvl w:val="3"/>
          <w:numId w:val="1"/>
        </w:numPr>
        <w:spacing w:after="0" w:line="259" w:lineRule="auto"/>
        <w:ind w:left="1962" w:right="128" w:hanging="350"/>
      </w:pPr>
      <w:r>
        <w:t>Research &amp; d</w:t>
      </w:r>
      <w:r>
        <w:rPr>
          <w:sz w:val="24"/>
        </w:rPr>
        <w:t>evelopment (R&amp;D)</w:t>
      </w:r>
      <w:r>
        <w:rPr>
          <w:b/>
          <w:sz w:val="24"/>
        </w:rPr>
        <w:t xml:space="preserve">  </w:t>
      </w:r>
    </w:p>
    <w:p w14:paraId="7E46733C" w14:textId="77777777" w:rsidR="00F76CA1" w:rsidRDefault="00E12445">
      <w:pPr>
        <w:numPr>
          <w:ilvl w:val="3"/>
          <w:numId w:val="1"/>
        </w:numPr>
        <w:ind w:left="1962" w:right="128" w:hanging="350"/>
      </w:pPr>
      <w:r>
        <w:t xml:space="preserve">R &amp; D support services  </w:t>
      </w:r>
    </w:p>
    <w:p w14:paraId="6FBFB7BC" w14:textId="77777777" w:rsidR="00F76CA1" w:rsidRDefault="00E12445">
      <w:pPr>
        <w:numPr>
          <w:ilvl w:val="3"/>
          <w:numId w:val="1"/>
        </w:numPr>
        <w:ind w:left="1962" w:right="128" w:hanging="350"/>
      </w:pPr>
      <w:r>
        <w:t xml:space="preserve">Support services (non-R&amp;D)       </w:t>
      </w:r>
    </w:p>
    <w:p w14:paraId="28F899B7" w14:textId="77777777" w:rsidR="00F76CA1" w:rsidRDefault="00E12445">
      <w:pPr>
        <w:ind w:left="1622" w:right="128"/>
      </w:pPr>
      <w:proofErr w:type="gramStart"/>
      <w:r>
        <w:rPr>
          <w:rFonts w:ascii="Wingdings" w:eastAsia="Wingdings" w:hAnsi="Wingdings" w:cs="Wingdings"/>
          <w:sz w:val="24"/>
        </w:rPr>
        <w:t></w:t>
      </w:r>
      <w:r>
        <w:rPr>
          <w:b/>
          <w:sz w:val="24"/>
        </w:rPr>
        <w:t xml:space="preserve">  </w:t>
      </w:r>
      <w:r>
        <w:t>Supplies</w:t>
      </w:r>
      <w:proofErr w:type="gramEnd"/>
      <w:r>
        <w:t xml:space="preserve">/equipment </w:t>
      </w:r>
    </w:p>
    <w:p w14:paraId="642DC30A" w14:textId="77777777" w:rsidR="00F76CA1" w:rsidRDefault="00E12445">
      <w:pPr>
        <w:numPr>
          <w:ilvl w:val="3"/>
          <w:numId w:val="1"/>
        </w:numPr>
        <w:ind w:left="1962" w:right="128" w:hanging="350"/>
      </w:pPr>
      <w:r>
        <w:t xml:space="preserve">Information technology (IT)                </w:t>
      </w:r>
    </w:p>
    <w:p w14:paraId="4AA0545D" w14:textId="77777777" w:rsidR="00F76CA1" w:rsidRDefault="00E12445">
      <w:pPr>
        <w:numPr>
          <w:ilvl w:val="3"/>
          <w:numId w:val="1"/>
        </w:numPr>
        <w:ind w:left="1962" w:right="128" w:hanging="350"/>
      </w:pPr>
      <w:r>
        <w:t xml:space="preserve">Construction </w:t>
      </w:r>
    </w:p>
    <w:p w14:paraId="03D145B0" w14:textId="77777777" w:rsidR="00F76CA1" w:rsidRDefault="00E12445">
      <w:pPr>
        <w:numPr>
          <w:ilvl w:val="3"/>
          <w:numId w:val="1"/>
        </w:numPr>
        <w:ind w:left="1962" w:right="128" w:hanging="350"/>
      </w:pPr>
      <w:r>
        <w:t>Architect-engineer</w:t>
      </w:r>
      <w:r>
        <w:rPr>
          <w:sz w:val="24"/>
        </w:rPr>
        <w:t xml:space="preserve"> (</w:t>
      </w:r>
      <w:r>
        <w:t xml:space="preserve">A &amp; E) services                             </w:t>
      </w:r>
    </w:p>
    <w:p w14:paraId="0E6B1282" w14:textId="77777777" w:rsidR="00F76CA1" w:rsidRDefault="00E12445">
      <w:pPr>
        <w:numPr>
          <w:ilvl w:val="3"/>
          <w:numId w:val="1"/>
        </w:numPr>
        <w:ind w:left="1962" w:right="128" w:hanging="350"/>
      </w:pPr>
      <w:r>
        <w:t xml:space="preserve">Design-build </w:t>
      </w:r>
    </w:p>
    <w:p w14:paraId="3CB1C717" w14:textId="77777777" w:rsidR="00F76CA1" w:rsidRDefault="00E12445">
      <w:pPr>
        <w:spacing w:after="0" w:line="259" w:lineRule="auto"/>
        <w:ind w:left="0" w:right="107" w:firstLine="0"/>
        <w:jc w:val="center"/>
      </w:pPr>
      <w:proofErr w:type="gramStart"/>
      <w:r>
        <w:rPr>
          <w:rFonts w:ascii="Wingdings" w:eastAsia="Wingdings" w:hAnsi="Wingdings" w:cs="Wingdings"/>
          <w:sz w:val="24"/>
        </w:rPr>
        <w:t></w:t>
      </w:r>
      <w:r>
        <w:rPr>
          <w:rFonts w:ascii="Times New Roman" w:eastAsia="Times New Roman" w:hAnsi="Times New Roman" w:cs="Times New Roman"/>
          <w:b/>
          <w:sz w:val="24"/>
        </w:rPr>
        <w:t xml:space="preserve">  </w:t>
      </w:r>
      <w:r>
        <w:t>Other</w:t>
      </w:r>
      <w:proofErr w:type="gramEnd"/>
      <w:r>
        <w:t xml:space="preserve"> (specify): __</w:t>
      </w:r>
      <w:r>
        <w:rPr>
          <w:u w:val="single" w:color="000000"/>
        </w:rPr>
        <w:t>Direct Patient Care_</w:t>
      </w:r>
      <w:r>
        <w:t xml:space="preserve"> </w:t>
      </w:r>
    </w:p>
    <w:p w14:paraId="0B2F8A3C" w14:textId="77777777" w:rsidR="00F76CA1" w:rsidRDefault="00E12445">
      <w:pPr>
        <w:spacing w:after="0" w:line="259" w:lineRule="auto"/>
        <w:ind w:left="1620" w:firstLine="0"/>
      </w:pPr>
      <w:r>
        <w:t xml:space="preserve"> </w:t>
      </w:r>
    </w:p>
    <w:p w14:paraId="39D6E136" w14:textId="77777777" w:rsidR="00F76CA1" w:rsidRDefault="00E12445">
      <w:pPr>
        <w:numPr>
          <w:ilvl w:val="2"/>
          <w:numId w:val="1"/>
        </w:numPr>
        <w:spacing w:after="231"/>
        <w:ind w:right="107" w:hanging="360"/>
      </w:pPr>
      <w:r>
        <w:rPr>
          <w:b/>
        </w:rPr>
        <w:t xml:space="preserve">Type of action.   </w:t>
      </w:r>
    </w:p>
    <w:p w14:paraId="038A9E0D" w14:textId="77777777" w:rsidR="00F76CA1" w:rsidRDefault="00E12445">
      <w:pPr>
        <w:numPr>
          <w:ilvl w:val="3"/>
          <w:numId w:val="1"/>
        </w:numPr>
        <w:ind w:left="1962" w:right="128" w:hanging="350"/>
      </w:pPr>
      <w:r>
        <w:t xml:space="preserve">New requirement  </w:t>
      </w:r>
      <w:r>
        <w:rPr>
          <w:b/>
          <w:sz w:val="24"/>
        </w:rPr>
        <w:t xml:space="preserve">     </w:t>
      </w:r>
    </w:p>
    <w:p w14:paraId="77DE0C7F" w14:textId="77777777" w:rsidR="00F76CA1" w:rsidRDefault="00E12445">
      <w:pPr>
        <w:numPr>
          <w:ilvl w:val="3"/>
          <w:numId w:val="1"/>
        </w:numPr>
        <w:ind w:left="1962" w:right="128" w:hanging="350"/>
      </w:pPr>
      <w:r>
        <w:t xml:space="preserve">Follow-on </w:t>
      </w:r>
    </w:p>
    <w:p w14:paraId="1C9251AF" w14:textId="77777777" w:rsidR="00F76CA1" w:rsidRDefault="00E12445">
      <w:pPr>
        <w:spacing w:after="0" w:line="259" w:lineRule="auto"/>
        <w:ind w:left="1620" w:firstLine="0"/>
      </w:pPr>
      <w:proofErr w:type="gramStart"/>
      <w:r>
        <w:rPr>
          <w:rFonts w:ascii="Wingdings" w:eastAsia="Wingdings" w:hAnsi="Wingdings" w:cs="Wingdings"/>
          <w:sz w:val="24"/>
        </w:rPr>
        <w:t></w:t>
      </w:r>
      <w:r>
        <w:rPr>
          <w:b/>
          <w:sz w:val="24"/>
        </w:rPr>
        <w:t xml:space="preserve">  </w:t>
      </w:r>
      <w:r>
        <w:t>Other</w:t>
      </w:r>
      <w:proofErr w:type="gramEnd"/>
      <w:r>
        <w:t xml:space="preserve"> (specify): __</w:t>
      </w:r>
      <w:r>
        <w:rPr>
          <w:u w:val="single" w:color="000000"/>
        </w:rPr>
        <w:t>Requirement for Patient Care______</w:t>
      </w:r>
      <w:r>
        <w:t xml:space="preserve"> </w:t>
      </w:r>
    </w:p>
    <w:p w14:paraId="34546FA1" w14:textId="77777777" w:rsidR="00F76CA1" w:rsidRDefault="00E12445">
      <w:pPr>
        <w:spacing w:after="0" w:line="259" w:lineRule="auto"/>
        <w:ind w:left="1620" w:firstLine="0"/>
      </w:pPr>
      <w:r>
        <w:t xml:space="preserve"> </w:t>
      </w:r>
    </w:p>
    <w:p w14:paraId="264B5127" w14:textId="77777777" w:rsidR="00F76CA1" w:rsidRDefault="00E12445">
      <w:pPr>
        <w:numPr>
          <w:ilvl w:val="2"/>
          <w:numId w:val="1"/>
        </w:numPr>
        <w:spacing w:after="231"/>
        <w:ind w:right="107" w:hanging="360"/>
      </w:pPr>
      <w:r>
        <w:rPr>
          <w:b/>
        </w:rPr>
        <w:t xml:space="preserve">Proposed contract/order type.   </w:t>
      </w:r>
    </w:p>
    <w:p w14:paraId="3274FA98" w14:textId="77777777" w:rsidR="00F76CA1" w:rsidRDefault="00E12445">
      <w:pPr>
        <w:ind w:left="1622" w:right="128"/>
      </w:pPr>
      <w:proofErr w:type="gramStart"/>
      <w:r>
        <w:rPr>
          <w:rFonts w:ascii="Wingdings" w:eastAsia="Wingdings" w:hAnsi="Wingdings" w:cs="Wingdings"/>
          <w:sz w:val="24"/>
        </w:rPr>
        <w:lastRenderedPageBreak/>
        <w:t></w:t>
      </w:r>
      <w:r>
        <w:rPr>
          <w:b/>
          <w:sz w:val="24"/>
        </w:rPr>
        <w:t xml:space="preserve">  </w:t>
      </w:r>
      <w:r>
        <w:t>Firm</w:t>
      </w:r>
      <w:proofErr w:type="gramEnd"/>
      <w:r>
        <w:t>-fixed-price</w:t>
      </w:r>
      <w:r>
        <w:rPr>
          <w:b/>
        </w:rPr>
        <w:t xml:space="preserve">  </w:t>
      </w:r>
    </w:p>
    <w:p w14:paraId="4CBE6040" w14:textId="77777777" w:rsidR="00F76CA1" w:rsidRDefault="00E12445">
      <w:pPr>
        <w:numPr>
          <w:ilvl w:val="3"/>
          <w:numId w:val="1"/>
        </w:numPr>
        <w:ind w:left="1962" w:right="128" w:hanging="350"/>
      </w:pPr>
      <w:proofErr w:type="gramStart"/>
      <w:r>
        <w:t>Other</w:t>
      </w:r>
      <w:proofErr w:type="gramEnd"/>
      <w:r>
        <w:t xml:space="preserve"> fixed-price (specify, e.g., fixed-price award-fee, fixed-price incentive-fee</w:t>
      </w:r>
      <w:proofErr w:type="gramStart"/>
      <w:r>
        <w:t>): _</w:t>
      </w:r>
      <w:proofErr w:type="gramEnd"/>
      <w:r>
        <w:t xml:space="preserve">_________ </w:t>
      </w:r>
    </w:p>
    <w:p w14:paraId="3E7F5895" w14:textId="77777777" w:rsidR="00F76CA1" w:rsidRDefault="00E12445">
      <w:pPr>
        <w:numPr>
          <w:ilvl w:val="3"/>
          <w:numId w:val="1"/>
        </w:numPr>
        <w:ind w:left="1962" w:right="128" w:hanging="350"/>
      </w:pPr>
      <w:r>
        <w:t xml:space="preserve">Cost-plus-fixed-fee </w:t>
      </w:r>
    </w:p>
    <w:p w14:paraId="36762418" w14:textId="77777777" w:rsidR="00F76CA1" w:rsidRDefault="00E12445">
      <w:pPr>
        <w:numPr>
          <w:ilvl w:val="3"/>
          <w:numId w:val="1"/>
        </w:numPr>
        <w:ind w:left="1962" w:right="128" w:hanging="350"/>
      </w:pPr>
      <w:r>
        <w:t xml:space="preserve">Other cost reimbursement (specify, e.g., cost-plus-award-fee, </w:t>
      </w:r>
      <w:proofErr w:type="spellStart"/>
      <w:r>
        <w:t>costplus</w:t>
      </w:r>
      <w:proofErr w:type="spellEnd"/>
      <w:r>
        <w:t xml:space="preserve">-incentive-fee): ___________ </w:t>
      </w:r>
    </w:p>
    <w:p w14:paraId="6D538FFF" w14:textId="77777777" w:rsidR="00F76CA1" w:rsidRDefault="00E12445">
      <w:pPr>
        <w:numPr>
          <w:ilvl w:val="3"/>
          <w:numId w:val="1"/>
        </w:numPr>
        <w:ind w:left="1962" w:right="128" w:hanging="350"/>
      </w:pPr>
      <w:r>
        <w:t xml:space="preserve">Time and materials </w:t>
      </w:r>
    </w:p>
    <w:p w14:paraId="39C81D54" w14:textId="77777777" w:rsidR="00F76CA1" w:rsidRDefault="00E12445">
      <w:pPr>
        <w:numPr>
          <w:ilvl w:val="3"/>
          <w:numId w:val="1"/>
        </w:numPr>
        <w:ind w:left="1962" w:right="128" w:hanging="350"/>
      </w:pPr>
      <w:r>
        <w:t xml:space="preserve">Indefinite delivery (specify whether indefinite </w:t>
      </w:r>
      <w:proofErr w:type="gramStart"/>
      <w:r>
        <w:t xml:space="preserve">quantity,   </w:t>
      </w:r>
      <w:proofErr w:type="gramEnd"/>
      <w:r>
        <w:t xml:space="preserve">     definite quantity, or requirements</w:t>
      </w:r>
      <w:proofErr w:type="gramStart"/>
      <w:r>
        <w:t>): _</w:t>
      </w:r>
      <w:proofErr w:type="gramEnd"/>
      <w:r>
        <w:t xml:space="preserve">__________    </w:t>
      </w:r>
    </w:p>
    <w:p w14:paraId="4D19E460" w14:textId="77777777" w:rsidR="00F76CA1" w:rsidRDefault="00E12445">
      <w:pPr>
        <w:numPr>
          <w:ilvl w:val="3"/>
          <w:numId w:val="1"/>
        </w:numPr>
        <w:ind w:left="1962" w:right="128" w:hanging="350"/>
      </w:pPr>
      <w:r>
        <w:t>Other (specify):</w:t>
      </w:r>
      <w:r>
        <w:rPr>
          <w:sz w:val="24"/>
        </w:rPr>
        <w:t xml:space="preserve"> _</w:t>
      </w:r>
      <w:r>
        <w:rPr>
          <w:sz w:val="24"/>
          <w:u w:val="single" w:color="000000"/>
        </w:rPr>
        <w:t xml:space="preserve"> ______</w:t>
      </w:r>
      <w:r>
        <w:t xml:space="preserve"> </w:t>
      </w:r>
    </w:p>
    <w:p w14:paraId="755B0DF0" w14:textId="77777777" w:rsidR="00F76CA1" w:rsidRDefault="00E12445">
      <w:pPr>
        <w:numPr>
          <w:ilvl w:val="3"/>
          <w:numId w:val="1"/>
        </w:numPr>
        <w:spacing w:after="238"/>
        <w:ind w:left="1962" w:right="128" w:hanging="350"/>
      </w:pPr>
      <w:r>
        <w:t xml:space="preserve">Completion Form    </w:t>
      </w:r>
      <w:proofErr w:type="gramStart"/>
      <w:r>
        <w:rPr>
          <w:rFonts w:ascii="Wingdings" w:eastAsia="Wingdings" w:hAnsi="Wingdings" w:cs="Wingdings"/>
          <w:sz w:val="24"/>
        </w:rPr>
        <w:t>❑</w:t>
      </w:r>
      <w:r>
        <w:t xml:space="preserve">  Term</w:t>
      </w:r>
      <w:proofErr w:type="gramEnd"/>
      <w:r>
        <w:t xml:space="preserve"> form        </w:t>
      </w:r>
    </w:p>
    <w:p w14:paraId="4132B2F0" w14:textId="77777777" w:rsidR="00F76CA1" w:rsidRDefault="00E12445">
      <w:pPr>
        <w:tabs>
          <w:tab w:val="center" w:pos="1582"/>
          <w:tab w:val="center" w:pos="3863"/>
        </w:tabs>
        <w:spacing w:after="189"/>
        <w:ind w:left="0" w:firstLine="0"/>
      </w:pPr>
      <w:r>
        <w:rPr>
          <w:rFonts w:ascii="Calibri" w:eastAsia="Calibri" w:hAnsi="Calibri" w:cs="Calibri"/>
        </w:rPr>
        <w:tab/>
      </w:r>
      <w:r>
        <w:rPr>
          <w:rFonts w:ascii="Segoe UI Symbol" w:eastAsia="Segoe UI Symbol" w:hAnsi="Segoe UI Symbol" w:cs="Segoe UI Symbol"/>
        </w:rPr>
        <w:t>•</w:t>
      </w:r>
      <w:r>
        <w:rPr>
          <w:b/>
        </w:rPr>
        <w:t xml:space="preserve"> </w:t>
      </w:r>
      <w:r>
        <w:rPr>
          <w:b/>
        </w:rPr>
        <w:tab/>
        <w:t>Acquisition identification number. NA</w:t>
      </w:r>
      <w:r>
        <w:rPr>
          <w:b/>
          <w:color w:val="FF0000"/>
        </w:rPr>
        <w:t xml:space="preserve"> </w:t>
      </w:r>
    </w:p>
    <w:p w14:paraId="510779AD" w14:textId="77777777" w:rsidR="00F76CA1" w:rsidRDefault="00E12445">
      <w:pPr>
        <w:numPr>
          <w:ilvl w:val="1"/>
          <w:numId w:val="1"/>
        </w:numPr>
        <w:spacing w:after="10"/>
        <w:ind w:right="128" w:hanging="422"/>
      </w:pPr>
      <w:r>
        <w:rPr>
          <w:b/>
        </w:rPr>
        <w:t xml:space="preserve">Total estimated dollar value and performance/delivery period: </w:t>
      </w:r>
    </w:p>
    <w:p w14:paraId="1DBF0532" w14:textId="11F591D4" w:rsidR="00132C0E" w:rsidRPr="00132C0E" w:rsidRDefault="00E12445" w:rsidP="00132C0E">
      <w:pPr>
        <w:spacing w:after="0" w:line="240" w:lineRule="auto"/>
        <w:ind w:left="0" w:firstLine="0"/>
        <w:rPr>
          <w:rFonts w:eastAsia="Times New Roman"/>
          <w:b/>
          <w:bCs/>
          <w:color w:val="auto"/>
          <w:kern w:val="0"/>
          <w:szCs w:val="22"/>
          <w14:ligatures w14:val="none"/>
        </w:rPr>
      </w:pPr>
      <w:r>
        <w:rPr>
          <w:b/>
        </w:rPr>
        <w:t xml:space="preserve"> </w:t>
      </w:r>
      <w:r w:rsidR="00132C0E">
        <w:rPr>
          <w:b/>
        </w:rPr>
        <w:tab/>
      </w:r>
      <w:r w:rsidR="00132C0E">
        <w:rPr>
          <w:b/>
        </w:rPr>
        <w:tab/>
      </w:r>
      <w:r w:rsidR="00132C0E" w:rsidRPr="00132C0E">
        <w:rPr>
          <w:rFonts w:eastAsia="Times New Roman"/>
          <w:b/>
          <w:bCs/>
          <w:color w:val="0F4761" w:themeColor="accent1" w:themeShade="BF"/>
          <w:kern w:val="0"/>
          <w:szCs w:val="22"/>
          <w14:ligatures w14:val="none"/>
        </w:rPr>
        <w:t>$1,776,695.83</w:t>
      </w:r>
    </w:p>
    <w:p w14:paraId="76D682F7" w14:textId="409EB8C7" w:rsidR="00132C0E" w:rsidRPr="00132C0E" w:rsidRDefault="00132C0E" w:rsidP="00132C0E">
      <w:pPr>
        <w:spacing w:after="0" w:line="240" w:lineRule="auto"/>
        <w:ind w:left="602" w:firstLine="720"/>
        <w:rPr>
          <w:rFonts w:ascii="Aptos Narrow" w:eastAsia="Times New Roman" w:hAnsi="Aptos Narrow" w:cs="Times New Roman"/>
          <w:color w:val="auto"/>
          <w:kern w:val="0"/>
          <w:szCs w:val="22"/>
          <w14:ligatures w14:val="none"/>
        </w:rPr>
      </w:pPr>
    </w:p>
    <w:p w14:paraId="26D3CF8B" w14:textId="5CD410F7" w:rsidR="00F76CA1" w:rsidRDefault="00F76CA1" w:rsidP="00AB3644">
      <w:pPr>
        <w:spacing w:after="0" w:line="259" w:lineRule="auto"/>
        <w:ind w:firstLine="412"/>
      </w:pPr>
    </w:p>
    <w:p w14:paraId="26CDDE57" w14:textId="77777777" w:rsidR="00F76CA1" w:rsidRDefault="00E12445">
      <w:pPr>
        <w:spacing w:after="0" w:line="259" w:lineRule="auto"/>
        <w:ind w:left="1620" w:firstLine="0"/>
      </w:pPr>
      <w:r>
        <w:rPr>
          <w:b/>
        </w:rPr>
        <w:t xml:space="preserve"> </w:t>
      </w:r>
    </w:p>
    <w:p w14:paraId="42D77716" w14:textId="77777777" w:rsidR="00F76CA1" w:rsidRDefault="00E12445">
      <w:pPr>
        <w:numPr>
          <w:ilvl w:val="0"/>
          <w:numId w:val="1"/>
        </w:numPr>
        <w:spacing w:after="0"/>
        <w:ind w:right="107" w:hanging="451"/>
      </w:pPr>
      <w:r>
        <w:rPr>
          <w:b/>
        </w:rPr>
        <w:t xml:space="preserve">Identification of the statutory authority permitting other than full and open competition.  </w:t>
      </w:r>
      <w:r>
        <w:rPr>
          <w:i/>
        </w:rPr>
        <w:t xml:space="preserve"> </w:t>
      </w:r>
    </w:p>
    <w:p w14:paraId="5F006BC5" w14:textId="77777777" w:rsidR="00F76CA1" w:rsidRDefault="00E12445">
      <w:pPr>
        <w:spacing w:after="0" w:line="259" w:lineRule="auto"/>
        <w:ind w:left="540" w:firstLine="0"/>
      </w:pPr>
      <w:r>
        <w:rPr>
          <w:i/>
        </w:rPr>
        <w:t xml:space="preserve"> </w:t>
      </w:r>
    </w:p>
    <w:p w14:paraId="2E334A2C" w14:textId="77777777" w:rsidR="00F76CA1" w:rsidRDefault="00E12445">
      <w:pPr>
        <w:spacing w:after="0"/>
        <w:ind w:left="1260" w:right="107" w:hanging="360"/>
      </w:pPr>
      <w:proofErr w:type="gramStart"/>
      <w:r>
        <w:rPr>
          <w:rFonts w:ascii="Wingdings" w:eastAsia="Wingdings" w:hAnsi="Wingdings" w:cs="Wingdings"/>
          <w:sz w:val="24"/>
        </w:rPr>
        <w:t></w:t>
      </w:r>
      <w:r>
        <w:t xml:space="preserve">  </w:t>
      </w:r>
      <w:r>
        <w:rPr>
          <w:b/>
        </w:rPr>
        <w:t>This</w:t>
      </w:r>
      <w:proofErr w:type="gramEnd"/>
      <w:r>
        <w:rPr>
          <w:b/>
        </w:rPr>
        <w:t xml:space="preserve"> acquisition is conducted under the authority of 10U.S.C. 2304 (c) (2), 41 United States Code (U.S.C.) 253(c)(2) as set forth in Federal Acquisition Regulation (FAR) 6.302- 1: </w:t>
      </w:r>
      <w:r>
        <w:rPr>
          <w:b/>
          <w:i/>
        </w:rPr>
        <w:t xml:space="preserve">Only one responsible source. </w:t>
      </w:r>
      <w:r>
        <w:t xml:space="preserve">     </w:t>
      </w:r>
      <w:r>
        <w:rPr>
          <w:i/>
        </w:rPr>
        <w:t xml:space="preserve"> </w:t>
      </w:r>
    </w:p>
    <w:p w14:paraId="00B13927" w14:textId="77777777" w:rsidR="00F76CA1" w:rsidRDefault="00E12445">
      <w:pPr>
        <w:spacing w:after="0" w:line="259" w:lineRule="auto"/>
        <w:ind w:left="900" w:firstLine="0"/>
      </w:pPr>
      <w:r>
        <w:rPr>
          <w:i/>
        </w:rPr>
        <w:t xml:space="preserve"> </w:t>
      </w:r>
    </w:p>
    <w:p w14:paraId="29EA455E" w14:textId="77777777" w:rsidR="00F76CA1" w:rsidRDefault="00E12445">
      <w:pPr>
        <w:numPr>
          <w:ilvl w:val="0"/>
          <w:numId w:val="1"/>
        </w:numPr>
        <w:spacing w:after="231"/>
        <w:ind w:right="107" w:hanging="451"/>
      </w:pPr>
      <w:r>
        <w:rPr>
          <w:b/>
        </w:rPr>
        <w:t xml:space="preserve">Demonstration that the proposed contractor(s) unique qualifications or the nature of the acquisition requires use of the authority cited.  </w:t>
      </w:r>
      <w:r>
        <w:rPr>
          <w:color w:val="FF0000"/>
        </w:rPr>
        <w:t xml:space="preserve"> </w:t>
      </w:r>
    </w:p>
    <w:p w14:paraId="1B73E378" w14:textId="77777777" w:rsidR="00F76CA1" w:rsidRDefault="00E12445">
      <w:pPr>
        <w:numPr>
          <w:ilvl w:val="1"/>
          <w:numId w:val="1"/>
        </w:numPr>
        <w:spacing w:after="231"/>
        <w:ind w:right="128" w:hanging="422"/>
      </w:pPr>
      <w:r>
        <w:rPr>
          <w:b/>
        </w:rPr>
        <w:t>Name and address of the proposed contractor(s).</w:t>
      </w:r>
      <w:r>
        <w:rPr>
          <w:b/>
          <w:color w:val="1F497D"/>
        </w:rPr>
        <w:t xml:space="preserve"> </w:t>
      </w:r>
    </w:p>
    <w:p w14:paraId="47EA3A0A" w14:textId="0AD7FA66" w:rsidR="00F76CA1" w:rsidRPr="00C456D0" w:rsidRDefault="00307630" w:rsidP="00B6243A">
      <w:pPr>
        <w:ind w:left="1450" w:right="128"/>
        <w:rPr>
          <w:color w:val="auto"/>
          <w:szCs w:val="22"/>
        </w:rPr>
      </w:pPr>
      <w:r w:rsidRPr="00C456D0">
        <w:rPr>
          <w:color w:val="auto"/>
          <w:szCs w:val="22"/>
        </w:rPr>
        <w:t>BD Biosciences</w:t>
      </w:r>
      <w:r w:rsidR="00E12445" w:rsidRPr="00C456D0">
        <w:rPr>
          <w:rFonts w:eastAsia="Times New Roman"/>
          <w:color w:val="auto"/>
          <w:szCs w:val="22"/>
        </w:rPr>
        <w:t xml:space="preserve"> </w:t>
      </w:r>
    </w:p>
    <w:p w14:paraId="0A2F1903" w14:textId="0F0D8CC3" w:rsidR="00C456D0" w:rsidRPr="00C456D0" w:rsidRDefault="00C456D0" w:rsidP="00B6243A">
      <w:pPr>
        <w:ind w:left="1450" w:right="128"/>
        <w:rPr>
          <w:color w:val="auto"/>
          <w:szCs w:val="22"/>
        </w:rPr>
      </w:pPr>
      <w:r w:rsidRPr="00C456D0">
        <w:rPr>
          <w:color w:val="auto"/>
          <w:szCs w:val="22"/>
        </w:rPr>
        <w:t xml:space="preserve">2350 Qume Drive </w:t>
      </w:r>
    </w:p>
    <w:p w14:paraId="7FC15FBE" w14:textId="16DCAB1D" w:rsidR="00F76CA1" w:rsidRPr="00C456D0" w:rsidRDefault="00C456D0" w:rsidP="00B6243A">
      <w:pPr>
        <w:ind w:left="1450" w:right="128"/>
        <w:rPr>
          <w:color w:val="auto"/>
          <w:szCs w:val="22"/>
        </w:rPr>
      </w:pPr>
      <w:r w:rsidRPr="00C456D0">
        <w:rPr>
          <w:color w:val="auto"/>
          <w:szCs w:val="22"/>
        </w:rPr>
        <w:t>San Jose, CA 95131</w:t>
      </w:r>
      <w:r w:rsidR="00E12445" w:rsidRPr="00C456D0">
        <w:rPr>
          <w:rFonts w:eastAsia="Times New Roman"/>
          <w:color w:val="auto"/>
          <w:szCs w:val="22"/>
        </w:rPr>
        <w:t xml:space="preserve">  </w:t>
      </w:r>
    </w:p>
    <w:p w14:paraId="3882F6E8" w14:textId="79063E6C" w:rsidR="00F76CA1" w:rsidRDefault="00E12445">
      <w:pPr>
        <w:spacing w:after="229"/>
        <w:ind w:left="5033" w:right="3677" w:hanging="3421"/>
      </w:pPr>
      <w:r>
        <w:tab/>
      </w:r>
      <w:r>
        <w:rPr>
          <w:rFonts w:ascii="Times New Roman" w:eastAsia="Times New Roman" w:hAnsi="Times New Roman" w:cs="Times New Roman"/>
          <w:b/>
          <w:color w:val="1F497D"/>
          <w:sz w:val="24"/>
        </w:rPr>
        <w:t xml:space="preserve"> </w:t>
      </w:r>
      <w:r>
        <w:t xml:space="preserve"> </w:t>
      </w:r>
    </w:p>
    <w:p w14:paraId="2D0D0CA5" w14:textId="77777777" w:rsidR="00F93CFA" w:rsidRPr="00132C0E" w:rsidRDefault="00E12445">
      <w:pPr>
        <w:numPr>
          <w:ilvl w:val="1"/>
          <w:numId w:val="1"/>
        </w:numPr>
        <w:spacing w:after="230"/>
        <w:ind w:right="128" w:hanging="422"/>
      </w:pPr>
      <w:r w:rsidRPr="00132C0E">
        <w:rPr>
          <w:b/>
        </w:rPr>
        <w:t xml:space="preserve">Nature of the acquisition and proposed unique qualifications of the contractor(s).  </w:t>
      </w:r>
    </w:p>
    <w:p w14:paraId="1346F7ED" w14:textId="203BB149" w:rsidR="00F76CA1" w:rsidRPr="00E12445" w:rsidRDefault="001F39AA" w:rsidP="00F93CFA">
      <w:pPr>
        <w:spacing w:after="230"/>
        <w:ind w:left="1322" w:right="128" w:firstLine="0"/>
        <w:rPr>
          <w:highlight w:val="yellow"/>
        </w:rPr>
      </w:pPr>
      <w:r w:rsidRPr="00C3627A">
        <w:rPr>
          <w:bCs/>
        </w:rPr>
        <w:t>Lot release assay</w:t>
      </w:r>
      <w:r w:rsidR="00C3627A" w:rsidRPr="00C3627A">
        <w:rPr>
          <w:bCs/>
        </w:rPr>
        <w:t xml:space="preserve"> of flow cytometry </w:t>
      </w:r>
      <w:r w:rsidR="00E12445" w:rsidRPr="00C3627A">
        <w:t xml:space="preserve">is only allowing specific reagents to be </w:t>
      </w:r>
      <w:r w:rsidR="00C3627A" w:rsidRPr="00C3627A">
        <w:t>used and</w:t>
      </w:r>
      <w:r w:rsidR="00E12445" w:rsidRPr="00C3627A">
        <w:t xml:space="preserve"> prohibits the substitution of any reagent/process named in the original protocol submission. The substitution would risk the consistency of the results. </w:t>
      </w:r>
    </w:p>
    <w:p w14:paraId="0BE53AD2" w14:textId="3212171E" w:rsidR="00C3627A" w:rsidRDefault="00F93CFA">
      <w:pPr>
        <w:spacing w:after="253"/>
        <w:ind w:left="1270" w:right="128"/>
        <w:rPr>
          <w:highlight w:val="yellow"/>
        </w:rPr>
      </w:pPr>
      <w:r w:rsidRPr="00F93CFA">
        <w:t>BD Bioscience is the sole manufacturer of these GMP level reagents and supplies. This is a sole source acquisition.</w:t>
      </w:r>
      <w:r>
        <w:t xml:space="preserve"> </w:t>
      </w:r>
      <w:r w:rsidR="00C3627A" w:rsidRPr="00C3627A">
        <w:t xml:space="preserve">BD </w:t>
      </w:r>
      <w:r w:rsidR="004F7BA0" w:rsidRPr="00C3627A">
        <w:t>Biosciences,</w:t>
      </w:r>
      <w:r w:rsidR="00C3627A" w:rsidRPr="00C3627A">
        <w:t xml:space="preserve"> Market Leader for FLOW QC assays, has broad, </w:t>
      </w:r>
      <w:r w:rsidR="004F7BA0" w:rsidRPr="00C3627A">
        <w:t>vertically integrated</w:t>
      </w:r>
      <w:r w:rsidR="00C3627A" w:rsidRPr="00C3627A">
        <w:t xml:space="preserve"> portfolio of clinical instruments, reagents, and validated QC products (e.g., compensation beads, controls) widely used in clinical labs. Strong regulatory footprint with many </w:t>
      </w:r>
      <w:r w:rsidR="00C3627A" w:rsidRPr="00C3627A">
        <w:lastRenderedPageBreak/>
        <w:t>FDA/CE-IVD–cleared panels and reagents, supporting diagnostic workflows. Extensive global support and service network, with mature software. Established supply chain and long-term reagent availability.</w:t>
      </w:r>
      <w:r w:rsidR="00C3627A" w:rsidRPr="004F7BA0">
        <w:t xml:space="preserve"> </w:t>
      </w:r>
      <w:r w:rsidR="00E12445" w:rsidRPr="004F7BA0">
        <w:t xml:space="preserve">The CCE </w:t>
      </w:r>
      <w:r w:rsidR="004F7BA0" w:rsidRPr="004F7BA0">
        <w:t>are using FACSLyris from BD Bioscience for Immunophenotyping, using the antibodies and other reagents from same vendor can minimize the validation procedures</w:t>
      </w:r>
      <w:r w:rsidR="00CE1E77">
        <w:t xml:space="preserve">, and so as not to affect the </w:t>
      </w:r>
      <w:r w:rsidR="00CE1E77" w:rsidRPr="00CE1E77">
        <w:t>consistency</w:t>
      </w:r>
      <w:r w:rsidR="00CE1E77">
        <w:t xml:space="preserve"> of the cells and patient treatment plans.</w:t>
      </w:r>
    </w:p>
    <w:p w14:paraId="74E98057" w14:textId="77777777" w:rsidR="00F76CA1" w:rsidRDefault="00E12445">
      <w:pPr>
        <w:spacing w:after="0" w:line="259" w:lineRule="auto"/>
        <w:ind w:left="105" w:firstLine="0"/>
        <w:jc w:val="center"/>
      </w:pPr>
      <w:r>
        <w:t xml:space="preserve"> </w:t>
      </w:r>
    </w:p>
    <w:p w14:paraId="3CED7EF2" w14:textId="77777777" w:rsidR="00F76CA1" w:rsidRDefault="00E12445">
      <w:pPr>
        <w:numPr>
          <w:ilvl w:val="0"/>
          <w:numId w:val="1"/>
        </w:numPr>
        <w:spacing w:after="231"/>
        <w:ind w:right="107" w:hanging="451"/>
      </w:pPr>
      <w:r>
        <w:rPr>
          <w:b/>
        </w:rPr>
        <w:t xml:space="preserve">Description of the efforts made to ensure that offers are solicited from as many potential sources as practicable.  Indicate whether a </w:t>
      </w:r>
      <w:proofErr w:type="spellStart"/>
      <w:r>
        <w:rPr>
          <w:b/>
        </w:rPr>
        <w:t>FedBizOpps</w:t>
      </w:r>
      <w:proofErr w:type="spellEnd"/>
      <w:r>
        <w:rPr>
          <w:b/>
        </w:rPr>
        <w:t xml:space="preserve"> notice was or will be publicized as required by FAR Subpart 5.2 and, if not, which exception under FAR 5.202 applies</w:t>
      </w:r>
      <w:r>
        <w:rPr>
          <w:b/>
          <w:i/>
        </w:rPr>
        <w:t xml:space="preserve">.  </w:t>
      </w:r>
      <w:r>
        <w:rPr>
          <w:color w:val="FF0000"/>
        </w:rPr>
        <w:t xml:space="preserve"> </w:t>
      </w:r>
    </w:p>
    <w:p w14:paraId="7E2BCEC5" w14:textId="09F373EA" w:rsidR="00F76CA1" w:rsidRDefault="00F02F0E">
      <w:pPr>
        <w:spacing w:after="233"/>
        <w:ind w:left="550" w:right="128"/>
      </w:pPr>
      <w:r w:rsidRPr="00F02F0E">
        <w:t xml:space="preserve">The BD Biosciences system, including reagents, consumables, and instrumentation, has been fully evaluated and qualified for use in in-process and lot-release flow cytometry assays for products manufactured at the Center for Cellular Engineering (CCE) and administered to patients at the Clinical Center. Any change to this system would require evaluation of a new platform against the existing validated methodology, development and validation of new manufacturing and QC protocols, execution of comparability studies, retraining of personnel, and submission of required documentation for regulatory review and approval. Such changes would introduce significant risk, cost, and potential delays to ongoing clinical manufacturing and patient care. </w:t>
      </w:r>
    </w:p>
    <w:p w14:paraId="71A858FE" w14:textId="77777777" w:rsidR="00F76CA1" w:rsidRDefault="00E12445">
      <w:pPr>
        <w:numPr>
          <w:ilvl w:val="0"/>
          <w:numId w:val="1"/>
        </w:numPr>
        <w:spacing w:after="231"/>
        <w:ind w:right="107" w:hanging="451"/>
      </w:pPr>
      <w:r>
        <w:rPr>
          <w:b/>
        </w:rPr>
        <w:t xml:space="preserve">Determination by the Contracting Officer that the anticipated cost/price to the Government will be fair and reasonable.   </w:t>
      </w:r>
    </w:p>
    <w:p w14:paraId="626B0B2C" w14:textId="0CC3353F" w:rsidR="00F76CA1" w:rsidRDefault="00E12445">
      <w:pPr>
        <w:spacing w:after="230"/>
        <w:ind w:left="550" w:right="128"/>
      </w:pPr>
      <w:r>
        <w:t xml:space="preserve">The Government anticipates that the proposed cost will be fair and reasonable in accordance with current market conditions and BPA and GSA pricing.  </w:t>
      </w:r>
      <w:r w:rsidR="00624E13">
        <w:t>BD provides 19% to 30% discount for government on this request.</w:t>
      </w:r>
    </w:p>
    <w:p w14:paraId="3F987D69" w14:textId="77777777" w:rsidR="00F76CA1" w:rsidRDefault="00E12445">
      <w:pPr>
        <w:numPr>
          <w:ilvl w:val="0"/>
          <w:numId w:val="1"/>
        </w:numPr>
        <w:spacing w:after="0"/>
        <w:ind w:right="107" w:hanging="451"/>
      </w:pPr>
      <w:r>
        <w:rPr>
          <w:b/>
        </w:rPr>
        <w:t xml:space="preserve">Description of the market research conducted (see FAR Part 10) and the results, or a statement of the reasons market research was not conducted. </w:t>
      </w:r>
      <w:r>
        <w:rPr>
          <w:color w:val="FF0000"/>
        </w:rPr>
        <w:t xml:space="preserve"> </w:t>
      </w:r>
    </w:p>
    <w:p w14:paraId="58100A99" w14:textId="77777777" w:rsidR="00F76CA1" w:rsidRDefault="00E12445">
      <w:pPr>
        <w:spacing w:after="0" w:line="259" w:lineRule="auto"/>
        <w:ind w:left="900" w:firstLine="0"/>
      </w:pPr>
      <w:r>
        <w:rPr>
          <w:b/>
          <w:color w:val="FF0000"/>
        </w:rPr>
        <w:t xml:space="preserve"> </w:t>
      </w:r>
    </w:p>
    <w:p w14:paraId="20232F80" w14:textId="77777777" w:rsidR="00A11D54" w:rsidRPr="00524A22" w:rsidRDefault="00A11D54" w:rsidP="00A11D54">
      <w:pPr>
        <w:pStyle w:val="ListParagraph"/>
        <w:ind w:left="626" w:right="1260"/>
        <w:rPr>
          <w:sz w:val="20"/>
          <w:szCs w:val="20"/>
        </w:rPr>
      </w:pPr>
      <w:r>
        <w:rPr>
          <w:sz w:val="20"/>
          <w:szCs w:val="20"/>
        </w:rPr>
        <w:t xml:space="preserve">This is Sole Source as there is No other </w:t>
      </w:r>
      <w:r w:rsidRPr="001434B5">
        <w:rPr>
          <w:sz w:val="20"/>
          <w:szCs w:val="20"/>
        </w:rPr>
        <w:t xml:space="preserve">comparable </w:t>
      </w:r>
      <w:r>
        <w:rPr>
          <w:sz w:val="20"/>
          <w:szCs w:val="20"/>
        </w:rPr>
        <w:t>vendor. OPC may provide market research to the extent it deems necessary.</w:t>
      </w:r>
    </w:p>
    <w:p w14:paraId="3849E9C9" w14:textId="77777777" w:rsidR="00F76CA1" w:rsidRDefault="00E12445">
      <w:pPr>
        <w:spacing w:after="0" w:line="259" w:lineRule="auto"/>
        <w:ind w:left="900" w:firstLine="0"/>
      </w:pPr>
      <w:r>
        <w:t xml:space="preserve"> </w:t>
      </w:r>
    </w:p>
    <w:p w14:paraId="6F529B14" w14:textId="77777777" w:rsidR="00022E0F" w:rsidRPr="00022E0F" w:rsidRDefault="00E12445">
      <w:pPr>
        <w:numPr>
          <w:ilvl w:val="0"/>
          <w:numId w:val="1"/>
        </w:numPr>
        <w:ind w:right="107" w:hanging="451"/>
      </w:pPr>
      <w:r>
        <w:rPr>
          <w:b/>
        </w:rPr>
        <w:t xml:space="preserve">Any other facts supporting the use of other than full and open competition. </w:t>
      </w:r>
    </w:p>
    <w:p w14:paraId="55B7A9EF" w14:textId="77777777" w:rsidR="00022E0F" w:rsidRDefault="00022E0F" w:rsidP="00022E0F">
      <w:pPr>
        <w:ind w:left="616" w:right="107" w:firstLine="0"/>
        <w:rPr>
          <w:b/>
        </w:rPr>
      </w:pPr>
    </w:p>
    <w:p w14:paraId="069AA5F4" w14:textId="6BCAA41C" w:rsidR="00F76CA1" w:rsidRDefault="00E12445" w:rsidP="00022E0F">
      <w:pPr>
        <w:ind w:left="616" w:right="107" w:firstLine="0"/>
      </w:pPr>
      <w:r>
        <w:t xml:space="preserve">In essence, as described, there is no substitution allowed nor deviation since approved by the FDA, the protocols are approved per this route, and this is specific to the </w:t>
      </w:r>
      <w:r w:rsidR="00022E0F">
        <w:t>BD Biosciences</w:t>
      </w:r>
      <w:r>
        <w:t xml:space="preserve"> instrumentation/platform in place in the Center for Cellular Engineering (CCE)</w:t>
      </w:r>
      <w:r>
        <w:rPr>
          <w:b/>
        </w:rPr>
        <w:t xml:space="preserve"> </w:t>
      </w:r>
    </w:p>
    <w:p w14:paraId="75DD44A0" w14:textId="77777777" w:rsidR="00F76CA1" w:rsidRDefault="00E12445">
      <w:pPr>
        <w:spacing w:after="0" w:line="259" w:lineRule="auto"/>
        <w:ind w:left="900" w:firstLine="0"/>
      </w:pPr>
      <w:r>
        <w:rPr>
          <w:color w:val="FF0000"/>
        </w:rPr>
        <w:t xml:space="preserve"> </w:t>
      </w:r>
    </w:p>
    <w:p w14:paraId="306EFDBC" w14:textId="77777777" w:rsidR="003D34C4" w:rsidRPr="003D34C4" w:rsidRDefault="00E12445">
      <w:pPr>
        <w:numPr>
          <w:ilvl w:val="0"/>
          <w:numId w:val="1"/>
        </w:numPr>
        <w:spacing w:after="0"/>
        <w:ind w:right="107" w:hanging="451"/>
      </w:pPr>
      <w:r>
        <w:rPr>
          <w:b/>
        </w:rPr>
        <w:t xml:space="preserve">Listing of sources, if any, that expressed, in writing, an interest in the acquisition.  </w:t>
      </w:r>
    </w:p>
    <w:p w14:paraId="4AE1E25A" w14:textId="77777777" w:rsidR="003D34C4" w:rsidRDefault="003D34C4" w:rsidP="003D34C4">
      <w:pPr>
        <w:spacing w:after="0"/>
        <w:ind w:left="616" w:right="107" w:firstLine="0"/>
        <w:rPr>
          <w:b/>
        </w:rPr>
      </w:pPr>
    </w:p>
    <w:p w14:paraId="449E96CD" w14:textId="59EDA954" w:rsidR="00F76CA1" w:rsidRDefault="00E12445" w:rsidP="003D34C4">
      <w:pPr>
        <w:spacing w:after="0"/>
        <w:ind w:left="616" w:right="107" w:firstLine="0"/>
      </w:pPr>
      <w:r>
        <w:t xml:space="preserve">Reagents under any specific </w:t>
      </w:r>
      <w:r w:rsidR="003D34C4">
        <w:t>lot release assays</w:t>
      </w:r>
      <w:r>
        <w:t xml:space="preserve"> as required by the FDA.  </w:t>
      </w:r>
    </w:p>
    <w:p w14:paraId="130C06E0" w14:textId="77777777" w:rsidR="00F76CA1" w:rsidRDefault="00E12445">
      <w:pPr>
        <w:spacing w:after="0" w:line="259" w:lineRule="auto"/>
        <w:ind w:left="0" w:firstLine="0"/>
      </w:pPr>
      <w:r>
        <w:rPr>
          <w:color w:val="FF0000"/>
        </w:rPr>
        <w:lastRenderedPageBreak/>
        <w:t xml:space="preserve"> </w:t>
      </w:r>
    </w:p>
    <w:p w14:paraId="4F706F07" w14:textId="77777777" w:rsidR="00F76CA1" w:rsidRDefault="00E12445">
      <w:pPr>
        <w:numPr>
          <w:ilvl w:val="0"/>
          <w:numId w:val="1"/>
        </w:numPr>
        <w:spacing w:after="231"/>
        <w:ind w:right="107" w:hanging="451"/>
      </w:pPr>
      <w:r>
        <w:rPr>
          <w:b/>
        </w:rPr>
        <w:t xml:space="preserve">Statement of the actions, if any, the agency may take to remove or overcome any barriers to competition before any subsequent acquisition for the required supplies or services.  </w:t>
      </w:r>
    </w:p>
    <w:p w14:paraId="27604D77" w14:textId="1216E344" w:rsidR="00F76CA1" w:rsidRDefault="00E12445">
      <w:pPr>
        <w:spacing w:after="227"/>
        <w:ind w:left="99" w:right="128"/>
      </w:pPr>
      <w:r>
        <w:t xml:space="preserve">        </w:t>
      </w:r>
      <w:r w:rsidR="00B6243A">
        <w:t>Currently</w:t>
      </w:r>
      <w:r>
        <w:t xml:space="preserve"> a basic contract is </w:t>
      </w:r>
      <w:r w:rsidR="00F93CFA">
        <w:t>needed,</w:t>
      </w:r>
      <w:r>
        <w:t xml:space="preserve"> and no follow-on contract is anticipated</w:t>
      </w:r>
      <w:r>
        <w:rPr>
          <w:color w:val="FF0000"/>
          <w:sz w:val="20"/>
        </w:rPr>
        <w:t xml:space="preserve"> </w:t>
      </w:r>
    </w:p>
    <w:p w14:paraId="3488939D" w14:textId="77777777" w:rsidR="00F76CA1" w:rsidRDefault="00E12445">
      <w:pPr>
        <w:numPr>
          <w:ilvl w:val="0"/>
          <w:numId w:val="1"/>
        </w:numPr>
        <w:spacing w:after="231"/>
        <w:ind w:right="107" w:hanging="451"/>
      </w:pPr>
      <w:r>
        <w:rPr>
          <w:b/>
        </w:rPr>
        <w:t xml:space="preserve">Program office certification. </w:t>
      </w:r>
      <w:r>
        <w:t xml:space="preserve"> </w:t>
      </w:r>
    </w:p>
    <w:p w14:paraId="7693CF84" w14:textId="77777777" w:rsidR="00F76CA1" w:rsidRDefault="00E12445">
      <w:pPr>
        <w:spacing w:after="10"/>
        <w:ind w:left="550" w:right="107"/>
      </w:pPr>
      <w:r>
        <w:rPr>
          <w:b/>
        </w:rPr>
        <w:t xml:space="preserve">This is to certify that the portions of this justification that have been developed by the undersigned program office personnel, including supporting information and/or data verifying the Government’s minimum needs, schedule requirements and other rationale for other than full and open competition, are accurate and complete.  </w:t>
      </w:r>
      <w:r>
        <w:rPr>
          <w:i/>
        </w:rPr>
        <w:t xml:space="preserve"> </w:t>
      </w:r>
    </w:p>
    <w:tbl>
      <w:tblPr>
        <w:tblStyle w:val="TableGrid"/>
        <w:tblW w:w="8274" w:type="dxa"/>
        <w:tblInd w:w="541" w:type="dxa"/>
        <w:tblCellMar>
          <w:top w:w="11" w:type="dxa"/>
          <w:left w:w="106" w:type="dxa"/>
          <w:right w:w="115" w:type="dxa"/>
        </w:tblCellMar>
        <w:tblLook w:val="04A0" w:firstRow="1" w:lastRow="0" w:firstColumn="1" w:lastColumn="0" w:noHBand="0" w:noVBand="1"/>
      </w:tblPr>
      <w:tblGrid>
        <w:gridCol w:w="2069"/>
        <w:gridCol w:w="2620"/>
        <w:gridCol w:w="2268"/>
        <w:gridCol w:w="1317"/>
      </w:tblGrid>
      <w:tr w:rsidR="00F76CA1" w14:paraId="3DF8E794" w14:textId="77777777">
        <w:trPr>
          <w:trHeight w:val="500"/>
        </w:trPr>
        <w:tc>
          <w:tcPr>
            <w:tcW w:w="2069" w:type="dxa"/>
            <w:tcBorders>
              <w:top w:val="single" w:sz="4" w:space="0" w:color="000000"/>
              <w:left w:val="single" w:sz="4" w:space="0" w:color="000000"/>
              <w:bottom w:val="single" w:sz="4" w:space="0" w:color="000000"/>
              <w:right w:val="single" w:sz="4" w:space="0" w:color="000000"/>
            </w:tcBorders>
            <w:shd w:val="clear" w:color="auto" w:fill="E0E0E0"/>
          </w:tcPr>
          <w:p w14:paraId="1F8CE0DC" w14:textId="77777777" w:rsidR="00F76CA1" w:rsidRDefault="00E12445">
            <w:pPr>
              <w:spacing w:after="0" w:line="259" w:lineRule="auto"/>
              <w:ind w:left="4" w:firstLine="0"/>
              <w:jc w:val="center"/>
            </w:pPr>
            <w:r>
              <w:rPr>
                <w:b/>
              </w:rPr>
              <w:t xml:space="preserve">Official </w:t>
            </w:r>
          </w:p>
        </w:tc>
        <w:tc>
          <w:tcPr>
            <w:tcW w:w="2620" w:type="dxa"/>
            <w:tcBorders>
              <w:top w:val="single" w:sz="4" w:space="0" w:color="000000"/>
              <w:left w:val="single" w:sz="4" w:space="0" w:color="000000"/>
              <w:bottom w:val="single" w:sz="4" w:space="0" w:color="000000"/>
              <w:right w:val="single" w:sz="4" w:space="0" w:color="000000"/>
            </w:tcBorders>
            <w:shd w:val="clear" w:color="auto" w:fill="E0E0E0"/>
          </w:tcPr>
          <w:p w14:paraId="7A9B0C98" w14:textId="77777777" w:rsidR="00F76CA1" w:rsidRDefault="00E12445">
            <w:pPr>
              <w:spacing w:after="0" w:line="259" w:lineRule="auto"/>
              <w:ind w:left="7" w:firstLine="0"/>
              <w:jc w:val="center"/>
            </w:pPr>
            <w:r>
              <w:rPr>
                <w:b/>
              </w:rPr>
              <w:t xml:space="preserve">Name &amp; Title </w:t>
            </w:r>
          </w:p>
        </w:tc>
        <w:tc>
          <w:tcPr>
            <w:tcW w:w="2268" w:type="dxa"/>
            <w:tcBorders>
              <w:top w:val="single" w:sz="4" w:space="0" w:color="000000"/>
              <w:left w:val="single" w:sz="4" w:space="0" w:color="000000"/>
              <w:bottom w:val="single" w:sz="4" w:space="0" w:color="000000"/>
              <w:right w:val="single" w:sz="4" w:space="0" w:color="000000"/>
            </w:tcBorders>
            <w:shd w:val="clear" w:color="auto" w:fill="E0E0E0"/>
          </w:tcPr>
          <w:p w14:paraId="293F17A9" w14:textId="77777777" w:rsidR="00F76CA1" w:rsidRDefault="00E12445">
            <w:pPr>
              <w:spacing w:after="0" w:line="259" w:lineRule="auto"/>
              <w:ind w:left="10" w:firstLine="0"/>
              <w:jc w:val="center"/>
            </w:pPr>
            <w:r>
              <w:rPr>
                <w:b/>
              </w:rPr>
              <w:t xml:space="preserve">Signature </w:t>
            </w:r>
          </w:p>
        </w:tc>
        <w:tc>
          <w:tcPr>
            <w:tcW w:w="1317" w:type="dxa"/>
            <w:tcBorders>
              <w:top w:val="single" w:sz="4" w:space="0" w:color="000000"/>
              <w:left w:val="single" w:sz="4" w:space="0" w:color="000000"/>
              <w:bottom w:val="single" w:sz="4" w:space="0" w:color="000000"/>
              <w:right w:val="single" w:sz="4" w:space="0" w:color="000000"/>
            </w:tcBorders>
            <w:shd w:val="clear" w:color="auto" w:fill="E0E0E0"/>
          </w:tcPr>
          <w:p w14:paraId="747B6C5B" w14:textId="77777777" w:rsidR="00F76CA1" w:rsidRDefault="00E12445">
            <w:pPr>
              <w:spacing w:after="0" w:line="259" w:lineRule="auto"/>
              <w:ind w:left="10" w:firstLine="0"/>
              <w:jc w:val="center"/>
            </w:pPr>
            <w:r>
              <w:rPr>
                <w:b/>
              </w:rPr>
              <w:t xml:space="preserve">Date </w:t>
            </w:r>
          </w:p>
        </w:tc>
      </w:tr>
      <w:tr w:rsidR="00F76CA1" w14:paraId="34DD6B55" w14:textId="77777777">
        <w:trPr>
          <w:trHeight w:val="659"/>
        </w:trPr>
        <w:tc>
          <w:tcPr>
            <w:tcW w:w="2069" w:type="dxa"/>
            <w:tcBorders>
              <w:top w:val="single" w:sz="4" w:space="0" w:color="000000"/>
              <w:left w:val="single" w:sz="4" w:space="0" w:color="000000"/>
              <w:bottom w:val="single" w:sz="4" w:space="0" w:color="000000"/>
              <w:right w:val="single" w:sz="4" w:space="0" w:color="000000"/>
            </w:tcBorders>
          </w:tcPr>
          <w:p w14:paraId="10D8F0CF" w14:textId="77777777" w:rsidR="00F76CA1" w:rsidRDefault="00E12445">
            <w:pPr>
              <w:spacing w:after="0" w:line="259" w:lineRule="auto"/>
              <w:ind w:left="7" w:firstLine="0"/>
              <w:jc w:val="center"/>
            </w:pPr>
            <w:r>
              <w:rPr>
                <w:b/>
              </w:rPr>
              <w:t xml:space="preserve">Project Officer </w:t>
            </w:r>
          </w:p>
        </w:tc>
        <w:tc>
          <w:tcPr>
            <w:tcW w:w="2620" w:type="dxa"/>
            <w:tcBorders>
              <w:top w:val="single" w:sz="4" w:space="0" w:color="000000"/>
              <w:left w:val="single" w:sz="4" w:space="0" w:color="000000"/>
              <w:bottom w:val="single" w:sz="4" w:space="0" w:color="000000"/>
              <w:right w:val="single" w:sz="4" w:space="0" w:color="000000"/>
            </w:tcBorders>
          </w:tcPr>
          <w:p w14:paraId="6D9AF915" w14:textId="33348146" w:rsidR="00F76CA1" w:rsidRDefault="003F6D97">
            <w:pPr>
              <w:spacing w:after="0" w:line="259" w:lineRule="auto"/>
              <w:ind w:left="0" w:firstLine="0"/>
            </w:pPr>
            <w:r>
              <w:t>Xiangbin Zeng</w:t>
            </w:r>
            <w:r w:rsidR="00E12445">
              <w:t xml:space="preserve"> </w:t>
            </w:r>
          </w:p>
        </w:tc>
        <w:tc>
          <w:tcPr>
            <w:tcW w:w="2268" w:type="dxa"/>
            <w:tcBorders>
              <w:top w:val="single" w:sz="4" w:space="0" w:color="000000"/>
              <w:left w:val="single" w:sz="4" w:space="0" w:color="000000"/>
              <w:bottom w:val="single" w:sz="4" w:space="0" w:color="000000"/>
              <w:right w:val="single" w:sz="4" w:space="0" w:color="000000"/>
            </w:tcBorders>
          </w:tcPr>
          <w:p w14:paraId="6D528A32" w14:textId="77777777" w:rsidR="00F76CA1" w:rsidRDefault="00E12445">
            <w:pPr>
              <w:spacing w:after="0" w:line="259" w:lineRule="auto"/>
              <w:ind w:left="1" w:firstLine="0"/>
            </w:pPr>
            <w:r>
              <w:t xml:space="preserve"> </w:t>
            </w:r>
          </w:p>
        </w:tc>
        <w:tc>
          <w:tcPr>
            <w:tcW w:w="1317" w:type="dxa"/>
            <w:tcBorders>
              <w:top w:val="single" w:sz="4" w:space="0" w:color="000000"/>
              <w:left w:val="single" w:sz="4" w:space="0" w:color="000000"/>
              <w:bottom w:val="single" w:sz="4" w:space="0" w:color="000000"/>
              <w:right w:val="single" w:sz="4" w:space="0" w:color="000000"/>
            </w:tcBorders>
          </w:tcPr>
          <w:p w14:paraId="128C8BD7" w14:textId="77777777" w:rsidR="00F76CA1" w:rsidRDefault="00E12445">
            <w:pPr>
              <w:spacing w:after="0" w:line="259" w:lineRule="auto"/>
              <w:ind w:left="1" w:firstLine="0"/>
            </w:pPr>
            <w:r>
              <w:t xml:space="preserve"> </w:t>
            </w:r>
          </w:p>
        </w:tc>
      </w:tr>
      <w:tr w:rsidR="00F76CA1" w14:paraId="02E1AA04" w14:textId="77777777">
        <w:trPr>
          <w:trHeight w:val="658"/>
        </w:trPr>
        <w:tc>
          <w:tcPr>
            <w:tcW w:w="2069" w:type="dxa"/>
            <w:tcBorders>
              <w:top w:val="single" w:sz="4" w:space="0" w:color="000000"/>
              <w:left w:val="single" w:sz="4" w:space="0" w:color="000000"/>
              <w:bottom w:val="single" w:sz="4" w:space="0" w:color="000000"/>
              <w:right w:val="single" w:sz="4" w:space="0" w:color="000000"/>
            </w:tcBorders>
          </w:tcPr>
          <w:p w14:paraId="2D6B6682" w14:textId="77777777" w:rsidR="00F76CA1" w:rsidRDefault="00F76CA1">
            <w:pPr>
              <w:spacing w:after="160" w:line="259" w:lineRule="auto"/>
              <w:ind w:left="0" w:firstLine="0"/>
            </w:pPr>
          </w:p>
        </w:tc>
        <w:tc>
          <w:tcPr>
            <w:tcW w:w="2620" w:type="dxa"/>
            <w:tcBorders>
              <w:top w:val="single" w:sz="4" w:space="0" w:color="000000"/>
              <w:left w:val="single" w:sz="4" w:space="0" w:color="000000"/>
              <w:bottom w:val="single" w:sz="4" w:space="0" w:color="000000"/>
              <w:right w:val="single" w:sz="4" w:space="0" w:color="000000"/>
            </w:tcBorders>
          </w:tcPr>
          <w:p w14:paraId="0C485FC6" w14:textId="16EE4C65" w:rsidR="00F76CA1" w:rsidRDefault="003F6D97">
            <w:pPr>
              <w:spacing w:after="0" w:line="259" w:lineRule="auto"/>
              <w:ind w:left="0" w:firstLine="0"/>
            </w:pPr>
            <w:r>
              <w:t>Project Manager</w:t>
            </w:r>
            <w:r w:rsidR="00E12445">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F8EDA8A" w14:textId="77777777" w:rsidR="00F76CA1" w:rsidRDefault="00F76CA1">
            <w:pPr>
              <w:spacing w:after="160" w:line="259" w:lineRule="auto"/>
              <w:ind w:left="0" w:firstLine="0"/>
            </w:pPr>
          </w:p>
        </w:tc>
        <w:tc>
          <w:tcPr>
            <w:tcW w:w="1317" w:type="dxa"/>
            <w:tcBorders>
              <w:top w:val="single" w:sz="4" w:space="0" w:color="000000"/>
              <w:left w:val="single" w:sz="4" w:space="0" w:color="000000"/>
              <w:bottom w:val="single" w:sz="4" w:space="0" w:color="000000"/>
              <w:right w:val="single" w:sz="4" w:space="0" w:color="000000"/>
            </w:tcBorders>
          </w:tcPr>
          <w:p w14:paraId="3662AF09" w14:textId="77777777" w:rsidR="00F76CA1" w:rsidRDefault="00F76CA1">
            <w:pPr>
              <w:spacing w:after="160" w:line="259" w:lineRule="auto"/>
              <w:ind w:left="0" w:firstLine="0"/>
            </w:pPr>
          </w:p>
        </w:tc>
      </w:tr>
      <w:tr w:rsidR="00F76CA1" w14:paraId="0B1A997E" w14:textId="77777777">
        <w:trPr>
          <w:trHeight w:val="1488"/>
        </w:trPr>
        <w:tc>
          <w:tcPr>
            <w:tcW w:w="2069" w:type="dxa"/>
            <w:tcBorders>
              <w:top w:val="single" w:sz="4" w:space="0" w:color="000000"/>
              <w:left w:val="single" w:sz="4" w:space="0" w:color="000000"/>
              <w:bottom w:val="single" w:sz="4" w:space="0" w:color="000000"/>
              <w:right w:val="single" w:sz="4" w:space="0" w:color="000000"/>
            </w:tcBorders>
          </w:tcPr>
          <w:p w14:paraId="26440258" w14:textId="77777777" w:rsidR="00F76CA1" w:rsidRDefault="00E12445">
            <w:pPr>
              <w:spacing w:after="0" w:line="259" w:lineRule="auto"/>
              <w:ind w:left="7" w:firstLine="0"/>
              <w:jc w:val="center"/>
            </w:pPr>
            <w:r>
              <w:rPr>
                <w:b/>
              </w:rPr>
              <w:t xml:space="preserve">Head of the </w:t>
            </w:r>
          </w:p>
          <w:p w14:paraId="1A1AA7DD" w14:textId="77777777" w:rsidR="00F76CA1" w:rsidRDefault="00E12445">
            <w:pPr>
              <w:spacing w:after="0" w:line="259" w:lineRule="auto"/>
              <w:ind w:left="7" w:firstLine="0"/>
              <w:jc w:val="center"/>
            </w:pPr>
            <w:r>
              <w:rPr>
                <w:b/>
              </w:rPr>
              <w:t xml:space="preserve">Sponsoring </w:t>
            </w:r>
          </w:p>
          <w:p w14:paraId="0BA6951E" w14:textId="77777777" w:rsidR="00F76CA1" w:rsidRDefault="00E12445">
            <w:pPr>
              <w:spacing w:after="0" w:line="259" w:lineRule="auto"/>
              <w:ind w:left="9" w:firstLine="0"/>
              <w:jc w:val="center"/>
            </w:pPr>
            <w:r>
              <w:rPr>
                <w:b/>
              </w:rPr>
              <w:t xml:space="preserve">Program Office </w:t>
            </w:r>
          </w:p>
        </w:tc>
        <w:tc>
          <w:tcPr>
            <w:tcW w:w="2620" w:type="dxa"/>
            <w:tcBorders>
              <w:top w:val="single" w:sz="4" w:space="0" w:color="000000"/>
              <w:left w:val="single" w:sz="4" w:space="0" w:color="000000"/>
              <w:bottom w:val="single" w:sz="4" w:space="0" w:color="000000"/>
              <w:right w:val="single" w:sz="4" w:space="0" w:color="000000"/>
            </w:tcBorders>
          </w:tcPr>
          <w:p w14:paraId="10B34C7C" w14:textId="77777777" w:rsidR="00F76CA1" w:rsidRDefault="00E12445">
            <w:pPr>
              <w:spacing w:after="218" w:line="259" w:lineRule="auto"/>
              <w:ind w:left="0" w:firstLine="0"/>
            </w:pPr>
            <w:r>
              <w:t xml:space="preserve">Dr. Robert Somerville  </w:t>
            </w:r>
          </w:p>
          <w:p w14:paraId="4989E772" w14:textId="77777777" w:rsidR="00F76CA1" w:rsidRDefault="00E12445">
            <w:pPr>
              <w:spacing w:after="220" w:line="259" w:lineRule="auto"/>
              <w:ind w:left="0" w:firstLine="0"/>
            </w:pPr>
            <w:r>
              <w:t xml:space="preserve">Deputy Chief CCE </w:t>
            </w:r>
          </w:p>
          <w:p w14:paraId="4A80D54F" w14:textId="77777777" w:rsidR="00F76CA1" w:rsidRDefault="00E12445">
            <w:pPr>
              <w:spacing w:after="0" w:line="259" w:lineRule="auto"/>
              <w:ind w:left="0" w:firstLine="0"/>
            </w:pPr>
            <w:r>
              <w:t xml:space="preserve"> </w:t>
            </w:r>
          </w:p>
        </w:tc>
        <w:tc>
          <w:tcPr>
            <w:tcW w:w="2268" w:type="dxa"/>
            <w:tcBorders>
              <w:top w:val="single" w:sz="4" w:space="0" w:color="000000"/>
              <w:left w:val="single" w:sz="4" w:space="0" w:color="000000"/>
              <w:bottom w:val="single" w:sz="4" w:space="0" w:color="000000"/>
              <w:right w:val="single" w:sz="4" w:space="0" w:color="000000"/>
            </w:tcBorders>
          </w:tcPr>
          <w:p w14:paraId="4B8409D2" w14:textId="77777777" w:rsidR="00F76CA1" w:rsidRDefault="00E12445">
            <w:pPr>
              <w:spacing w:after="0" w:line="259" w:lineRule="auto"/>
              <w:ind w:left="2" w:firstLine="0"/>
            </w:pPr>
            <w:r>
              <w:t xml:space="preserve"> </w:t>
            </w:r>
          </w:p>
        </w:tc>
        <w:tc>
          <w:tcPr>
            <w:tcW w:w="1317" w:type="dxa"/>
            <w:tcBorders>
              <w:top w:val="single" w:sz="4" w:space="0" w:color="000000"/>
              <w:left w:val="single" w:sz="4" w:space="0" w:color="000000"/>
              <w:bottom w:val="single" w:sz="4" w:space="0" w:color="000000"/>
              <w:right w:val="single" w:sz="4" w:space="0" w:color="000000"/>
            </w:tcBorders>
          </w:tcPr>
          <w:p w14:paraId="23799A21" w14:textId="77777777" w:rsidR="00F76CA1" w:rsidRDefault="00E12445">
            <w:pPr>
              <w:spacing w:after="0" w:line="259" w:lineRule="auto"/>
              <w:ind w:left="2" w:firstLine="0"/>
            </w:pPr>
            <w:r>
              <w:t xml:space="preserve"> </w:t>
            </w:r>
          </w:p>
        </w:tc>
      </w:tr>
    </w:tbl>
    <w:p w14:paraId="167F1E6A" w14:textId="77777777" w:rsidR="00F76CA1" w:rsidRDefault="00E12445">
      <w:pPr>
        <w:spacing w:after="79" w:line="259" w:lineRule="auto"/>
        <w:ind w:left="180" w:firstLine="0"/>
      </w:pPr>
      <w:r>
        <w:rPr>
          <w:rFonts w:ascii="Times New Roman" w:eastAsia="Times New Roman" w:hAnsi="Times New Roman" w:cs="Times New Roman"/>
          <w:sz w:val="24"/>
        </w:rPr>
        <w:t xml:space="preserve"> </w:t>
      </w:r>
    </w:p>
    <w:p w14:paraId="25BE7F5B" w14:textId="77777777" w:rsidR="00F76CA1" w:rsidRDefault="00E12445">
      <w:pPr>
        <w:numPr>
          <w:ilvl w:val="0"/>
          <w:numId w:val="1"/>
        </w:numPr>
        <w:spacing w:after="231"/>
        <w:ind w:right="107" w:hanging="451"/>
      </w:pPr>
      <w:r>
        <w:rPr>
          <w:b/>
        </w:rPr>
        <w:t>Contracting Officer Certification.</w:t>
      </w:r>
      <w:r>
        <w:rPr>
          <w:i/>
        </w:rPr>
        <w:t xml:space="preserve">  </w:t>
      </w:r>
      <w:r>
        <w:rPr>
          <w:b/>
          <w:color w:val="FF0000"/>
        </w:rPr>
        <w:t xml:space="preserve"> </w:t>
      </w:r>
    </w:p>
    <w:p w14:paraId="18289E67" w14:textId="77777777" w:rsidR="00F76CA1" w:rsidRDefault="00E12445">
      <w:pPr>
        <w:spacing w:after="10"/>
        <w:ind w:left="550" w:right="107"/>
      </w:pPr>
      <w:r>
        <w:rPr>
          <w:b/>
        </w:rPr>
        <w:t xml:space="preserve">This is to certify that the justification for the proposed acquisition has been reviewed and that to the best of my knowledge and belief the information and/or data provided to support the rationale and recommendation for approval is accurate and complete. </w:t>
      </w:r>
      <w:r>
        <w:rPr>
          <w:i/>
        </w:rPr>
        <w:t xml:space="preserve"> </w:t>
      </w:r>
    </w:p>
    <w:tbl>
      <w:tblPr>
        <w:tblStyle w:val="TableGrid"/>
        <w:tblW w:w="8183" w:type="dxa"/>
        <w:tblInd w:w="632" w:type="dxa"/>
        <w:tblCellMar>
          <w:top w:w="11" w:type="dxa"/>
          <w:left w:w="558" w:type="dxa"/>
          <w:right w:w="87" w:type="dxa"/>
        </w:tblCellMar>
        <w:tblLook w:val="04A0" w:firstRow="1" w:lastRow="0" w:firstColumn="1" w:lastColumn="0" w:noHBand="0" w:noVBand="1"/>
      </w:tblPr>
      <w:tblGrid>
        <w:gridCol w:w="1978"/>
        <w:gridCol w:w="2632"/>
        <w:gridCol w:w="2239"/>
        <w:gridCol w:w="1334"/>
      </w:tblGrid>
      <w:tr w:rsidR="00F76CA1" w14:paraId="7CBBAACD" w14:textId="77777777">
        <w:trPr>
          <w:trHeight w:val="500"/>
        </w:trPr>
        <w:tc>
          <w:tcPr>
            <w:tcW w:w="1978" w:type="dxa"/>
            <w:tcBorders>
              <w:top w:val="single" w:sz="4" w:space="0" w:color="000000"/>
              <w:left w:val="single" w:sz="4" w:space="0" w:color="000000"/>
              <w:bottom w:val="single" w:sz="4" w:space="0" w:color="000000"/>
              <w:right w:val="single" w:sz="4" w:space="0" w:color="000000"/>
            </w:tcBorders>
            <w:shd w:val="clear" w:color="auto" w:fill="E0E0E0"/>
          </w:tcPr>
          <w:p w14:paraId="69518ED0" w14:textId="77777777" w:rsidR="00F76CA1" w:rsidRDefault="00E12445">
            <w:pPr>
              <w:spacing w:after="0" w:line="259" w:lineRule="auto"/>
              <w:ind w:left="281" w:firstLine="0"/>
            </w:pPr>
            <w:r>
              <w:rPr>
                <w:b/>
              </w:rPr>
              <w:t xml:space="preserve">Official </w:t>
            </w:r>
          </w:p>
        </w:tc>
        <w:tc>
          <w:tcPr>
            <w:tcW w:w="2632" w:type="dxa"/>
            <w:tcBorders>
              <w:top w:val="single" w:sz="4" w:space="0" w:color="000000"/>
              <w:left w:val="single" w:sz="4" w:space="0" w:color="000000"/>
              <w:bottom w:val="single" w:sz="4" w:space="0" w:color="000000"/>
              <w:right w:val="single" w:sz="4" w:space="0" w:color="000000"/>
            </w:tcBorders>
            <w:shd w:val="clear" w:color="auto" w:fill="E0E0E0"/>
          </w:tcPr>
          <w:p w14:paraId="78E0A0A5" w14:textId="77777777" w:rsidR="00F76CA1" w:rsidRDefault="00E12445">
            <w:pPr>
              <w:spacing w:after="0" w:line="259" w:lineRule="auto"/>
              <w:ind w:left="317" w:firstLine="0"/>
            </w:pPr>
            <w:r>
              <w:rPr>
                <w:b/>
              </w:rPr>
              <w:t xml:space="preserve">Name &amp; Title </w:t>
            </w:r>
          </w:p>
        </w:tc>
        <w:tc>
          <w:tcPr>
            <w:tcW w:w="2239" w:type="dxa"/>
            <w:tcBorders>
              <w:top w:val="single" w:sz="4" w:space="0" w:color="000000"/>
              <w:left w:val="single" w:sz="4" w:space="0" w:color="000000"/>
              <w:bottom w:val="single" w:sz="4" w:space="0" w:color="000000"/>
              <w:right w:val="single" w:sz="4" w:space="0" w:color="000000"/>
            </w:tcBorders>
            <w:shd w:val="clear" w:color="auto" w:fill="E0E0E0"/>
          </w:tcPr>
          <w:p w14:paraId="5C7FC709" w14:textId="77777777" w:rsidR="00F76CA1" w:rsidRDefault="00E12445">
            <w:pPr>
              <w:spacing w:after="0" w:line="259" w:lineRule="auto"/>
              <w:ind w:left="280" w:firstLine="0"/>
            </w:pPr>
            <w:r>
              <w:rPr>
                <w:b/>
              </w:rPr>
              <w:t xml:space="preserve">Signature </w:t>
            </w:r>
          </w:p>
        </w:tc>
        <w:tc>
          <w:tcPr>
            <w:tcW w:w="1334" w:type="dxa"/>
            <w:tcBorders>
              <w:top w:val="single" w:sz="4" w:space="0" w:color="000000"/>
              <w:left w:val="single" w:sz="4" w:space="0" w:color="000000"/>
              <w:bottom w:val="single" w:sz="4" w:space="0" w:color="000000"/>
              <w:right w:val="single" w:sz="4" w:space="0" w:color="000000"/>
            </w:tcBorders>
            <w:shd w:val="clear" w:color="auto" w:fill="E0E0E0"/>
          </w:tcPr>
          <w:p w14:paraId="2D039018" w14:textId="77777777" w:rsidR="00F76CA1" w:rsidRDefault="00E12445">
            <w:pPr>
              <w:spacing w:after="0" w:line="259" w:lineRule="auto"/>
              <w:ind w:left="95" w:firstLine="0"/>
            </w:pPr>
            <w:r>
              <w:rPr>
                <w:b/>
              </w:rPr>
              <w:t xml:space="preserve">Date </w:t>
            </w:r>
          </w:p>
        </w:tc>
      </w:tr>
      <w:tr w:rsidR="00F76CA1" w14:paraId="22ED8E54" w14:textId="77777777">
        <w:trPr>
          <w:trHeight w:val="757"/>
        </w:trPr>
        <w:tc>
          <w:tcPr>
            <w:tcW w:w="1978" w:type="dxa"/>
            <w:tcBorders>
              <w:top w:val="single" w:sz="4" w:space="0" w:color="000000"/>
              <w:left w:val="single" w:sz="4" w:space="0" w:color="000000"/>
              <w:bottom w:val="single" w:sz="4" w:space="0" w:color="000000"/>
              <w:right w:val="single" w:sz="4" w:space="0" w:color="000000"/>
            </w:tcBorders>
          </w:tcPr>
          <w:p w14:paraId="4694829E" w14:textId="77777777" w:rsidR="00F76CA1" w:rsidRDefault="00E12445">
            <w:pPr>
              <w:spacing w:after="0" w:line="259" w:lineRule="auto"/>
              <w:ind w:left="0" w:firstLine="0"/>
              <w:jc w:val="center"/>
            </w:pPr>
            <w:r>
              <w:rPr>
                <w:b/>
              </w:rPr>
              <w:t xml:space="preserve">Contracting Officer </w:t>
            </w:r>
          </w:p>
        </w:tc>
        <w:tc>
          <w:tcPr>
            <w:tcW w:w="2632" w:type="dxa"/>
            <w:tcBorders>
              <w:top w:val="single" w:sz="4" w:space="0" w:color="000000"/>
              <w:left w:val="single" w:sz="4" w:space="0" w:color="000000"/>
              <w:bottom w:val="single" w:sz="4" w:space="0" w:color="000000"/>
              <w:right w:val="single" w:sz="4" w:space="0" w:color="000000"/>
            </w:tcBorders>
          </w:tcPr>
          <w:p w14:paraId="4A63C2E3" w14:textId="77777777" w:rsidR="00F76CA1" w:rsidRDefault="00E12445">
            <w:pPr>
              <w:spacing w:after="0" w:line="259" w:lineRule="auto"/>
              <w:ind w:left="0" w:firstLine="0"/>
            </w:pPr>
            <w:r>
              <w:t xml:space="preserve"> </w:t>
            </w:r>
          </w:p>
        </w:tc>
        <w:tc>
          <w:tcPr>
            <w:tcW w:w="2239" w:type="dxa"/>
            <w:tcBorders>
              <w:top w:val="single" w:sz="4" w:space="0" w:color="000000"/>
              <w:left w:val="single" w:sz="4" w:space="0" w:color="000000"/>
              <w:bottom w:val="single" w:sz="4" w:space="0" w:color="000000"/>
              <w:right w:val="single" w:sz="4" w:space="0" w:color="000000"/>
            </w:tcBorders>
          </w:tcPr>
          <w:p w14:paraId="70384FFC" w14:textId="77777777" w:rsidR="00F76CA1" w:rsidRDefault="00E12445">
            <w:pPr>
              <w:spacing w:after="0" w:line="259" w:lineRule="auto"/>
              <w:ind w:left="1" w:firstLine="0"/>
            </w:pPr>
            <w:r>
              <w:t xml:space="preserve"> </w:t>
            </w:r>
          </w:p>
        </w:tc>
        <w:tc>
          <w:tcPr>
            <w:tcW w:w="1334" w:type="dxa"/>
            <w:tcBorders>
              <w:top w:val="single" w:sz="4" w:space="0" w:color="000000"/>
              <w:left w:val="single" w:sz="4" w:space="0" w:color="000000"/>
              <w:bottom w:val="single" w:sz="4" w:space="0" w:color="000000"/>
              <w:right w:val="single" w:sz="4" w:space="0" w:color="000000"/>
            </w:tcBorders>
          </w:tcPr>
          <w:p w14:paraId="3B61685D" w14:textId="77777777" w:rsidR="00F76CA1" w:rsidRDefault="00E12445">
            <w:pPr>
              <w:spacing w:after="0" w:line="259" w:lineRule="auto"/>
              <w:ind w:left="0" w:right="623" w:firstLine="0"/>
              <w:jc w:val="center"/>
            </w:pPr>
            <w:r>
              <w:t xml:space="preserve"> </w:t>
            </w:r>
          </w:p>
        </w:tc>
      </w:tr>
    </w:tbl>
    <w:p w14:paraId="0E79FE7E" w14:textId="77777777" w:rsidR="00F76CA1" w:rsidRDefault="00E12445">
      <w:pPr>
        <w:spacing w:after="0" w:line="259" w:lineRule="auto"/>
        <w:ind w:left="180" w:firstLine="0"/>
      </w:pPr>
      <w:r>
        <w:rPr>
          <w:rFonts w:ascii="Times New Roman" w:eastAsia="Times New Roman" w:hAnsi="Times New Roman" w:cs="Times New Roman"/>
          <w:sz w:val="24"/>
        </w:rPr>
        <w:t xml:space="preserve"> </w:t>
      </w:r>
    </w:p>
    <w:sectPr w:rsidR="00F76CA1">
      <w:footerReference w:type="even" r:id="rId7"/>
      <w:footerReference w:type="default" r:id="rId8"/>
      <w:footerReference w:type="first" r:id="rId9"/>
      <w:pgSz w:w="12240" w:h="15840"/>
      <w:pgMar w:top="1445" w:right="1662" w:bottom="1463" w:left="162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BC6EB" w14:textId="77777777" w:rsidR="00E12445" w:rsidRDefault="00E12445">
      <w:pPr>
        <w:spacing w:after="0" w:line="240" w:lineRule="auto"/>
      </w:pPr>
      <w:r>
        <w:separator/>
      </w:r>
    </w:p>
  </w:endnote>
  <w:endnote w:type="continuationSeparator" w:id="0">
    <w:p w14:paraId="3AAE4AE2" w14:textId="77777777" w:rsidR="00E12445" w:rsidRDefault="00E12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0C584" w14:textId="77777777" w:rsidR="00F76CA1" w:rsidRDefault="00E12445">
    <w:pPr>
      <w:tabs>
        <w:tab w:val="center" w:pos="4501"/>
      </w:tabs>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6347" w14:textId="77777777" w:rsidR="00F76CA1" w:rsidRDefault="00E12445">
    <w:pPr>
      <w:tabs>
        <w:tab w:val="center" w:pos="4501"/>
      </w:tabs>
      <w:spacing w:after="0" w:line="259" w:lineRule="auto"/>
      <w:ind w:left="0" w:firstLine="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D822" w14:textId="77777777" w:rsidR="00F76CA1" w:rsidRDefault="00E12445">
    <w:pPr>
      <w:spacing w:after="0" w:line="259" w:lineRule="auto"/>
      <w:ind w:left="44" w:firstLine="0"/>
      <w:jc w:val="center"/>
    </w:pP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84ACE" w14:textId="77777777" w:rsidR="00E12445" w:rsidRDefault="00E12445">
      <w:pPr>
        <w:spacing w:after="0" w:line="240" w:lineRule="auto"/>
      </w:pPr>
      <w:r>
        <w:separator/>
      </w:r>
    </w:p>
  </w:footnote>
  <w:footnote w:type="continuationSeparator" w:id="0">
    <w:p w14:paraId="5369C63F" w14:textId="77777777" w:rsidR="00E12445" w:rsidRDefault="00E12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93A23"/>
    <w:multiLevelType w:val="hybridMultilevel"/>
    <w:tmpl w:val="17F44824"/>
    <w:lvl w:ilvl="0" w:tplc="0B6C6BAE">
      <w:start w:val="1"/>
      <w:numFmt w:val="decimal"/>
      <w:lvlText w:val="%1."/>
      <w:lvlJc w:val="left"/>
      <w:pPr>
        <w:ind w:left="616"/>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5BA09748">
      <w:start w:val="1"/>
      <w:numFmt w:val="lowerLetter"/>
      <w:lvlText w:val="%2."/>
      <w:lvlJc w:val="left"/>
      <w:pPr>
        <w:ind w:left="1322"/>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51C20C2E">
      <w:start w:val="1"/>
      <w:numFmt w:val="bullet"/>
      <w:lvlText w:val="•"/>
      <w:lvlJc w:val="left"/>
      <w:pPr>
        <w:ind w:left="16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1B4DCC2">
      <w:start w:val="1"/>
      <w:numFmt w:val="bullet"/>
      <w:lvlText w:val="❑"/>
      <w:lvlJc w:val="left"/>
      <w:pPr>
        <w:ind w:left="19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2BC7A86">
      <w:start w:val="1"/>
      <w:numFmt w:val="bullet"/>
      <w:lvlText w:val="o"/>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DB2560E">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CA219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75A2CF4">
      <w:start w:val="1"/>
      <w:numFmt w:val="bullet"/>
      <w:lvlText w:val="o"/>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858054C">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DEC040C"/>
    <w:multiLevelType w:val="hybridMultilevel"/>
    <w:tmpl w:val="CF604CC2"/>
    <w:lvl w:ilvl="0" w:tplc="0DD2713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316F1F0">
      <w:start w:val="1"/>
      <w:numFmt w:val="bullet"/>
      <w:lvlText w:val="o"/>
      <w:lvlJc w:val="left"/>
      <w:pPr>
        <w:ind w:left="7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5A04D00">
      <w:start w:val="1"/>
      <w:numFmt w:val="bullet"/>
      <w:lvlText w:val="▪"/>
      <w:lvlJc w:val="left"/>
      <w:pPr>
        <w:ind w:left="12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C9C114C">
      <w:start w:val="1"/>
      <w:numFmt w:val="bullet"/>
      <w:lvlRestart w:val="0"/>
      <w:lvlText w:val="•"/>
      <w:lvlJc w:val="left"/>
      <w:pPr>
        <w:ind w:left="1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4481F8">
      <w:start w:val="1"/>
      <w:numFmt w:val="bullet"/>
      <w:lvlText w:val="o"/>
      <w:lvlJc w:val="left"/>
      <w:pPr>
        <w:ind w:left="23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094EA90">
      <w:start w:val="1"/>
      <w:numFmt w:val="bullet"/>
      <w:lvlText w:val="▪"/>
      <w:lvlJc w:val="left"/>
      <w:pPr>
        <w:ind w:left="3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6AD308">
      <w:start w:val="1"/>
      <w:numFmt w:val="bullet"/>
      <w:lvlText w:val="•"/>
      <w:lvlJc w:val="left"/>
      <w:pPr>
        <w:ind w:left="3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340E1C">
      <w:start w:val="1"/>
      <w:numFmt w:val="bullet"/>
      <w:lvlText w:val="o"/>
      <w:lvlJc w:val="left"/>
      <w:pPr>
        <w:ind w:left="4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AEA76DA">
      <w:start w:val="1"/>
      <w:numFmt w:val="bullet"/>
      <w:lvlText w:val="▪"/>
      <w:lvlJc w:val="left"/>
      <w:pPr>
        <w:ind w:left="5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444079121">
    <w:abstractNumId w:val="0"/>
  </w:num>
  <w:num w:numId="2" w16cid:durableId="773942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CA1"/>
    <w:rsid w:val="00022E0F"/>
    <w:rsid w:val="000545EB"/>
    <w:rsid w:val="00132C0E"/>
    <w:rsid w:val="001C05BC"/>
    <w:rsid w:val="001F39AA"/>
    <w:rsid w:val="002445D3"/>
    <w:rsid w:val="002863D8"/>
    <w:rsid w:val="00307630"/>
    <w:rsid w:val="003B33D5"/>
    <w:rsid w:val="003D34C4"/>
    <w:rsid w:val="003F6D97"/>
    <w:rsid w:val="004118F2"/>
    <w:rsid w:val="004F7BA0"/>
    <w:rsid w:val="00564496"/>
    <w:rsid w:val="005B6F3D"/>
    <w:rsid w:val="00624E13"/>
    <w:rsid w:val="00812DC7"/>
    <w:rsid w:val="0081560D"/>
    <w:rsid w:val="00884BE5"/>
    <w:rsid w:val="00A11D54"/>
    <w:rsid w:val="00AB3644"/>
    <w:rsid w:val="00AF1469"/>
    <w:rsid w:val="00AF7EC1"/>
    <w:rsid w:val="00B6243A"/>
    <w:rsid w:val="00B70CB2"/>
    <w:rsid w:val="00BE6E18"/>
    <w:rsid w:val="00C3627A"/>
    <w:rsid w:val="00C456D0"/>
    <w:rsid w:val="00CB63A8"/>
    <w:rsid w:val="00CE1E77"/>
    <w:rsid w:val="00E12445"/>
    <w:rsid w:val="00E91383"/>
    <w:rsid w:val="00EB480F"/>
    <w:rsid w:val="00F02F0E"/>
    <w:rsid w:val="00F76CA1"/>
    <w:rsid w:val="00F93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7EA43"/>
  <w15:docId w15:val="{110C5E05-969B-4392-987C-AB938DD4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9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B63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3355">
      <w:bodyDiv w:val="1"/>
      <w:marLeft w:val="0"/>
      <w:marRight w:val="0"/>
      <w:marTop w:val="0"/>
      <w:marBottom w:val="0"/>
      <w:divBdr>
        <w:top w:val="none" w:sz="0" w:space="0" w:color="auto"/>
        <w:left w:val="none" w:sz="0" w:space="0" w:color="auto"/>
        <w:bottom w:val="none" w:sz="0" w:space="0" w:color="auto"/>
        <w:right w:val="none" w:sz="0" w:space="0" w:color="auto"/>
      </w:divBdr>
    </w:div>
    <w:div w:id="966399597">
      <w:bodyDiv w:val="1"/>
      <w:marLeft w:val="0"/>
      <w:marRight w:val="0"/>
      <w:marTop w:val="0"/>
      <w:marBottom w:val="0"/>
      <w:divBdr>
        <w:top w:val="none" w:sz="0" w:space="0" w:color="auto"/>
        <w:left w:val="none" w:sz="0" w:space="0" w:color="auto"/>
        <w:bottom w:val="none" w:sz="0" w:space="0" w:color="auto"/>
        <w:right w:val="none" w:sz="0" w:space="0" w:color="auto"/>
      </w:divBdr>
    </w:div>
    <w:div w:id="1832990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1519</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HHS Template for</vt:lpstr>
    </vt:vector>
  </TitlesOfParts>
  <Company>NIH - Clinical Center</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HHS Template for</dc:title>
  <dc:subject/>
  <dc:creator>Norman L. Osinski</dc:creator>
  <cp:keywords/>
  <cp:lastModifiedBy>Gregorio, Valerie (NIH/OD) [E]</cp:lastModifiedBy>
  <cp:revision>2</cp:revision>
  <dcterms:created xsi:type="dcterms:W3CDTF">2026-02-25T20:57:00Z</dcterms:created>
  <dcterms:modified xsi:type="dcterms:W3CDTF">2026-02-25T20:57:00Z</dcterms:modified>
</cp:coreProperties>
</file>