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C084" w14:textId="77777777" w:rsidR="00E66280" w:rsidRDefault="00626A12">
      <w:pPr>
        <w:pStyle w:val="Heading1"/>
      </w:pPr>
      <w:r>
        <w:t>Statement of Work (SOW)</w:t>
      </w:r>
    </w:p>
    <w:p w14:paraId="50E75E32" w14:textId="73395F9E" w:rsidR="00E66280" w:rsidRDefault="00626A12">
      <w:r>
        <w:t>NIH Clinical Center – Department of Clinical Research Informatics (DCRI)</w:t>
      </w:r>
      <w:r>
        <w:br/>
        <w:t>Working Diagnosis – ICDx / NoteCetera Maintenance &amp; Consulting</w:t>
      </w:r>
      <w:r>
        <w:br/>
        <w:t xml:space="preserve">Base + </w:t>
      </w:r>
      <w:r w:rsidR="009178D5">
        <w:t>Option Year</w:t>
      </w:r>
    </w:p>
    <w:p w14:paraId="571580A0" w14:textId="77777777" w:rsidR="00E66280" w:rsidRDefault="00626A12">
      <w:pPr>
        <w:pStyle w:val="Heading2"/>
      </w:pPr>
      <w:r>
        <w:t>1. Introduction</w:t>
      </w:r>
    </w:p>
    <w:p w14:paraId="6EF45982" w14:textId="77777777" w:rsidR="00E66280" w:rsidRDefault="00626A12">
      <w:r>
        <w:t>This Statement of Work (SOW) defines the requirements for annual maintenance, upgrades, Tier 2 technical support, and consulting for ICDx and NoteCetera applications. These applications are deeply integrated into the NIH CRIS electronic health record and are essential for clinical documentation workflows, as stated in the Working Diagnosis quote. ICDx improves structured problem list maintenance, and NoteCetera supports efficient clinical note generation.</w:t>
      </w:r>
    </w:p>
    <w:p w14:paraId="2F1AB2D5" w14:textId="77777777" w:rsidR="00E66280" w:rsidRDefault="00626A12">
      <w:pPr>
        <w:pStyle w:val="Heading2"/>
      </w:pPr>
      <w:r>
        <w:t>2. Scope of Work</w:t>
      </w:r>
    </w:p>
    <w:p w14:paraId="2E4B70B8" w14:textId="77777777" w:rsidR="00E66280" w:rsidRDefault="00626A12">
      <w:r>
        <w:t>The Contractor shall provide the following annually:</w:t>
      </w:r>
      <w:r>
        <w:br/>
        <w:t>- ICDx / NoteCetera Annual Maintenance (licensing, upgrades, technical support)</w:t>
      </w:r>
      <w:r>
        <w:br/>
        <w:t>- 100 hours of consulting</w:t>
      </w:r>
      <w:r>
        <w:br/>
        <w:t>- 300 hours of optional consulting (included as part of Option A)</w:t>
      </w:r>
      <w:r>
        <w:br/>
      </w:r>
    </w:p>
    <w:p w14:paraId="1F30066E" w14:textId="77777777" w:rsidR="00E66280" w:rsidRDefault="00626A12">
      <w:pPr>
        <w:pStyle w:val="Heading2"/>
      </w:pPr>
      <w:r>
        <w:t>3. Requirements</w:t>
      </w:r>
    </w:p>
    <w:p w14:paraId="10737DA9" w14:textId="77777777" w:rsidR="00E66280" w:rsidRDefault="00626A12">
      <w:r>
        <w:t>- Provide software updates and bug fixes</w:t>
      </w:r>
      <w:r>
        <w:br/>
        <w:t>- Maintain compatibility with NIH CRIS</w:t>
      </w:r>
      <w:r>
        <w:br/>
        <w:t>- Provide Tier 2 support for issue resolution</w:t>
      </w:r>
      <w:r>
        <w:br/>
        <w:t>- Deliver consulting services for enhancements, workflow improvements, integrations, and configuration</w:t>
      </w:r>
    </w:p>
    <w:p w14:paraId="39A86BC0" w14:textId="77777777" w:rsidR="00E66280" w:rsidRDefault="00626A12">
      <w:pPr>
        <w:pStyle w:val="Heading2"/>
      </w:pPr>
      <w:r>
        <w:t>4. Deliverables</w:t>
      </w:r>
    </w:p>
    <w:p w14:paraId="0D3A76CD" w14:textId="77777777" w:rsidR="00E66280" w:rsidRDefault="00626A12">
      <w:r>
        <w:t>- Annual maintenance report</w:t>
      </w:r>
      <w:r>
        <w:br/>
        <w:t>- Consulting hours usage report</w:t>
      </w:r>
      <w:r>
        <w:br/>
        <w:t>- Technical recommendations for enhancements</w:t>
      </w:r>
      <w:r>
        <w:br/>
      </w:r>
    </w:p>
    <w:p w14:paraId="16EC45FB" w14:textId="77777777" w:rsidR="00E66280" w:rsidRDefault="00626A12">
      <w:pPr>
        <w:pStyle w:val="Heading2"/>
      </w:pPr>
      <w:r>
        <w:t>5. Period of Performance</w:t>
      </w:r>
    </w:p>
    <w:p w14:paraId="014567CF" w14:textId="579DD7DD" w:rsidR="00E66280" w:rsidRDefault="00626A12">
      <w:r>
        <w:t xml:space="preserve">Base period plus </w:t>
      </w:r>
      <w:r w:rsidR="009178D5">
        <w:t>1</w:t>
      </w:r>
      <w:r>
        <w:t xml:space="preserve"> (</w:t>
      </w:r>
      <w:r w:rsidR="009178D5">
        <w:t>1</w:t>
      </w:r>
      <w:r>
        <w:t>) 12‑month option years.</w:t>
      </w:r>
    </w:p>
    <w:sectPr w:rsidR="00E662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3821227">
    <w:abstractNumId w:val="8"/>
  </w:num>
  <w:num w:numId="2" w16cid:durableId="1991249010">
    <w:abstractNumId w:val="6"/>
  </w:num>
  <w:num w:numId="3" w16cid:durableId="822237209">
    <w:abstractNumId w:val="5"/>
  </w:num>
  <w:num w:numId="4" w16cid:durableId="2057296">
    <w:abstractNumId w:val="4"/>
  </w:num>
  <w:num w:numId="5" w16cid:durableId="1367683423">
    <w:abstractNumId w:val="7"/>
  </w:num>
  <w:num w:numId="6" w16cid:durableId="1922987236">
    <w:abstractNumId w:val="3"/>
  </w:num>
  <w:num w:numId="7" w16cid:durableId="1123378868">
    <w:abstractNumId w:val="2"/>
  </w:num>
  <w:num w:numId="8" w16cid:durableId="14887225">
    <w:abstractNumId w:val="1"/>
  </w:num>
  <w:num w:numId="9" w16cid:durableId="1208571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77D"/>
    <w:rsid w:val="0015074B"/>
    <w:rsid w:val="0029639D"/>
    <w:rsid w:val="00326F90"/>
    <w:rsid w:val="00626A12"/>
    <w:rsid w:val="009178D5"/>
    <w:rsid w:val="00AA1D8D"/>
    <w:rsid w:val="00B47730"/>
    <w:rsid w:val="00CB0664"/>
    <w:rsid w:val="00D21B19"/>
    <w:rsid w:val="00E662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0E7FF"/>
  <w14:defaultImageDpi w14:val="300"/>
  <w15:docId w15:val="{F6F12CC8-87BA-4BA6-8FF2-D5B0FC0DD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Chang (NIH/OD) [E]</cp:lastModifiedBy>
  <cp:revision>3</cp:revision>
  <dcterms:created xsi:type="dcterms:W3CDTF">2025-12-15T19:01:00Z</dcterms:created>
  <dcterms:modified xsi:type="dcterms:W3CDTF">2026-03-03T23:10:00Z</dcterms:modified>
  <cp:category/>
</cp:coreProperties>
</file>