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Notice of Intent for Succeeding Lease - Plymouth, MA 02360</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04330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4:00PM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X1DB</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531120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Box 90C - NCO1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Sanderson, Melinda</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Realty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Melinda Sanderson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Melinda.Sanderson@va.gov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207-623-8411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Plymouth, MA</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02360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Website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Melinda.Sanderson@va.gov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EA000E" w:rsidRPr="004328E2" w:rsidP="00EA000E">
      <w:pPr>
        <w:spacing w:after="160" w:line="259" w:lineRule="auto"/>
        <w:rPr>
          <w:rFonts w:cstheme="minorHAnsi"/>
          <w:b/>
          <w:bCs/>
          <w:sz w:val="21"/>
          <w:szCs w:val="21"/>
          <w:u w:val="single"/>
        </w:rPr>
      </w:pPr>
      <w:r w:rsidRPr="004328E2">
        <w:rPr>
          <w:rFonts w:cstheme="minorHAnsi"/>
          <w:b/>
          <w:bCs/>
          <w:sz w:val="21"/>
          <w:szCs w:val="21"/>
          <w:u w:val="single"/>
        </w:rPr>
        <w:t>DEPARTMENT OF VETERANS AFFAIRS (VA) ADVERTISEMENT FOR SUCCEEDING LEASE ACTION</w:t>
      </w:r>
    </w:p>
    <w:p w:rsidR="00EA000E" w:rsidRPr="004328E2" w:rsidP="00EA000E">
      <w:pPr>
        <w:spacing w:after="160" w:line="259" w:lineRule="auto"/>
        <w:rPr>
          <w:rFonts w:cstheme="minorHAnsi"/>
          <w:sz w:val="21"/>
          <w:szCs w:val="21"/>
        </w:rPr>
      </w:pPr>
      <w:r w:rsidRPr="004328E2">
        <w:rPr>
          <w:rFonts w:cstheme="minorHAnsi"/>
          <w:sz w:val="21"/>
          <w:szCs w:val="21"/>
        </w:rPr>
        <w:t>The Department of Veterans Affairs (Government) intends to award a succeeding lease under the authority of General Services Acquisition Manual (GSAM) Part 570.402. This regulation authorizes use of the sole source lease awards where it is determined that award to any other location would result in substantial duplication of costs to the Government that are not expected to be recovered through competition.</w:t>
      </w:r>
    </w:p>
    <w:p w:rsidR="00EA000E" w:rsidRPr="004328E2" w:rsidP="00EA000E">
      <w:pPr>
        <w:spacing w:after="160" w:line="259" w:lineRule="auto"/>
        <w:rPr>
          <w:rFonts w:cstheme="minorHAnsi"/>
          <w:sz w:val="21"/>
          <w:szCs w:val="21"/>
        </w:rPr>
      </w:pPr>
      <w:r w:rsidRPr="004328E2">
        <w:rPr>
          <w:rFonts w:cstheme="minorHAnsi"/>
          <w:b/>
          <w:bCs/>
          <w:sz w:val="21"/>
          <w:szCs w:val="21"/>
        </w:rPr>
        <w:t xml:space="preserve">THIS ADVERTISEMENT IS NOT A REQUEST FOR LEASE PROPOSALS- </w:t>
      </w:r>
      <w:r w:rsidRPr="004328E2">
        <w:rPr>
          <w:rFonts w:cstheme="minorHAnsi"/>
          <w:sz w:val="21"/>
          <w:szCs w:val="21"/>
        </w:rPr>
        <w:t xml:space="preserve">However, any party who believes it can provide a facility that would satisfy the </w:t>
      </w:r>
      <w:r w:rsidR="003A6A07">
        <w:rPr>
          <w:rFonts w:cstheme="minorHAnsi"/>
          <w:sz w:val="21"/>
          <w:szCs w:val="21"/>
        </w:rPr>
        <w:t>below</w:t>
      </w:r>
      <w:r w:rsidRPr="004328E2">
        <w:rPr>
          <w:rFonts w:cstheme="minorHAnsi"/>
          <w:sz w:val="21"/>
          <w:szCs w:val="21"/>
        </w:rPr>
        <w:t xml:space="preserve"> requirements, is invited to submit a written statement of capability to do so, with evidence to support its claim. Responses received will be considered solely for the purpose of determining whether to conduct a competitive procurement. The Government will not be responsible for any costs incurred by responding to this advertisement. This advertisement does not obligate the Government to award to any lease contract. </w:t>
      </w:r>
    </w:p>
    <w:p w:rsidR="00826E6D" w:rsidP="00826E6D">
      <w:pPr>
        <w:spacing w:after="160" w:line="259" w:lineRule="auto"/>
        <w:rPr>
          <w:rStyle w:val="ui-provider"/>
          <w:sz w:val="21"/>
          <w:szCs w:val="21"/>
        </w:rPr>
      </w:pPr>
      <w:r w:rsidRPr="004328E2">
        <w:rPr>
          <w:rFonts w:cstheme="minorHAnsi"/>
          <w:sz w:val="21"/>
          <w:szCs w:val="21"/>
        </w:rPr>
        <w:t xml:space="preserve">The Department of Veterans Affairs currently occupies clinical and related space </w:t>
      </w:r>
      <w:r w:rsidR="00A66FB3">
        <w:rPr>
          <w:rFonts w:cstheme="minorHAnsi"/>
          <w:sz w:val="21"/>
          <w:szCs w:val="21"/>
        </w:rPr>
        <w:t xml:space="preserve">in </w:t>
      </w:r>
      <w:r>
        <w:rPr>
          <w:rFonts w:cstheme="minorHAnsi"/>
          <w:b/>
          <w:bCs/>
          <w:sz w:val="21"/>
          <w:szCs w:val="21"/>
        </w:rPr>
        <w:t xml:space="preserve"> </w:t>
      </w:r>
      <w:r w:rsidR="001A6662">
        <w:rPr>
          <w:rFonts w:cstheme="minorHAnsi"/>
          <w:b/>
          <w:bCs/>
          <w:sz w:val="21"/>
          <w:szCs w:val="21"/>
        </w:rPr>
        <w:t>Plymouth</w:t>
      </w:r>
      <w:r>
        <w:rPr>
          <w:rFonts w:cstheme="minorHAnsi"/>
          <w:b/>
          <w:bCs/>
          <w:sz w:val="21"/>
          <w:szCs w:val="21"/>
        </w:rPr>
        <w:t xml:space="preserve">, </w:t>
      </w:r>
      <w:r w:rsidR="001A6662">
        <w:rPr>
          <w:rFonts w:cstheme="minorHAnsi"/>
          <w:b/>
          <w:bCs/>
          <w:sz w:val="21"/>
          <w:szCs w:val="21"/>
        </w:rPr>
        <w:t>MA</w:t>
      </w:r>
      <w:r>
        <w:rPr>
          <w:rFonts w:cstheme="minorHAnsi"/>
          <w:b/>
          <w:bCs/>
          <w:sz w:val="21"/>
          <w:szCs w:val="21"/>
        </w:rPr>
        <w:t xml:space="preserve"> </w:t>
      </w:r>
      <w:r w:rsidRPr="004328E2">
        <w:rPr>
          <w:rFonts w:cstheme="minorHAnsi"/>
          <w:sz w:val="21"/>
          <w:szCs w:val="21"/>
        </w:rPr>
        <w:t xml:space="preserve">in a lease that </w:t>
      </w:r>
      <w:r w:rsidR="00DC234C">
        <w:rPr>
          <w:rFonts w:cstheme="minorHAnsi"/>
          <w:sz w:val="21"/>
          <w:szCs w:val="21"/>
        </w:rPr>
        <w:t>has expired</w:t>
      </w:r>
      <w:r>
        <w:rPr>
          <w:rFonts w:cstheme="minorHAnsi"/>
          <w:b/>
          <w:bCs/>
          <w:sz w:val="21"/>
          <w:szCs w:val="21"/>
        </w:rPr>
        <w:t>.</w:t>
      </w:r>
      <w:r w:rsidRPr="004328E2">
        <w:rPr>
          <w:rFonts w:cstheme="minorHAnsi"/>
          <w:sz w:val="21"/>
          <w:szCs w:val="21"/>
        </w:rPr>
        <w:t xml:space="preserve"> </w:t>
      </w:r>
      <w:r>
        <w:rPr>
          <w:rFonts w:cstheme="minorHAnsi"/>
          <w:sz w:val="21"/>
          <w:szCs w:val="21"/>
        </w:rPr>
        <w:t xml:space="preserve"> </w:t>
      </w:r>
      <w:r w:rsidRPr="004328E2">
        <w:rPr>
          <w:rStyle w:val="ui-provider"/>
          <w:sz w:val="21"/>
          <w:szCs w:val="21"/>
        </w:rPr>
        <w:t xml:space="preserve">The Government will consider alternative space if it is economically advantageous, and that otherwise the Government intends to pursue a sole source acquisition.  In making this determination, VA will consider, among other things, the availability of alternate space that potentially can satisfy the Government's requirements as well as all costs likely to be incurred through relocating such as physical move costs, replication of tenant improvements and telecommunications infrastructure, and non-productive agency downtime.  VA </w:t>
      </w:r>
      <w:r w:rsidR="00BB688A">
        <w:rPr>
          <w:rStyle w:val="ui-provider"/>
          <w:sz w:val="21"/>
          <w:szCs w:val="21"/>
        </w:rPr>
        <w:t>may</w:t>
      </w:r>
      <w:r w:rsidRPr="004328E2">
        <w:rPr>
          <w:rStyle w:val="ui-provider"/>
          <w:sz w:val="21"/>
          <w:szCs w:val="21"/>
        </w:rPr>
        <w:t xml:space="preserve"> consider leased space located in another existing building providing all costs mentioned above can be offset by competition.</w:t>
      </w:r>
    </w:p>
    <w:p w:rsidR="00EA000E" w:rsidRPr="004328E2" w:rsidP="00826E6D">
      <w:pPr>
        <w:spacing w:after="160" w:line="259" w:lineRule="auto"/>
        <w:rPr>
          <w:rFonts w:cstheme="minorHAnsi"/>
          <w:b/>
          <w:bCs/>
          <w:sz w:val="21"/>
          <w:szCs w:val="21"/>
        </w:rPr>
      </w:pPr>
      <w:r>
        <w:rPr>
          <w:rStyle w:val="ui-provider"/>
          <w:sz w:val="21"/>
          <w:szCs w:val="21"/>
        </w:rPr>
        <w:t>Space must be handicapped accessible, (ADA compliant), with 3</w:t>
      </w:r>
      <w:r w:rsidR="00740C60">
        <w:rPr>
          <w:rStyle w:val="ui-provider"/>
          <w:sz w:val="21"/>
          <w:szCs w:val="21"/>
        </w:rPr>
        <w:t>5</w:t>
      </w:r>
      <w:r>
        <w:rPr>
          <w:rStyle w:val="ui-provider"/>
          <w:sz w:val="21"/>
          <w:szCs w:val="21"/>
        </w:rPr>
        <w:t xml:space="preserve"> on-site parking spaces.  The space preferred will be first floor contiguous but will consider non-contiguous and/or other floor levels with working elevators if ADA compliant.  </w:t>
      </w:r>
    </w:p>
    <w:p w:rsidR="00EA000E" w:rsidRPr="004328E2" w:rsidP="00EA000E">
      <w:pPr>
        <w:spacing w:after="160" w:line="259" w:lineRule="auto"/>
        <w:rPr>
          <w:rFonts w:cstheme="minorHAnsi"/>
          <w:b/>
          <w:bCs/>
          <w:sz w:val="21"/>
          <w:szCs w:val="21"/>
        </w:rPr>
      </w:pPr>
      <w:r w:rsidRPr="004328E2">
        <w:rPr>
          <w:rFonts w:cstheme="minorHAnsi"/>
          <w:b/>
          <w:bCs/>
          <w:sz w:val="21"/>
          <w:szCs w:val="21"/>
        </w:rPr>
        <w:t xml:space="preserve">Term: </w:t>
      </w:r>
      <w:r w:rsidRPr="004328E2">
        <w:rPr>
          <w:rFonts w:cstheme="minorHAnsi"/>
          <w:sz w:val="21"/>
          <w:szCs w:val="21"/>
        </w:rPr>
        <w:t xml:space="preserve">Estimated term is up to </w:t>
      </w:r>
      <w:r>
        <w:rPr>
          <w:rFonts w:cstheme="minorHAnsi"/>
          <w:sz w:val="21"/>
          <w:szCs w:val="21"/>
        </w:rPr>
        <w:t>1</w:t>
      </w:r>
      <w:r w:rsidR="007A5708">
        <w:rPr>
          <w:rFonts w:cstheme="minorHAnsi"/>
          <w:sz w:val="21"/>
          <w:szCs w:val="21"/>
        </w:rPr>
        <w:t>5</w:t>
      </w:r>
      <w:r w:rsidRPr="004328E2">
        <w:rPr>
          <w:rFonts w:cstheme="minorHAnsi"/>
          <w:sz w:val="21"/>
          <w:szCs w:val="21"/>
        </w:rPr>
        <w:t>-years</w:t>
      </w:r>
      <w:r w:rsidR="00BC27E3">
        <w:rPr>
          <w:rFonts w:cstheme="minorHAnsi"/>
          <w:sz w:val="21"/>
          <w:szCs w:val="21"/>
        </w:rPr>
        <w:t xml:space="preserve"> total</w:t>
      </w:r>
      <w:r w:rsidRPr="004328E2">
        <w:rPr>
          <w:rFonts w:cstheme="minorHAnsi"/>
          <w:sz w:val="21"/>
          <w:szCs w:val="21"/>
        </w:rPr>
        <w:t xml:space="preserve">; </w:t>
      </w:r>
      <w:r>
        <w:rPr>
          <w:rFonts w:cstheme="minorHAnsi"/>
          <w:sz w:val="21"/>
          <w:szCs w:val="21"/>
        </w:rPr>
        <w:t>5-years</w:t>
      </w:r>
      <w:r w:rsidRPr="004328E2">
        <w:rPr>
          <w:rFonts w:cstheme="minorHAnsi"/>
          <w:sz w:val="21"/>
          <w:szCs w:val="21"/>
        </w:rPr>
        <w:t xml:space="preserve"> firm term, </w:t>
      </w:r>
      <w:r w:rsidR="007A5708">
        <w:rPr>
          <w:rFonts w:cstheme="minorHAnsi"/>
          <w:sz w:val="21"/>
          <w:szCs w:val="21"/>
        </w:rPr>
        <w:t>10</w:t>
      </w:r>
      <w:r w:rsidRPr="004328E2">
        <w:rPr>
          <w:rFonts w:cstheme="minorHAnsi"/>
          <w:sz w:val="21"/>
          <w:szCs w:val="21"/>
        </w:rPr>
        <w:t xml:space="preserve">-years non-firm term. </w:t>
      </w:r>
    </w:p>
    <w:p w:rsidR="00EA000E" w:rsidRPr="00BE2768" w:rsidP="00EA000E">
      <w:pPr>
        <w:spacing w:after="160" w:line="259" w:lineRule="auto"/>
        <w:rPr>
          <w:rFonts w:cstheme="minorHAnsi"/>
          <w:b/>
          <w:bCs/>
          <w:color w:val="FF0000"/>
          <w:sz w:val="21"/>
          <w:szCs w:val="21"/>
        </w:rPr>
      </w:pPr>
      <w:r w:rsidRPr="004328E2">
        <w:rPr>
          <w:rFonts w:cstheme="minorHAnsi"/>
          <w:b/>
          <w:bCs/>
          <w:sz w:val="21"/>
          <w:szCs w:val="21"/>
        </w:rPr>
        <w:t xml:space="preserve">Space Availability: </w:t>
      </w:r>
      <w:r w:rsidRPr="004328E2">
        <w:rPr>
          <w:rFonts w:cstheme="minorHAnsi"/>
          <w:sz w:val="21"/>
          <w:szCs w:val="21"/>
        </w:rPr>
        <w:t xml:space="preserve">The space must be </w:t>
      </w:r>
      <w:r w:rsidR="00A66FB3">
        <w:rPr>
          <w:rFonts w:cstheme="minorHAnsi"/>
          <w:sz w:val="21"/>
          <w:szCs w:val="21"/>
        </w:rPr>
        <w:t xml:space="preserve">currently </w:t>
      </w:r>
      <w:r w:rsidRPr="004328E2">
        <w:rPr>
          <w:rFonts w:cstheme="minorHAnsi"/>
          <w:sz w:val="21"/>
          <w:szCs w:val="21"/>
        </w:rPr>
        <w:t>available for occupancy</w:t>
      </w:r>
      <w:r>
        <w:rPr>
          <w:rFonts w:cstheme="minorHAnsi"/>
          <w:sz w:val="21"/>
          <w:szCs w:val="21"/>
        </w:rPr>
        <w:t>.</w:t>
      </w:r>
    </w:p>
    <w:p w:rsidR="00EA000E" w:rsidRPr="004328E2" w:rsidP="00EA000E">
      <w:pPr>
        <w:spacing w:after="160" w:line="259" w:lineRule="auto"/>
        <w:rPr>
          <w:rFonts w:cstheme="minorHAnsi"/>
          <w:b/>
          <w:bCs/>
          <w:sz w:val="21"/>
          <w:szCs w:val="21"/>
        </w:rPr>
      </w:pPr>
      <w:r w:rsidRPr="004328E2">
        <w:rPr>
          <w:rFonts w:cstheme="minorHAnsi"/>
          <w:b/>
          <w:bCs/>
          <w:sz w:val="21"/>
          <w:szCs w:val="21"/>
        </w:rPr>
        <w:t xml:space="preserve">Rentable Square Feet: </w:t>
      </w:r>
      <w:r w:rsidRPr="004328E2">
        <w:rPr>
          <w:rFonts w:cstheme="minorHAnsi"/>
          <w:sz w:val="21"/>
          <w:szCs w:val="21"/>
        </w:rPr>
        <w:t xml:space="preserve">Approximately </w:t>
      </w:r>
      <w:r w:rsidR="006A5BE9">
        <w:rPr>
          <w:rFonts w:cstheme="minorHAnsi"/>
          <w:sz w:val="21"/>
          <w:szCs w:val="21"/>
        </w:rPr>
        <w:t>4,075</w:t>
      </w:r>
      <w:r w:rsidRPr="004328E2">
        <w:rPr>
          <w:rFonts w:cstheme="minorHAnsi"/>
          <w:sz w:val="21"/>
          <w:szCs w:val="21"/>
        </w:rPr>
        <w:t xml:space="preserve"> ABOA / </w:t>
      </w:r>
      <w:r w:rsidR="006A5BE9">
        <w:rPr>
          <w:rFonts w:cstheme="minorHAnsi"/>
          <w:sz w:val="21"/>
          <w:szCs w:val="21"/>
        </w:rPr>
        <w:t>4,700</w:t>
      </w:r>
      <w:r w:rsidRPr="004328E2">
        <w:rPr>
          <w:rFonts w:cstheme="minorHAnsi"/>
          <w:sz w:val="21"/>
          <w:szCs w:val="21"/>
        </w:rPr>
        <w:t xml:space="preserve"> Rentable Square Feet (RSF) of Medical </w:t>
      </w:r>
      <w:r w:rsidR="00124320">
        <w:rPr>
          <w:rFonts w:cstheme="minorHAnsi"/>
          <w:sz w:val="21"/>
          <w:szCs w:val="21"/>
        </w:rPr>
        <w:t xml:space="preserve">/ Clinical </w:t>
      </w:r>
      <w:r w:rsidRPr="004328E2">
        <w:rPr>
          <w:rFonts w:cstheme="minorHAnsi"/>
          <w:sz w:val="21"/>
          <w:szCs w:val="21"/>
        </w:rPr>
        <w:t>Space.</w:t>
      </w:r>
      <w:r w:rsidRPr="004328E2">
        <w:rPr>
          <w:rFonts w:cstheme="minorHAnsi"/>
          <w:b/>
          <w:bCs/>
          <w:sz w:val="21"/>
          <w:szCs w:val="21"/>
        </w:rPr>
        <w:t xml:space="preserve"> </w:t>
      </w:r>
    </w:p>
    <w:p w:rsidR="00EA000E" w:rsidRPr="004328E2" w:rsidP="00EA000E">
      <w:pPr>
        <w:spacing w:after="160" w:line="259" w:lineRule="auto"/>
        <w:rPr>
          <w:rFonts w:cstheme="minorHAnsi"/>
          <w:sz w:val="21"/>
          <w:szCs w:val="21"/>
        </w:rPr>
      </w:pPr>
      <w:r>
        <w:rPr>
          <w:rFonts w:cstheme="minorHAnsi"/>
          <w:b/>
          <w:bCs/>
          <w:sz w:val="21"/>
          <w:szCs w:val="21"/>
        </w:rPr>
        <w:t>Delineated Area</w:t>
      </w:r>
      <w:r w:rsidRPr="00834896">
        <w:rPr>
          <w:rFonts w:cstheme="minorHAnsi"/>
          <w:b/>
          <w:bCs/>
          <w:sz w:val="21"/>
          <w:szCs w:val="21"/>
        </w:rPr>
        <w:t>:</w:t>
      </w:r>
      <w:r w:rsidRPr="004328E2">
        <w:rPr>
          <w:rFonts w:cstheme="minorHAnsi"/>
          <w:sz w:val="21"/>
          <w:szCs w:val="21"/>
        </w:rPr>
        <w:t xml:space="preserve"> To be considered, space must be within the following delineated area:</w:t>
      </w:r>
    </w:p>
    <w:p w:rsidR="00EA000E" w:rsidP="00EA000E">
      <w:pPr>
        <w:spacing w:after="160" w:line="259" w:lineRule="auto"/>
        <w:ind w:left="720"/>
        <w:rPr>
          <w:rFonts w:cstheme="minorHAnsi"/>
          <w:sz w:val="21"/>
          <w:szCs w:val="21"/>
        </w:rPr>
      </w:pPr>
      <w:r>
        <w:rPr>
          <w:rFonts w:cstheme="minorHAnsi"/>
          <w:sz w:val="21"/>
          <w:szCs w:val="21"/>
        </w:rPr>
        <w:t xml:space="preserve">City Limits of </w:t>
      </w:r>
      <w:r w:rsidR="00266DDA">
        <w:rPr>
          <w:rFonts w:cstheme="minorHAnsi"/>
          <w:sz w:val="21"/>
          <w:szCs w:val="21"/>
        </w:rPr>
        <w:t xml:space="preserve">Plymouth, MA </w:t>
      </w:r>
      <w:r w:rsidR="005B02DF">
        <w:rPr>
          <w:rFonts w:cstheme="minorHAnsi"/>
          <w:sz w:val="21"/>
          <w:szCs w:val="21"/>
        </w:rPr>
        <w:t xml:space="preserve">with boundaries that are </w:t>
      </w:r>
      <w:r w:rsidR="00266DDA">
        <w:rPr>
          <w:rFonts w:cstheme="minorHAnsi"/>
          <w:sz w:val="21"/>
          <w:szCs w:val="21"/>
        </w:rPr>
        <w:t>further described as follows:</w:t>
      </w:r>
    </w:p>
    <w:p w:rsidR="00266DDA" w:rsidP="00EA000E">
      <w:pPr>
        <w:spacing w:after="160" w:line="259" w:lineRule="auto"/>
        <w:ind w:left="720"/>
        <w:rPr>
          <w:rFonts w:cstheme="minorHAnsi"/>
          <w:sz w:val="21"/>
          <w:szCs w:val="21"/>
        </w:rPr>
      </w:pPr>
      <w:r>
        <w:rPr>
          <w:rFonts w:cstheme="minorHAnsi"/>
          <w:sz w:val="21"/>
          <w:szCs w:val="21"/>
        </w:rPr>
        <w:t xml:space="preserve">North </w:t>
      </w:r>
      <w:r w:rsidR="005B02DF">
        <w:rPr>
          <w:rFonts w:cstheme="minorHAnsi"/>
          <w:sz w:val="21"/>
          <w:szCs w:val="21"/>
        </w:rPr>
        <w:t>–</w:t>
      </w:r>
      <w:r>
        <w:rPr>
          <w:rFonts w:cstheme="minorHAnsi"/>
          <w:sz w:val="21"/>
          <w:szCs w:val="21"/>
        </w:rPr>
        <w:t xml:space="preserve"> Route</w:t>
      </w:r>
      <w:r w:rsidR="005B02DF">
        <w:rPr>
          <w:rFonts w:cstheme="minorHAnsi"/>
          <w:sz w:val="21"/>
          <w:szCs w:val="21"/>
        </w:rPr>
        <w:t xml:space="preserve"> 3A at Greys Beach Park (Main St</w:t>
      </w:r>
      <w:r w:rsidR="00FD0B63">
        <w:rPr>
          <w:rFonts w:cstheme="minorHAnsi"/>
          <w:sz w:val="21"/>
          <w:szCs w:val="21"/>
        </w:rPr>
        <w:t>reet</w:t>
      </w:r>
      <w:r w:rsidR="005B02DF">
        <w:rPr>
          <w:rFonts w:cstheme="minorHAnsi"/>
          <w:sz w:val="21"/>
          <w:szCs w:val="21"/>
        </w:rPr>
        <w:t xml:space="preserve"> &amp; Pilgrims H</w:t>
      </w:r>
      <w:r w:rsidR="00FD0B63">
        <w:rPr>
          <w:rFonts w:cstheme="minorHAnsi"/>
          <w:sz w:val="21"/>
          <w:szCs w:val="21"/>
        </w:rPr>
        <w:t>ighway</w:t>
      </w:r>
      <w:r w:rsidR="005B02DF">
        <w:rPr>
          <w:rFonts w:cstheme="minorHAnsi"/>
          <w:sz w:val="21"/>
          <w:szCs w:val="21"/>
        </w:rPr>
        <w:t>)</w:t>
      </w:r>
    </w:p>
    <w:p w:rsidR="00505F12" w:rsidP="00EA000E">
      <w:pPr>
        <w:spacing w:after="160" w:line="259" w:lineRule="auto"/>
        <w:ind w:left="720"/>
        <w:rPr>
          <w:rFonts w:cstheme="minorHAnsi"/>
          <w:sz w:val="21"/>
          <w:szCs w:val="21"/>
        </w:rPr>
      </w:pPr>
      <w:r>
        <w:rPr>
          <w:rFonts w:cstheme="minorHAnsi"/>
          <w:sz w:val="21"/>
          <w:szCs w:val="21"/>
        </w:rPr>
        <w:t>East – Coastal Route 3A</w:t>
      </w:r>
    </w:p>
    <w:p w:rsidR="00505F12" w:rsidP="00EA000E">
      <w:pPr>
        <w:spacing w:after="160" w:line="259" w:lineRule="auto"/>
        <w:ind w:left="720"/>
        <w:rPr>
          <w:rFonts w:cstheme="minorHAnsi"/>
          <w:sz w:val="21"/>
          <w:szCs w:val="21"/>
        </w:rPr>
      </w:pPr>
      <w:r>
        <w:rPr>
          <w:rFonts w:cstheme="minorHAnsi"/>
          <w:sz w:val="21"/>
          <w:szCs w:val="21"/>
        </w:rPr>
        <w:t>West – Tremont St</w:t>
      </w:r>
      <w:r w:rsidR="00FD0B63">
        <w:rPr>
          <w:rFonts w:cstheme="minorHAnsi"/>
          <w:sz w:val="21"/>
          <w:szCs w:val="21"/>
        </w:rPr>
        <w:t>reet</w:t>
      </w:r>
      <w:r>
        <w:rPr>
          <w:rFonts w:cstheme="minorHAnsi"/>
          <w:sz w:val="21"/>
          <w:szCs w:val="21"/>
        </w:rPr>
        <w:t xml:space="preserve"> &amp; Federal Furnace Road</w:t>
      </w:r>
      <w:r w:rsidR="00FD0B63">
        <w:rPr>
          <w:rFonts w:cstheme="minorHAnsi"/>
          <w:sz w:val="21"/>
          <w:szCs w:val="21"/>
        </w:rPr>
        <w:t xml:space="preserve"> (West Side of Myles Standish State Forest)</w:t>
      </w:r>
    </w:p>
    <w:p w:rsidR="00FD0B63" w:rsidP="00EA000E">
      <w:pPr>
        <w:spacing w:after="160" w:line="259" w:lineRule="auto"/>
        <w:ind w:left="720"/>
        <w:rPr>
          <w:rFonts w:cstheme="minorHAnsi"/>
          <w:sz w:val="21"/>
          <w:szCs w:val="21"/>
        </w:rPr>
      </w:pPr>
      <w:r>
        <w:rPr>
          <w:rFonts w:cstheme="minorHAnsi"/>
          <w:sz w:val="21"/>
          <w:szCs w:val="21"/>
        </w:rPr>
        <w:t>South – Interchange of Red Roack Road &amp; Head of the Bay Road</w:t>
      </w:r>
    </w:p>
    <w:p w:rsidR="00F8422D" w:rsidP="00F8422D">
      <w:pPr>
        <w:spacing w:after="160" w:line="259" w:lineRule="auto"/>
        <w:rPr>
          <w:rFonts w:cstheme="minorHAnsi"/>
          <w:sz w:val="21"/>
          <w:szCs w:val="21"/>
        </w:rPr>
      </w:pPr>
      <w:r>
        <w:rPr>
          <w:rFonts w:cstheme="minorHAnsi"/>
          <w:b/>
          <w:bCs/>
          <w:sz w:val="21"/>
          <w:szCs w:val="21"/>
        </w:rPr>
        <w:t xml:space="preserve">Space Type: </w:t>
      </w:r>
      <w:r>
        <w:rPr>
          <w:rFonts w:cstheme="minorHAnsi"/>
          <w:sz w:val="21"/>
          <w:szCs w:val="21"/>
        </w:rPr>
        <w:t>Outpatient Clinics &amp; Medical Office</w:t>
      </w:r>
    </w:p>
    <w:p w:rsidR="00834896" w:rsidRPr="004328E2" w:rsidP="00834896">
      <w:pPr>
        <w:spacing w:after="160" w:line="259" w:lineRule="auto"/>
        <w:rPr>
          <w:rFonts w:cstheme="minorHAnsi"/>
          <w:sz w:val="21"/>
          <w:szCs w:val="21"/>
        </w:rPr>
      </w:pPr>
      <w:r>
        <w:rPr>
          <w:rFonts w:cstheme="minorHAnsi"/>
          <w:b/>
          <w:bCs/>
          <w:sz w:val="21"/>
          <w:szCs w:val="21"/>
        </w:rPr>
        <w:t xml:space="preserve">Parking Spaces (Total): </w:t>
      </w:r>
      <w:r w:rsidRPr="00A66FB3" w:rsidR="00A66FB3">
        <w:rPr>
          <w:rFonts w:cstheme="minorHAnsi"/>
          <w:sz w:val="21"/>
          <w:szCs w:val="21"/>
        </w:rPr>
        <w:t>3</w:t>
      </w:r>
      <w:r w:rsidR="006A5BE9">
        <w:rPr>
          <w:rFonts w:cstheme="minorHAnsi"/>
          <w:sz w:val="21"/>
          <w:szCs w:val="21"/>
        </w:rPr>
        <w:t>5</w:t>
      </w:r>
      <w:r w:rsidR="00A2444E">
        <w:rPr>
          <w:rFonts w:cstheme="minorHAnsi"/>
          <w:sz w:val="21"/>
          <w:szCs w:val="21"/>
        </w:rPr>
        <w:t xml:space="preserve"> on-site spaces</w:t>
      </w:r>
      <w:r w:rsidR="006A5BE9">
        <w:rPr>
          <w:rFonts w:cstheme="minorHAnsi"/>
          <w:sz w:val="21"/>
          <w:szCs w:val="21"/>
        </w:rPr>
        <w:t xml:space="preserve"> including 4 ADA compliant spaces</w:t>
      </w:r>
    </w:p>
    <w:p w:rsidR="00A2444E" w:rsidP="00EA000E">
      <w:pPr>
        <w:spacing w:after="160" w:line="259" w:lineRule="auto"/>
        <w:rPr>
          <w:rStyle w:val="ui-provider"/>
          <w:sz w:val="21"/>
          <w:szCs w:val="21"/>
        </w:rPr>
      </w:pPr>
      <w:r>
        <w:rPr>
          <w:rStyle w:val="ui-provider"/>
          <w:sz w:val="21"/>
          <w:szCs w:val="21"/>
        </w:rPr>
        <w:t>Interested offerors</w:t>
      </w:r>
      <w:r w:rsidR="00D14C85">
        <w:rPr>
          <w:rStyle w:val="ui-provider"/>
          <w:sz w:val="21"/>
          <w:szCs w:val="21"/>
        </w:rPr>
        <w:t xml:space="preserve"> </w:t>
      </w:r>
      <w:r>
        <w:rPr>
          <w:rStyle w:val="ui-provider"/>
          <w:sz w:val="21"/>
          <w:szCs w:val="21"/>
        </w:rPr>
        <w:t xml:space="preserve">should submit specific information concerning their properties, photos, general layout of the space offered, location of the space, and approximate price-per-square-foot by Email not later than </w:t>
      </w:r>
      <w:r w:rsidR="00B15722">
        <w:rPr>
          <w:rStyle w:val="ui-provider"/>
          <w:sz w:val="21"/>
          <w:szCs w:val="21"/>
        </w:rPr>
        <w:t>4</w:t>
      </w:r>
      <w:r>
        <w:rPr>
          <w:rStyle w:val="ui-provider"/>
          <w:sz w:val="21"/>
          <w:szCs w:val="21"/>
        </w:rPr>
        <w:t xml:space="preserve">:00pm (EST) on </w:t>
      </w:r>
      <w:r w:rsidR="00B15722">
        <w:rPr>
          <w:rStyle w:val="ui-provider"/>
          <w:sz w:val="21"/>
          <w:szCs w:val="21"/>
        </w:rPr>
        <w:t>March</w:t>
      </w:r>
      <w:r>
        <w:rPr>
          <w:rStyle w:val="ui-provider"/>
          <w:sz w:val="21"/>
          <w:szCs w:val="21"/>
        </w:rPr>
        <w:t xml:space="preserve"> </w:t>
      </w:r>
      <w:r w:rsidR="00B15722">
        <w:rPr>
          <w:rStyle w:val="ui-provider"/>
          <w:sz w:val="21"/>
          <w:szCs w:val="21"/>
        </w:rPr>
        <w:t>16</w:t>
      </w:r>
      <w:r>
        <w:rPr>
          <w:rStyle w:val="ui-provider"/>
          <w:sz w:val="21"/>
          <w:szCs w:val="21"/>
        </w:rPr>
        <w:t xml:space="preserve">, </w:t>
      </w:r>
      <w:r w:rsidR="00D14C85">
        <w:rPr>
          <w:rStyle w:val="ui-provider"/>
          <w:sz w:val="21"/>
          <w:szCs w:val="21"/>
        </w:rPr>
        <w:t>2026,</w:t>
      </w:r>
      <w:r>
        <w:rPr>
          <w:rStyle w:val="ui-provider"/>
          <w:sz w:val="21"/>
          <w:szCs w:val="21"/>
        </w:rPr>
        <w:t xml:space="preserve"> to </w:t>
      </w:r>
      <w:r>
        <w:fldChar w:fldCharType="begin"/>
      </w:r>
      <w:r>
        <w:instrText xml:space="preserve"> HYPERLINK "mailto:Melinda.Sanderson@va.gov" </w:instrText>
      </w:r>
      <w:r>
        <w:fldChar w:fldCharType="separate"/>
      </w:r>
      <w:r w:rsidRPr="008473A5">
        <w:rPr>
          <w:rStyle w:val="Hyperlink"/>
          <w:sz w:val="21"/>
          <w:szCs w:val="21"/>
        </w:rPr>
        <w:t>Melinda.Sanderson@va.gov</w:t>
      </w:r>
      <w:r>
        <w:fldChar w:fldCharType="end"/>
      </w:r>
      <w:r>
        <w:rPr>
          <w:rStyle w:val="ui-provider"/>
          <w:sz w:val="21"/>
          <w:szCs w:val="21"/>
        </w:rPr>
        <w:t xml:space="preserve">. </w:t>
      </w:r>
    </w:p>
    <w:p w:rsidR="00BB688A" w:rsidRPr="00BB688A" w:rsidP="00EA000E">
      <w:pPr>
        <w:spacing w:after="160" w:line="259" w:lineRule="auto"/>
        <w:rPr>
          <w:rFonts w:cstheme="minorHAnsi"/>
          <w:b/>
          <w:bCs/>
          <w:sz w:val="21"/>
          <w:szCs w:val="21"/>
          <w:u w:val="single"/>
        </w:rPr>
      </w:pPr>
      <w:r w:rsidRPr="00BB688A">
        <w:rPr>
          <w:rStyle w:val="ui-provider"/>
          <w:sz w:val="21"/>
          <w:szCs w:val="21"/>
          <w:u w:val="single"/>
        </w:rPr>
        <w:t>Respondents are advised that the VA assumes no responsibility to award a lease based on the responses to this advertisement.  VA will not pay commissions.  Offerors are responsible for any costs associated with providing proposals to the Government.</w:t>
      </w:r>
    </w:p>
    <w:p w:rsidR="00A2444E" w:rsidRPr="00A2444E" w:rsidP="00EA000E">
      <w:pPr>
        <w:spacing w:after="160" w:line="259" w:lineRule="auto"/>
        <w:rPr>
          <w:rFonts w:cstheme="minorHAnsi"/>
          <w:sz w:val="21"/>
          <w:szCs w:val="21"/>
        </w:rPr>
      </w:pPr>
      <w:r>
        <w:rPr>
          <w:rFonts w:cstheme="minorHAnsi"/>
          <w:sz w:val="21"/>
          <w:szCs w:val="21"/>
          <w:u w:val="single"/>
        </w:rPr>
        <w:t>NOTE:</w:t>
      </w:r>
      <w:r>
        <w:rPr>
          <w:rFonts w:cstheme="minorHAnsi"/>
          <w:sz w:val="21"/>
          <w:szCs w:val="21"/>
        </w:rPr>
        <w:t xml:space="preserve"> VA is only gathering market research information.  This advertisement is not a solicitation for offers, nor is it a request for proposals.</w:t>
      </w:r>
    </w:p>
    <w:p w:rsidR="006A036A">
      <w:r>
        <w:t>END OF NOTICE</w:t>
      </w: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000E">
    <w:pPr>
      <w:pStyle w:val="Footer"/>
      <w:jc w:val="right"/>
    </w:pPr>
  </w:p>
  <w:p w:rsidR="00EA000E">
    <w:pPr>
      <w:pStyle w:val="Footer"/>
    </w:pPr>
  </w:p>
  <w:p w:rsidR="00EA000E">
    <w:pPr>
      <w:pStyle w:val="Head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0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A0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00E"/>
    <w:rPr>
      <w:rFonts w:eastAsiaTheme="majorEastAsia" w:cstheme="majorBidi"/>
      <w:color w:val="272727" w:themeColor="text1" w:themeTint="D8"/>
    </w:rPr>
  </w:style>
  <w:style w:type="paragraph" w:styleId="Quote">
    <w:name w:val="Quote"/>
    <w:basedOn w:val="Normal"/>
    <w:next w:val="Normal"/>
    <w:link w:val="QuoteChar"/>
    <w:uiPriority w:val="29"/>
    <w:qFormat/>
    <w:rsid w:val="00EA000E"/>
    <w:pPr>
      <w:spacing w:before="160"/>
      <w:jc w:val="center"/>
    </w:pPr>
    <w:rPr>
      <w:i/>
      <w:iCs/>
      <w:color w:val="404040" w:themeColor="text1" w:themeTint="BF"/>
    </w:rPr>
  </w:style>
  <w:style w:type="character" w:customStyle="1" w:styleId="QuoteChar">
    <w:name w:val="Quote Char"/>
    <w:basedOn w:val="DefaultParagraphFont"/>
    <w:link w:val="Quote"/>
    <w:uiPriority w:val="29"/>
    <w:rsid w:val="00EA000E"/>
    <w:rPr>
      <w:i/>
      <w:iCs/>
      <w:color w:val="404040" w:themeColor="text1" w:themeTint="BF"/>
    </w:rPr>
  </w:style>
  <w:style w:type="paragraph" w:styleId="IntenseQuote">
    <w:name w:val="Intense Quote"/>
    <w:basedOn w:val="Normal"/>
    <w:next w:val="Normal"/>
    <w:link w:val="IntenseQuoteChar"/>
    <w:uiPriority w:val="30"/>
    <w:qFormat/>
    <w:rsid w:val="00EA000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A000E"/>
    <w:rPr>
      <w:i/>
      <w:iCs/>
      <w:color w:val="366092" w:themeColor="accent1" w:themeShade="BF"/>
    </w:rPr>
  </w:style>
  <w:style w:type="character" w:styleId="IntenseReference">
    <w:name w:val="Intense Reference"/>
    <w:basedOn w:val="DefaultParagraphFont"/>
    <w:uiPriority w:val="32"/>
    <w:qFormat/>
    <w:rsid w:val="00EA000E"/>
    <w:rPr>
      <w:b/>
      <w:bCs/>
      <w:smallCaps/>
      <w:color w:val="366092" w:themeColor="accent1" w:themeShade="BF"/>
      <w:spacing w:val="5"/>
    </w:rPr>
  </w:style>
  <w:style w:type="character" w:styleId="Hyperlink">
    <w:name w:val="Hyperlink"/>
    <w:basedOn w:val="DefaultParagraphFont"/>
    <w:uiPriority w:val="99"/>
    <w:unhideWhenUsed/>
    <w:rsid w:val="00EA000E"/>
    <w:rPr>
      <w:color w:val="0000FF" w:themeColor="hyperlink"/>
      <w:u w:val="single"/>
    </w:rPr>
  </w:style>
  <w:style w:type="character" w:customStyle="1" w:styleId="ui-provider">
    <w:name w:val="ui-provider"/>
    <w:basedOn w:val="DefaultParagraphFont"/>
    <w:rsid w:val="00EA000E"/>
  </w:style>
  <w:style w:type="character" w:customStyle="1" w:styleId="UnresolvedMention">
    <w:name w:val="Unresolved Mention"/>
    <w:basedOn w:val="DefaultParagraphFont"/>
    <w:uiPriority w:val="99"/>
    <w:semiHidden/>
    <w:unhideWhenUsed/>
    <w:rsid w:val="00A2444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2026-03-04T20:12:27Z</dcterms:created>
  <dcterms:modified xsi:type="dcterms:W3CDTF">2026-03-04T20:12:27Z</dcterms:modified>
</cp:coreProperties>
</file>