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AAE2" w14:textId="77777777" w:rsidR="00DF634B" w:rsidRPr="00DC6E64" w:rsidRDefault="00DF634B" w:rsidP="00DF634B">
      <w:pPr>
        <w:shd w:val="clear" w:color="auto" w:fill="FFFFFF"/>
        <w:spacing w:before="120" w:after="120" w:line="240" w:lineRule="auto"/>
        <w:jc w:val="center"/>
        <w:textAlignment w:val="baseline"/>
        <w:rPr>
          <w:rFonts w:ascii="open_sansregular" w:eastAsia="Times New Roman" w:hAnsi="open_sansregular" w:cs="Times New Roman"/>
          <w:smallCaps/>
          <w:color w:val="000000"/>
          <w:kern w:val="0"/>
          <w:sz w:val="24"/>
          <w:szCs w:val="24"/>
          <w14:ligatures w14:val="none"/>
        </w:rPr>
      </w:pPr>
      <w:r w:rsidRPr="00DC6E64">
        <w:rPr>
          <w:rFonts w:ascii="open_sansregular" w:eastAsia="Times New Roman" w:hAnsi="open_sansregular" w:cs="Times New Roman"/>
          <w:smallCaps/>
          <w:color w:val="000000"/>
          <w:kern w:val="0"/>
          <w:sz w:val="24"/>
          <w:szCs w:val="24"/>
          <w14:ligatures w14:val="none"/>
        </w:rPr>
        <w:t>Buy American Certificate (Oct 2022)</w:t>
      </w:r>
    </w:p>
    <w:p w14:paraId="44348554"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(a)</w:t>
      </w:r>
      <w:r w:rsidRPr="00DC6E64">
        <w:rPr>
          <w:rFonts w:ascii="open_sansregular" w:eastAsia="Times New Roman" w:hAnsi="open_sansregular" w:cs="Times New Roman"/>
          <w:color w:val="000000"/>
          <w:kern w:val="0"/>
          <w:sz w:val="24"/>
          <w:szCs w:val="24"/>
          <w14:ligatures w14:val="none"/>
        </w:rPr>
        <w:t> </w:t>
      </w:r>
      <w:r w:rsidRPr="00DC6E64">
        <w:rPr>
          <w:rFonts w:ascii="open_sansregular" w:eastAsia="Times New Roman" w:hAnsi="open_sansregular" w:cs="Times New Roman"/>
          <w:color w:val="000000"/>
          <w:kern w:val="0"/>
          <w:sz w:val="24"/>
          <w:szCs w:val="24"/>
          <w:bdr w:val="none" w:sz="0" w:space="0" w:color="auto" w:frame="1"/>
          <w14:ligatures w14:val="none"/>
        </w:rPr>
        <w:t>(1)</w:t>
      </w:r>
      <w:r w:rsidRPr="00DC6E64">
        <w:rPr>
          <w:rFonts w:ascii="open_sansregular" w:eastAsia="Times New Roman" w:hAnsi="open_sansregular" w:cs="Times New Roman"/>
          <w:color w:val="000000"/>
          <w:kern w:val="0"/>
          <w:sz w:val="24"/>
          <w:szCs w:val="24"/>
          <w14:ligatures w14:val="none"/>
        </w:rPr>
        <w:t xml:space="preserve"> The Offeror certifies that each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except those listed in paragraph (b) of this provision, is a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and that each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xml:space="preserve"> listed in paragraph (c) of this provision contains a critical component.</w:t>
      </w:r>
    </w:p>
    <w:p w14:paraId="2DEBD091"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(2)</w:t>
      </w:r>
      <w:r w:rsidRPr="00DC6E64">
        <w:rPr>
          <w:rFonts w:ascii="open_sansregular" w:eastAsia="Times New Roman" w:hAnsi="open_sansregular" w:cs="Times New Roman"/>
          <w:color w:val="000000"/>
          <w:kern w:val="0"/>
          <w:sz w:val="24"/>
          <w:szCs w:val="24"/>
          <w14:ligatures w14:val="none"/>
        </w:rPr>
        <w:t>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AAD177A"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(3)</w:t>
      </w:r>
      <w:r w:rsidRPr="00DC6E64">
        <w:rPr>
          <w:rFonts w:ascii="open_sansregular" w:eastAsia="Times New Roman" w:hAnsi="open_sansregular" w:cs="Times New Roman"/>
          <w:color w:val="000000"/>
          <w:kern w:val="0"/>
          <w:sz w:val="24"/>
          <w:szCs w:val="24"/>
          <w14:ligatures w14:val="none"/>
        </w:rPr>
        <w:t> The Offeror shall separately list the line item numbers of domestic end products that contain a critical component (see FAR </w:t>
      </w:r>
      <w:hyperlink r:id="rId4" w:anchor="FAR_25_105" w:tooltip="25.105" w:history="1">
        <w:r w:rsidRPr="00DC6E64">
          <w:rPr>
            <w:rFonts w:ascii="inherit" w:eastAsia="Times New Roman" w:hAnsi="inherit" w:cs="Times New Roman"/>
            <w:color w:val="0000FF"/>
            <w:kern w:val="0"/>
            <w:sz w:val="24"/>
            <w:szCs w:val="24"/>
            <w:u w:val="single"/>
            <w:bdr w:val="none" w:sz="0" w:space="0" w:color="auto" w:frame="1"/>
            <w14:ligatures w14:val="none"/>
          </w:rPr>
          <w:t>25.105</w:t>
        </w:r>
      </w:hyperlink>
      <w:r w:rsidRPr="00DC6E64">
        <w:rPr>
          <w:rFonts w:ascii="open_sansregular" w:eastAsia="Times New Roman" w:hAnsi="open_sansregular" w:cs="Times New Roman"/>
          <w:color w:val="000000"/>
          <w:kern w:val="0"/>
          <w:sz w:val="24"/>
          <w:szCs w:val="24"/>
          <w14:ligatures w14:val="none"/>
        </w:rPr>
        <w:t>).</w:t>
      </w:r>
    </w:p>
    <w:p w14:paraId="6D6A8420" w14:textId="77777777" w:rsidR="00DF634B" w:rsidRPr="00DC6E64" w:rsidRDefault="00DF634B" w:rsidP="00DF634B">
      <w:pPr>
        <w:shd w:val="clear" w:color="auto" w:fill="FFFFFF"/>
        <w:spacing w:before="120" w:after="120" w:line="240" w:lineRule="auto"/>
        <w:ind w:firstLine="72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(4)</w:t>
      </w:r>
      <w:r w:rsidRPr="00DC6E64">
        <w:rPr>
          <w:rFonts w:ascii="open_sansregular" w:eastAsia="Times New Roman" w:hAnsi="open_sansregular" w:cs="Times New Roman"/>
          <w:color w:val="000000"/>
          <w:kern w:val="0"/>
          <w:sz w:val="24"/>
          <w:szCs w:val="24"/>
          <w14:ligatures w14:val="none"/>
        </w:rPr>
        <w:t xml:space="preserve"> The terms “commercially available off-the-shelf (COTS) item,” “critical component,” "domestic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w:t>
      </w:r>
      <w:proofErr w:type="gramStart"/>
      <w:r w:rsidRPr="00DC6E64">
        <w:rPr>
          <w:rFonts w:ascii="open_sansregular" w:eastAsia="Times New Roman" w:hAnsi="open_sansregular" w:cs="Times New Roman"/>
          <w:color w:val="000000"/>
          <w:kern w:val="0"/>
          <w:sz w:val="24"/>
          <w:szCs w:val="24"/>
          <w14:ligatures w14:val="none"/>
        </w:rPr>
        <w:t>end product</w:t>
      </w:r>
      <w:proofErr w:type="gramEnd"/>
      <w:r w:rsidRPr="00DC6E64">
        <w:rPr>
          <w:rFonts w:ascii="open_sansregular" w:eastAsia="Times New Roman" w:hAnsi="open_sansregular" w:cs="Times New Roman"/>
          <w:color w:val="000000"/>
          <w:kern w:val="0"/>
          <w:sz w:val="24"/>
          <w:szCs w:val="24"/>
          <w14:ligatures w14:val="none"/>
        </w:rPr>
        <w:t>," and "foreign end product" are defined in the clause of this solicitation entitled "Buy American-Supplies."</w:t>
      </w:r>
    </w:p>
    <w:p w14:paraId="2A5BB38A"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r w:rsidRPr="00DC6E64">
        <w:rPr>
          <w:rFonts w:ascii="open_sansregular" w:eastAsia="Times New Roman" w:hAnsi="open_sansregular" w:cs="Times New Roman"/>
          <w:color w:val="000000"/>
          <w:kern w:val="0"/>
          <w:sz w:val="24"/>
          <w:szCs w:val="24"/>
          <w14:ligatures w14:val="none"/>
        </w:rPr>
        <w:t>Foreign End Products:</w:t>
      </w:r>
    </w:p>
    <w:tbl>
      <w:tblPr>
        <w:tblW w:w="9270" w:type="dxa"/>
        <w:tblCellMar>
          <w:top w:w="15" w:type="dxa"/>
          <w:left w:w="15" w:type="dxa"/>
          <w:bottom w:w="15" w:type="dxa"/>
          <w:right w:w="15" w:type="dxa"/>
        </w:tblCellMar>
        <w:tblLook w:val="04A0" w:firstRow="1" w:lastRow="0" w:firstColumn="1" w:lastColumn="0" w:noHBand="0" w:noVBand="1"/>
      </w:tblPr>
      <w:tblGrid>
        <w:gridCol w:w="2340"/>
        <w:gridCol w:w="1993"/>
        <w:gridCol w:w="4937"/>
      </w:tblGrid>
      <w:tr w:rsidR="00DF634B" w:rsidRPr="00DC6E64" w14:paraId="282C8E8A"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1B038EF9"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proofErr w:type="gramStart"/>
            <w:r w:rsidRPr="00DC6E64">
              <w:rPr>
                <w:rFonts w:ascii="open_sansregular" w:eastAsia="Times New Roman" w:hAnsi="open_sansregular" w:cs="Times New Roman"/>
                <w:kern w:val="0"/>
                <w:sz w:val="24"/>
                <w:szCs w:val="24"/>
                <w14:ligatures w14:val="none"/>
              </w:rPr>
              <w:t>Line Item</w:t>
            </w:r>
            <w:proofErr w:type="gramEnd"/>
            <w:r w:rsidRPr="00DC6E64">
              <w:rPr>
                <w:rFonts w:ascii="open_sansregular" w:eastAsia="Times New Roman" w:hAnsi="open_sansregular" w:cs="Times New Roman"/>
                <w:kern w:val="0"/>
                <w:sz w:val="24"/>
                <w:szCs w:val="24"/>
                <w14:ligatures w14:val="none"/>
              </w:rPr>
              <w:t xml:space="preserve"> No.</w:t>
            </w:r>
          </w:p>
        </w:tc>
        <w:tc>
          <w:tcPr>
            <w:tcW w:w="1993" w:type="dxa"/>
            <w:tcBorders>
              <w:top w:val="nil"/>
              <w:left w:val="nil"/>
              <w:bottom w:val="nil"/>
              <w:right w:val="nil"/>
            </w:tcBorders>
            <w:tcMar>
              <w:top w:w="240" w:type="dxa"/>
              <w:left w:w="240" w:type="dxa"/>
              <w:bottom w:w="240" w:type="dxa"/>
              <w:right w:w="240" w:type="dxa"/>
            </w:tcMar>
            <w:vAlign w:val="bottom"/>
            <w:hideMark/>
          </w:tcPr>
          <w:p w14:paraId="7290B820"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Country of Origin</w:t>
            </w:r>
          </w:p>
        </w:tc>
        <w:tc>
          <w:tcPr>
            <w:tcW w:w="4937" w:type="dxa"/>
            <w:tcBorders>
              <w:top w:val="nil"/>
              <w:left w:val="nil"/>
              <w:bottom w:val="nil"/>
              <w:right w:val="nil"/>
            </w:tcBorders>
            <w:tcMar>
              <w:top w:w="240" w:type="dxa"/>
              <w:left w:w="240" w:type="dxa"/>
              <w:bottom w:w="240" w:type="dxa"/>
              <w:right w:w="240" w:type="dxa"/>
            </w:tcMar>
            <w:vAlign w:val="bottom"/>
            <w:hideMark/>
          </w:tcPr>
          <w:p w14:paraId="34F4A361" w14:textId="77777777" w:rsidR="00DF634B" w:rsidRPr="00DC6E64" w:rsidRDefault="00DF634B" w:rsidP="00670BB2">
            <w:pPr>
              <w:spacing w:before="120" w:after="120" w:line="240" w:lineRule="auto"/>
              <w:jc w:val="center"/>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kern w:val="0"/>
                <w:sz w:val="24"/>
                <w:szCs w:val="24"/>
                <w14:ligatures w14:val="none"/>
              </w:rPr>
              <w:t>Exceeds 55% domestic content (yes/no)</w:t>
            </w:r>
          </w:p>
        </w:tc>
      </w:tr>
      <w:tr w:rsidR="00DF634B" w:rsidRPr="00DC6E64" w14:paraId="0E7A9634"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06516DA" w14:textId="72AAFA05"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512A976A" w14:textId="07BDB420"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 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69FF9EC3" w14:textId="3DFE92E4"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292A4E23"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0FE109EF"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4746BC6A"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FB6F6E3"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r w:rsidR="00DF634B" w:rsidRPr="00DC6E64" w14:paraId="67A77666" w14:textId="77777777" w:rsidTr="00670BB2">
        <w:tc>
          <w:tcPr>
            <w:tcW w:w="2340" w:type="dxa"/>
            <w:tcBorders>
              <w:top w:val="nil"/>
              <w:left w:val="nil"/>
              <w:bottom w:val="nil"/>
              <w:right w:val="nil"/>
            </w:tcBorders>
            <w:tcMar>
              <w:top w:w="240" w:type="dxa"/>
              <w:left w:w="240" w:type="dxa"/>
              <w:bottom w:w="240" w:type="dxa"/>
              <w:right w:w="240" w:type="dxa"/>
            </w:tcMar>
            <w:vAlign w:val="bottom"/>
            <w:hideMark/>
          </w:tcPr>
          <w:p w14:paraId="57046F4D"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w:t>
            </w:r>
          </w:p>
        </w:tc>
        <w:tc>
          <w:tcPr>
            <w:tcW w:w="1993" w:type="dxa"/>
            <w:tcBorders>
              <w:top w:val="nil"/>
              <w:left w:val="nil"/>
              <w:bottom w:val="nil"/>
              <w:right w:val="nil"/>
            </w:tcBorders>
            <w:tcMar>
              <w:top w:w="240" w:type="dxa"/>
              <w:left w:w="240" w:type="dxa"/>
              <w:bottom w:w="240" w:type="dxa"/>
              <w:right w:w="240" w:type="dxa"/>
            </w:tcMar>
            <w:vAlign w:val="bottom"/>
            <w:hideMark/>
          </w:tcPr>
          <w:p w14:paraId="602ECDF6"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c>
          <w:tcPr>
            <w:tcW w:w="4937" w:type="dxa"/>
            <w:tcBorders>
              <w:top w:val="nil"/>
              <w:left w:val="nil"/>
              <w:bottom w:val="nil"/>
              <w:right w:val="nil"/>
            </w:tcBorders>
            <w:tcMar>
              <w:top w:w="240" w:type="dxa"/>
              <w:left w:w="240" w:type="dxa"/>
              <w:bottom w:w="240" w:type="dxa"/>
              <w:right w:w="240" w:type="dxa"/>
            </w:tcMar>
            <w:vAlign w:val="bottom"/>
            <w:hideMark/>
          </w:tcPr>
          <w:p w14:paraId="7EA05345" w14:textId="77777777" w:rsidR="00DF634B" w:rsidRPr="00DC6E64" w:rsidRDefault="00DF634B" w:rsidP="00670BB2">
            <w:pPr>
              <w:spacing w:before="120" w:after="120" w:line="240" w:lineRule="auto"/>
              <w:jc w:val="center"/>
              <w:textAlignment w:val="baseline"/>
              <w:rPr>
                <w:rFonts w:ascii="open_sansregular" w:eastAsia="Times New Roman" w:hAnsi="open_sansregular" w:cs="Times New Roman"/>
                <w:kern w:val="0"/>
                <w:sz w:val="24"/>
                <w:szCs w:val="24"/>
                <w14:ligatures w14:val="none"/>
              </w:rPr>
            </w:pPr>
            <w:r w:rsidRPr="00DC6E64">
              <w:rPr>
                <w:rFonts w:ascii="open_sansregular" w:eastAsia="Times New Roman" w:hAnsi="open_sansregular" w:cs="Times New Roman"/>
                <w:i/>
                <w:iCs/>
                <w:kern w:val="0"/>
                <w:sz w:val="24"/>
                <w:szCs w:val="24"/>
                <w:bdr w:val="none" w:sz="0" w:space="0" w:color="auto" w:frame="1"/>
                <w14:ligatures w14:val="none"/>
              </w:rPr>
              <w:t>_________________</w:t>
            </w:r>
          </w:p>
        </w:tc>
      </w:tr>
    </w:tbl>
    <w:p w14:paraId="1E761C78"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(b</w:t>
      </w:r>
      <w:proofErr w:type="gramStart"/>
      <w:r w:rsidRPr="00DC6E64">
        <w:rPr>
          <w:rFonts w:ascii="open_sansregular" w:eastAsia="Times New Roman" w:hAnsi="open_sansregular" w:cs="Times New Roman"/>
          <w:color w:val="000000"/>
          <w:kern w:val="0"/>
          <w:sz w:val="24"/>
          <w:szCs w:val="24"/>
          <w:bdr w:val="none" w:sz="0" w:space="0" w:color="auto" w:frame="1"/>
          <w14:ligatures w14:val="none"/>
        </w:rPr>
        <w:t>)</w:t>
      </w:r>
      <w:r w:rsidRPr="00DC6E64">
        <w:rPr>
          <w:rFonts w:ascii="open_sansregular" w:eastAsia="Times New Roman" w:hAnsi="open_sansregular" w:cs="Times New Roman"/>
          <w:color w:val="000000"/>
          <w:kern w:val="0"/>
          <w:sz w:val="24"/>
          <w:szCs w:val="24"/>
          <w14:ligatures w14:val="none"/>
        </w:rPr>
        <w:t>[</w:t>
      </w:r>
      <w:proofErr w:type="gramEnd"/>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342EF346"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(c)</w:t>
      </w:r>
      <w:r w:rsidRPr="00DC6E64">
        <w:rPr>
          <w:rFonts w:ascii="open_sansregular" w:eastAsia="Times New Roman" w:hAnsi="open_sansregular" w:cs="Times New Roman"/>
          <w:color w:val="000000"/>
          <w:kern w:val="0"/>
          <w:sz w:val="24"/>
          <w:szCs w:val="24"/>
          <w14:ligatures w14:val="none"/>
        </w:rPr>
        <w:t> Domestic end products containing a critical component:</w:t>
      </w:r>
    </w:p>
    <w:p w14:paraId="0837897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proofErr w:type="gramStart"/>
      <w:r w:rsidRPr="00DC6E64">
        <w:rPr>
          <w:rFonts w:ascii="open_sansregular" w:eastAsia="Times New Roman" w:hAnsi="open_sansregular" w:cs="Times New Roman"/>
          <w:color w:val="000000"/>
          <w:kern w:val="0"/>
          <w:sz w:val="24"/>
          <w:szCs w:val="24"/>
          <w14:ligatures w14:val="none"/>
        </w:rPr>
        <w:t>Line Item</w:t>
      </w:r>
      <w:proofErr w:type="gramEnd"/>
      <w:r w:rsidRPr="00DC6E64">
        <w:rPr>
          <w:rFonts w:ascii="open_sansregular" w:eastAsia="Times New Roman" w:hAnsi="open_sansregular" w:cs="Times New Roman"/>
          <w:color w:val="000000"/>
          <w:kern w:val="0"/>
          <w:sz w:val="24"/>
          <w:szCs w:val="24"/>
          <w14:ligatures w14:val="none"/>
        </w:rPr>
        <w:t xml:space="preserve"> No. </w:t>
      </w:r>
      <w:r w:rsidRPr="00DC6E64">
        <w:rPr>
          <w:rFonts w:ascii="open_sansregular" w:eastAsia="Times New Roman" w:hAnsi="open_sansregular" w:cs="Times New Roman"/>
          <w:i/>
          <w:iCs/>
          <w:color w:val="000000"/>
          <w:kern w:val="0"/>
          <w:sz w:val="24"/>
          <w:szCs w:val="24"/>
          <w:bdr w:val="none" w:sz="0" w:space="0" w:color="auto" w:frame="1"/>
          <w14:ligatures w14:val="none"/>
        </w:rPr>
        <w:t>___</w:t>
      </w:r>
    </w:p>
    <w:p w14:paraId="55A072B1" w14:textId="77777777" w:rsidR="00DF634B" w:rsidRPr="00DC6E64"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14:ligatures w14:val="none"/>
        </w:rPr>
        <w:t>[</w:t>
      </w:r>
      <w:r w:rsidRPr="00DC6E64">
        <w:rPr>
          <w:rFonts w:ascii="inherit" w:eastAsia="Times New Roman" w:hAnsi="inherit" w:cs="Times New Roman"/>
          <w:i/>
          <w:iCs/>
          <w:color w:val="000000"/>
          <w:kern w:val="0"/>
          <w:sz w:val="24"/>
          <w:szCs w:val="24"/>
          <w:bdr w:val="none" w:sz="0" w:space="0" w:color="auto" w:frame="1"/>
          <w14:ligatures w14:val="none"/>
        </w:rPr>
        <w:t>List as necessary</w:t>
      </w:r>
      <w:r w:rsidRPr="00DC6E64">
        <w:rPr>
          <w:rFonts w:ascii="open_sansregular" w:eastAsia="Times New Roman" w:hAnsi="open_sansregular" w:cs="Times New Roman"/>
          <w:color w:val="000000"/>
          <w:kern w:val="0"/>
          <w:sz w:val="24"/>
          <w:szCs w:val="24"/>
          <w14:ligatures w14:val="none"/>
        </w:rPr>
        <w:t>]</w:t>
      </w:r>
    </w:p>
    <w:p w14:paraId="075CC473" w14:textId="77777777" w:rsidR="00DF634B" w:rsidRDefault="00DF634B" w:rsidP="00DF634B">
      <w:pPr>
        <w:shd w:val="clear" w:color="auto" w:fill="FFFFFF"/>
        <w:spacing w:before="120" w:after="120" w:line="240" w:lineRule="auto"/>
        <w:ind w:firstLine="360"/>
        <w:textAlignment w:val="baseline"/>
        <w:rPr>
          <w:rFonts w:ascii="open_sansregular" w:eastAsia="Times New Roman" w:hAnsi="open_sansregular" w:cs="Times New Roman"/>
          <w:color w:val="000000"/>
          <w:kern w:val="0"/>
          <w:sz w:val="24"/>
          <w:szCs w:val="24"/>
          <w14:ligatures w14:val="none"/>
        </w:rPr>
      </w:pPr>
      <w:r w:rsidRPr="00DC6E64">
        <w:rPr>
          <w:rFonts w:ascii="open_sansregular" w:eastAsia="Times New Roman" w:hAnsi="open_sansregular" w:cs="Times New Roman"/>
          <w:color w:val="000000"/>
          <w:kern w:val="0"/>
          <w:sz w:val="24"/>
          <w:szCs w:val="24"/>
          <w:bdr w:val="none" w:sz="0" w:space="0" w:color="auto" w:frame="1"/>
          <w14:ligatures w14:val="none"/>
        </w:rPr>
        <w:t>(d)</w:t>
      </w:r>
      <w:r w:rsidRPr="00DC6E64">
        <w:rPr>
          <w:rFonts w:ascii="open_sansregular" w:eastAsia="Times New Roman" w:hAnsi="open_sansregular" w:cs="Times New Roman"/>
          <w:color w:val="000000"/>
          <w:kern w:val="0"/>
          <w:sz w:val="24"/>
          <w:szCs w:val="24"/>
          <w14:ligatures w14:val="none"/>
        </w:rPr>
        <w:t> The Government will evaluate offers in accordance with the policies and procedures of </w:t>
      </w:r>
      <w:hyperlink r:id="rId5" w:anchor="FAR_Part_25" w:tooltip="part  25" w:history="1">
        <w:r w:rsidRPr="00DC6E64">
          <w:rPr>
            <w:rFonts w:ascii="inherit" w:eastAsia="Times New Roman" w:hAnsi="inherit" w:cs="Times New Roman"/>
            <w:color w:val="0000FF"/>
            <w:kern w:val="0"/>
            <w:sz w:val="24"/>
            <w:szCs w:val="24"/>
            <w:u w:val="single"/>
            <w:bdr w:val="none" w:sz="0" w:space="0" w:color="auto" w:frame="1"/>
            <w14:ligatures w14:val="none"/>
          </w:rPr>
          <w:t>part  25</w:t>
        </w:r>
      </w:hyperlink>
      <w:r w:rsidRPr="00DC6E64">
        <w:rPr>
          <w:rFonts w:ascii="open_sansregular" w:eastAsia="Times New Roman" w:hAnsi="open_sansregular" w:cs="Times New Roman"/>
          <w:color w:val="000000"/>
          <w:kern w:val="0"/>
          <w:sz w:val="24"/>
          <w:szCs w:val="24"/>
          <w14:ligatures w14:val="none"/>
        </w:rPr>
        <w:t> of the Federal Acquisition Regulation.</w:t>
      </w:r>
    </w:p>
    <w:p w14:paraId="0CE92295" w14:textId="77777777" w:rsidR="00DF634B" w:rsidRDefault="00DF634B" w:rsidP="00DF634B">
      <w:pPr>
        <w:shd w:val="clear" w:color="auto" w:fill="FFFFFF"/>
        <w:spacing w:before="120" w:after="120" w:line="240" w:lineRule="auto"/>
        <w:ind w:firstLine="360"/>
        <w:jc w:val="center"/>
        <w:textAlignment w:val="baseline"/>
      </w:pPr>
      <w:r w:rsidRPr="00DC6E64">
        <w:rPr>
          <w:rFonts w:ascii="open_sansregular" w:eastAsia="Times New Roman" w:hAnsi="open_sansregular" w:cs="Times New Roman"/>
          <w:color w:val="000000"/>
          <w:kern w:val="0"/>
          <w:sz w:val="24"/>
          <w:szCs w:val="24"/>
          <w14:ligatures w14:val="none"/>
        </w:rPr>
        <w:t>(End of provision)</w:t>
      </w:r>
    </w:p>
    <w:p w14:paraId="26F5CBFA" w14:textId="77777777" w:rsidR="00807A6A" w:rsidRDefault="00807A6A"/>
    <w:sectPr w:rsidR="0080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regular">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4B"/>
    <w:rsid w:val="0010002D"/>
    <w:rsid w:val="00807A6A"/>
    <w:rsid w:val="00BD15AB"/>
    <w:rsid w:val="00CF7D9D"/>
    <w:rsid w:val="00DF634B"/>
    <w:rsid w:val="00FE5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6817"/>
  <w15:chartTrackingRefBased/>
  <w15:docId w15:val="{4BC318E9-C130-4C1A-B9F2-487ABB249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34B"/>
  </w:style>
  <w:style w:type="paragraph" w:styleId="Heading1">
    <w:name w:val="heading 1"/>
    <w:basedOn w:val="Normal"/>
    <w:next w:val="Normal"/>
    <w:link w:val="Heading1Char"/>
    <w:uiPriority w:val="9"/>
    <w:qFormat/>
    <w:rsid w:val="00DF6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4B"/>
    <w:rPr>
      <w:rFonts w:eastAsiaTheme="majorEastAsia" w:cstheme="majorBidi"/>
      <w:color w:val="272727" w:themeColor="text1" w:themeTint="D8"/>
    </w:rPr>
  </w:style>
  <w:style w:type="paragraph" w:styleId="Title">
    <w:name w:val="Title"/>
    <w:basedOn w:val="Normal"/>
    <w:next w:val="Normal"/>
    <w:link w:val="TitleChar"/>
    <w:uiPriority w:val="10"/>
    <w:qFormat/>
    <w:rsid w:val="00DF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4B"/>
    <w:pPr>
      <w:spacing w:before="160"/>
      <w:jc w:val="center"/>
    </w:pPr>
    <w:rPr>
      <w:i/>
      <w:iCs/>
      <w:color w:val="404040" w:themeColor="text1" w:themeTint="BF"/>
    </w:rPr>
  </w:style>
  <w:style w:type="character" w:customStyle="1" w:styleId="QuoteChar">
    <w:name w:val="Quote Char"/>
    <w:basedOn w:val="DefaultParagraphFont"/>
    <w:link w:val="Quote"/>
    <w:uiPriority w:val="29"/>
    <w:rsid w:val="00DF634B"/>
    <w:rPr>
      <w:i/>
      <w:iCs/>
      <w:color w:val="404040" w:themeColor="text1" w:themeTint="BF"/>
    </w:rPr>
  </w:style>
  <w:style w:type="paragraph" w:styleId="ListParagraph">
    <w:name w:val="List Paragraph"/>
    <w:basedOn w:val="Normal"/>
    <w:uiPriority w:val="34"/>
    <w:qFormat/>
    <w:rsid w:val="00DF634B"/>
    <w:pPr>
      <w:ind w:left="720"/>
      <w:contextualSpacing/>
    </w:pPr>
  </w:style>
  <w:style w:type="character" w:styleId="IntenseEmphasis">
    <w:name w:val="Intense Emphasis"/>
    <w:basedOn w:val="DefaultParagraphFont"/>
    <w:uiPriority w:val="21"/>
    <w:qFormat/>
    <w:rsid w:val="00DF634B"/>
    <w:rPr>
      <w:i/>
      <w:iCs/>
      <w:color w:val="0F4761" w:themeColor="accent1" w:themeShade="BF"/>
    </w:rPr>
  </w:style>
  <w:style w:type="paragraph" w:styleId="IntenseQuote">
    <w:name w:val="Intense Quote"/>
    <w:basedOn w:val="Normal"/>
    <w:next w:val="Normal"/>
    <w:link w:val="IntenseQuoteChar"/>
    <w:uiPriority w:val="30"/>
    <w:qFormat/>
    <w:rsid w:val="00DF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34B"/>
    <w:rPr>
      <w:i/>
      <w:iCs/>
      <w:color w:val="0F4761" w:themeColor="accent1" w:themeShade="BF"/>
    </w:rPr>
  </w:style>
  <w:style w:type="character" w:styleId="IntenseReference">
    <w:name w:val="Intense Reference"/>
    <w:basedOn w:val="DefaultParagraphFont"/>
    <w:uiPriority w:val="32"/>
    <w:qFormat/>
    <w:rsid w:val="00DF6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cquisition.gov/far/part-25" TargetMode="External"/><Relationship Id="rId4"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1406</Characters>
  <Application>Microsoft Office Word</Application>
  <DocSecurity>0</DocSecurity>
  <Lines>36</Lines>
  <Paragraphs>24</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Lynn</dc:creator>
  <cp:keywords/>
  <dc:description/>
  <cp:lastModifiedBy>Lim, Lynn</cp:lastModifiedBy>
  <cp:revision>3</cp:revision>
  <dcterms:created xsi:type="dcterms:W3CDTF">2026-01-23T15:03:00Z</dcterms:created>
  <dcterms:modified xsi:type="dcterms:W3CDTF">2026-01-23T15:04:00Z</dcterms:modified>
</cp:coreProperties>
</file>