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9E600" w14:textId="77777777" w:rsidR="001B6481" w:rsidRPr="001B6481" w:rsidRDefault="001B6481" w:rsidP="001B6481">
      <w:pPr>
        <w:shd w:val="clear" w:color="auto" w:fill="FFFFFF"/>
        <w:spacing w:before="100" w:beforeAutospacing="1" w:after="100" w:afterAutospacing="1" w:line="36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SALIENT CHARACTERISTICS</w:t>
      </w:r>
    </w:p>
    <w:p w14:paraId="68697327" w14:textId="3DED0A77" w:rsidR="001B6481" w:rsidRPr="001B6481" w:rsidRDefault="001B6481" w:rsidP="001B64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Requirement: 15-Ton Commercial DX Split System (Condensing Unit and Air Handling Unit)</w:t>
      </w: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br/>
      </w:r>
    </w:p>
    <w:p w14:paraId="30738140" w14:textId="77777777" w:rsidR="001B6481" w:rsidRPr="001B6481" w:rsidRDefault="001B6481" w:rsidP="001B648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System-Wide Compatibility Requirements</w:t>
      </w:r>
    </w:p>
    <w:p w14:paraId="5A32452C" w14:textId="77777777" w:rsidR="001B6481" w:rsidRPr="001B6481" w:rsidRDefault="001B6481" w:rsidP="001B648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System Certification: The proposed condensing unit and air handling unit must be an AHRI-certified (Air-Conditioning, Heating, and Refrigeration Institute) matched set to ensure seamless operation as a single engineered unit.</w:t>
      </w:r>
    </w:p>
    <w:p w14:paraId="5594896B" w14:textId="77777777" w:rsidR="001B6481" w:rsidRPr="001B6481" w:rsidRDefault="001B6481" w:rsidP="001B648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Nominal Capacity: The system must provide a nominal cooling capacity of 15 Tons (approximately 180,000 BTU/</w:t>
      </w:r>
      <w:proofErr w:type="spellStart"/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hr</w:t>
      </w:r>
      <w:proofErr w:type="spellEnd"/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).</w:t>
      </w:r>
    </w:p>
    <w:p w14:paraId="3E689EF2" w14:textId="77777777" w:rsidR="001B6481" w:rsidRPr="001B6481" w:rsidRDefault="001B6481" w:rsidP="001B648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Refrigerant Type: The system must utilize a modern, EPA-compliant, low-GWP refrigerant (e.g., R-410A or R-454B). The use of R-22 or transitional "drop-in" replacements is strictly prohibited.</w:t>
      </w:r>
    </w:p>
    <w:p w14:paraId="4EA671EB" w14:textId="77777777" w:rsidR="001B6481" w:rsidRPr="001B6481" w:rsidRDefault="001B6481" w:rsidP="001B648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Power Supply: The equipment must operate on the facility's existing electrical service, which is 208/230V, 3-Phase, 60Hz.</w:t>
      </w:r>
    </w:p>
    <w:p w14:paraId="626D3390" w14:textId="77777777" w:rsidR="001B6481" w:rsidRPr="001B6481" w:rsidRDefault="001B6481" w:rsidP="001B648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Energy Efficiency: The system must meet or exceed current Department of Energy (DOE) minimum SEER/IEER efficiency ratings for commercial 15-ton equipment.</w:t>
      </w:r>
    </w:p>
    <w:p w14:paraId="12600A6F" w14:textId="77777777" w:rsidR="001B6481" w:rsidRPr="001B6481" w:rsidRDefault="001B6481" w:rsidP="001B648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Air-Cooled Condensing Unit (Outdoor Unit) Requirements</w:t>
      </w:r>
    </w:p>
    <w:p w14:paraId="097D061D" w14:textId="77777777" w:rsidR="001B6481" w:rsidRPr="001B6481" w:rsidRDefault="001B6481" w:rsidP="001B648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Compressor Design: The unit must utilize scroll compressor technology equipped with internal thermal overload protection and high/low-pressure safety switches.</w:t>
      </w:r>
    </w:p>
    <w:p w14:paraId="1C604C72" w14:textId="77777777" w:rsidR="001B6481" w:rsidRPr="001B6481" w:rsidRDefault="001B6481" w:rsidP="001B648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Condenser Coils: Coils must be of microchannel or copper tube/aluminum fin construction and treated for corrosion resistance.</w:t>
      </w:r>
    </w:p>
    <w:p w14:paraId="356176F3" w14:textId="77777777" w:rsidR="001B6481" w:rsidRPr="001B6481" w:rsidRDefault="001B6481" w:rsidP="001B648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Physical Protection: The unit must be equipped with factory-installed louvered panels or hail guards to protect the condenser coils from physical damage.</w:t>
      </w:r>
    </w:p>
    <w:p w14:paraId="771D1154" w14:textId="77777777" w:rsidR="001B6481" w:rsidRPr="001B6481" w:rsidRDefault="001B6481" w:rsidP="001B648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Ambient Operation: The unit must be rated to operate efficiently in high ambient summer temperatures up to 115 degrees Fahrenheit.</w:t>
      </w:r>
    </w:p>
    <w:p w14:paraId="312EC78A" w14:textId="77777777" w:rsidR="001B6481" w:rsidRPr="001B6481" w:rsidRDefault="001B6481" w:rsidP="001B648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Air Handling Unit (Indoor Unit) Requirements</w:t>
      </w:r>
    </w:p>
    <w:p w14:paraId="6AA9D511" w14:textId="77777777" w:rsidR="001B6481" w:rsidRPr="001B6481" w:rsidRDefault="001B6481" w:rsidP="001B648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Cabinet Construction: The cabinet must be constructed of galvanized steel and be adequately insulated (double-wall or insulated single-wall) to prevent external condensation during operation.</w:t>
      </w:r>
    </w:p>
    <w:p w14:paraId="105FE883" w14:textId="77777777" w:rsidR="001B6481" w:rsidRPr="001B6481" w:rsidRDefault="001B6481" w:rsidP="001B648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Blower Motor: The unit must feature a motor (belt-driven or direct-drive) capable of meeting or exceeding the existing ductwork's static pressure and CFM (Cubic Feet per Minute) requirements.</w:t>
      </w:r>
    </w:p>
    <w:p w14:paraId="4A679C51" w14:textId="77777777" w:rsidR="001B6481" w:rsidRPr="001B6481" w:rsidRDefault="001B6481" w:rsidP="001B648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Coil Type: The unit must feature a Direct Expansion (DX) evaporator coil equipped with a thermal expansion valve (TXV) or electronic expansion valve (EEV).</w:t>
      </w:r>
    </w:p>
    <w:p w14:paraId="03E4A825" w14:textId="77777777" w:rsidR="001B6481" w:rsidRPr="001B6481" w:rsidRDefault="001B6481" w:rsidP="001B648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Filtration: The unit must include a factory-installed filter rack capable of accommodating standard 2-inch pleated filters, with a minimum rating of MERV 8.</w:t>
      </w:r>
    </w:p>
    <w:p w14:paraId="76134950" w14:textId="77777777" w:rsidR="001B6481" w:rsidRPr="001B6481" w:rsidRDefault="001B6481" w:rsidP="001B648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Controls and Automation Requirements</w:t>
      </w:r>
    </w:p>
    <w:p w14:paraId="5CF072E7" w14:textId="77777777" w:rsidR="001B6481" w:rsidRPr="001B6481" w:rsidRDefault="001B6481" w:rsidP="001B648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>DDC Integration: The system must include a factory-installed or field-provided Direct Digital Control (DDC) package.</w:t>
      </w:r>
    </w:p>
    <w:p w14:paraId="1535FC6C" w14:textId="77777777" w:rsidR="001B6481" w:rsidRPr="001B6481" w:rsidRDefault="001B6481" w:rsidP="001B648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1B6481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Open Architecture: The control system must allow full monitoring, setpoint adjustment, and scheduling by the 502nd Civil Engineer Squadron without requiring proprietary software gateways or recurring, brand-specific software licenses</w:t>
      </w:r>
    </w:p>
    <w:p w14:paraId="117A2255" w14:textId="7FB6EB88" w:rsidR="001B6481" w:rsidRPr="001B6481" w:rsidRDefault="001B6481" w:rsidP="001B6481">
      <w:pPr>
        <w:rPr>
          <w:rFonts w:ascii="Times New Roman" w:hAnsi="Times New Roman" w:cs="Times New Roman"/>
          <w:b/>
          <w:bCs/>
        </w:rPr>
      </w:pPr>
    </w:p>
    <w:p w14:paraId="1268EB2E" w14:textId="77777777" w:rsidR="001B6481" w:rsidRPr="001B6481" w:rsidRDefault="001B6481" w:rsidP="001B6481">
      <w:pPr>
        <w:rPr>
          <w:rFonts w:ascii="Times New Roman" w:hAnsi="Times New Roman" w:cs="Times New Roman"/>
          <w:b/>
          <w:bCs/>
        </w:rPr>
      </w:pPr>
    </w:p>
    <w:sectPr w:rsidR="001B6481" w:rsidRPr="001B64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55D1D" w14:textId="77777777" w:rsidR="00DE6B72" w:rsidRDefault="00DE6B72" w:rsidP="00DE6B72">
      <w:pPr>
        <w:spacing w:after="0" w:line="240" w:lineRule="auto"/>
      </w:pPr>
      <w:r>
        <w:separator/>
      </w:r>
    </w:p>
  </w:endnote>
  <w:endnote w:type="continuationSeparator" w:id="0">
    <w:p w14:paraId="2B365E0B" w14:textId="77777777" w:rsidR="00DE6B72" w:rsidRDefault="00DE6B72" w:rsidP="00DE6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D003" w14:textId="77777777" w:rsidR="00DE6B72" w:rsidRDefault="00DE6B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A645" w14:textId="77777777" w:rsidR="00DE6B72" w:rsidRDefault="00DE6B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16024" w14:textId="77777777" w:rsidR="00DE6B72" w:rsidRDefault="00DE6B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A099F" w14:textId="77777777" w:rsidR="00DE6B72" w:rsidRDefault="00DE6B72" w:rsidP="00DE6B72">
      <w:pPr>
        <w:spacing w:after="0" w:line="240" w:lineRule="auto"/>
      </w:pPr>
      <w:r>
        <w:separator/>
      </w:r>
    </w:p>
  </w:footnote>
  <w:footnote w:type="continuationSeparator" w:id="0">
    <w:p w14:paraId="2DC6D322" w14:textId="77777777" w:rsidR="00DE6B72" w:rsidRDefault="00DE6B72" w:rsidP="00DE6B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FC0B3" w14:textId="77777777" w:rsidR="00DE6B72" w:rsidRDefault="00DE6B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9231747"/>
      <w:docPartObj>
        <w:docPartGallery w:val="Watermarks"/>
        <w:docPartUnique/>
      </w:docPartObj>
    </w:sdtPr>
    <w:sdtContent>
      <w:p w14:paraId="4499E584" w14:textId="6BBD6A1D" w:rsidR="00DE6B72" w:rsidRDefault="00DE6B72">
        <w:pPr>
          <w:pStyle w:val="Header"/>
        </w:pPr>
        <w:r>
          <w:rPr>
            <w:noProof/>
          </w:rPr>
          <w:pict w14:anchorId="0A72178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17D01" w14:textId="77777777" w:rsidR="00DE6B72" w:rsidRDefault="00DE6B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501"/>
    <w:multiLevelType w:val="multilevel"/>
    <w:tmpl w:val="1922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C5EF3"/>
    <w:multiLevelType w:val="multilevel"/>
    <w:tmpl w:val="AB0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C42E57"/>
    <w:multiLevelType w:val="multilevel"/>
    <w:tmpl w:val="D45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39E0"/>
    <w:multiLevelType w:val="multilevel"/>
    <w:tmpl w:val="2C68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0189317">
    <w:abstractNumId w:val="1"/>
  </w:num>
  <w:num w:numId="2" w16cid:durableId="1010375245">
    <w:abstractNumId w:val="0"/>
  </w:num>
  <w:num w:numId="3" w16cid:durableId="1970085456">
    <w:abstractNumId w:val="3"/>
  </w:num>
  <w:num w:numId="4" w16cid:durableId="401028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81"/>
    <w:rsid w:val="00081462"/>
    <w:rsid w:val="00135677"/>
    <w:rsid w:val="001B6481"/>
    <w:rsid w:val="002D1FCF"/>
    <w:rsid w:val="003C4A68"/>
    <w:rsid w:val="00474EBB"/>
    <w:rsid w:val="00525FBF"/>
    <w:rsid w:val="007962D6"/>
    <w:rsid w:val="00B66569"/>
    <w:rsid w:val="00C42283"/>
    <w:rsid w:val="00D26500"/>
    <w:rsid w:val="00DE6B72"/>
    <w:rsid w:val="00E75357"/>
    <w:rsid w:val="00F6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D418BD"/>
  <w15:chartTrackingRefBased/>
  <w15:docId w15:val="{3B7F7AC3-C8AA-4E57-849B-2D583145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48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7535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E6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B72"/>
  </w:style>
  <w:style w:type="paragraph" w:styleId="Footer">
    <w:name w:val="footer"/>
    <w:basedOn w:val="Normal"/>
    <w:link w:val="FooterChar"/>
    <w:uiPriority w:val="99"/>
    <w:unhideWhenUsed/>
    <w:rsid w:val="00DE6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RODRIGUEZ, EMILY A CIV USAF AETC 502 CONS/PKA</dc:creator>
  <cp:keywords/>
  <dc:description/>
  <cp:lastModifiedBy>RODRIGUEZ, EMILY A CIV USAF AETC 502 CONS/PKA</cp:lastModifiedBy>
  <cp:revision>3</cp:revision>
  <dcterms:created xsi:type="dcterms:W3CDTF">2026-05-07T17:34:00Z</dcterms:created>
  <dcterms:modified xsi:type="dcterms:W3CDTF">2026-05-07T17:34:00Z</dcterms:modified>
</cp:coreProperties>
</file>