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Community Living Centers (CLC) Long Term Care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22408-2697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36C10G24R0017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WOSB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R499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541611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U.S. 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OPAL | Strategic Acquisition Center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10300 Spotsylvania Ave | STE 400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Fredericksburg VA  22408-2697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 | OALC | OPAL | Strategic Acquisition Center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452DA7" w:rsidP="00452DA7">
      <w:pPr>
        <w:rPr>
          <w:rFonts w:ascii="Arial" w:hAnsi="Arial" w:cs="Arial"/>
          <w:iCs/>
          <w:sz w:val="24"/>
          <w:szCs w:val="24"/>
        </w:rPr>
      </w:pPr>
      <w:r w:rsidRPr="00012BA6">
        <w:rPr>
          <w:rFonts w:ascii="Arial" w:hAnsi="Arial" w:cs="Arial"/>
          <w:iCs/>
          <w:sz w:val="24"/>
          <w:szCs w:val="24"/>
        </w:rPr>
        <w:t xml:space="preserve">The Department of Veterans Affairs (VA), Veterans Health Administration (VHA), Geriatrics and Extended Care (GEC) Program Office has a requirement for conducting surveys at VA owned and operated Community Living Centers (CLCs) and Spinal Cord Injury/Disorders (SCI/D) Long Term Care Centers to be performed from an independent survey company/contractor. </w:t>
      </w:r>
      <w:r>
        <w:rPr>
          <w:rFonts w:ascii="Arial" w:hAnsi="Arial" w:cs="Arial"/>
          <w:iCs/>
          <w:sz w:val="24"/>
          <w:szCs w:val="24"/>
        </w:rPr>
        <w:t xml:space="preserve"> </w:t>
      </w:r>
      <w:r w:rsidRPr="00012BA6">
        <w:rPr>
          <w:rFonts w:ascii="Arial" w:hAnsi="Arial" w:cs="Arial"/>
          <w:iCs/>
          <w:sz w:val="24"/>
          <w:szCs w:val="24"/>
        </w:rPr>
        <w:t>The contractor shall utilize Centers for Medicare and Medicaid (CMS) process for CLCs and SCI/D Long Term Care Centers by utilizing the applicable federal regulations of</w:t>
      </w:r>
      <w:r>
        <w:rPr>
          <w:rFonts w:ascii="Arial" w:hAnsi="Arial" w:cs="Arial"/>
          <w:iCs/>
          <w:sz w:val="24"/>
          <w:szCs w:val="24"/>
        </w:rPr>
        <w:t xml:space="preserve"> Title</w:t>
      </w:r>
      <w:r w:rsidRPr="00012BA6">
        <w:rPr>
          <w:rFonts w:ascii="Arial" w:hAnsi="Arial" w:cs="Arial"/>
          <w:iCs/>
          <w:sz w:val="24"/>
          <w:szCs w:val="24"/>
        </w:rPr>
        <w:t xml:space="preserve"> 42 Part 483</w:t>
      </w:r>
      <w:r>
        <w:rPr>
          <w:rFonts w:ascii="Arial" w:hAnsi="Arial" w:cs="Arial"/>
          <w:iCs/>
          <w:sz w:val="24"/>
          <w:szCs w:val="24"/>
        </w:rPr>
        <w:t xml:space="preserve"> of the</w:t>
      </w:r>
      <w:r w:rsidRPr="00012BA6">
        <w:rPr>
          <w:rFonts w:ascii="Arial" w:hAnsi="Arial" w:cs="Arial"/>
          <w:iCs/>
          <w:sz w:val="24"/>
          <w:szCs w:val="24"/>
        </w:rPr>
        <w:t xml:space="preserve"> Code Federal Regulations</w:t>
      </w:r>
      <w:r>
        <w:rPr>
          <w:rFonts w:ascii="Arial" w:hAnsi="Arial" w:cs="Arial"/>
          <w:iCs/>
          <w:sz w:val="24"/>
          <w:szCs w:val="24"/>
        </w:rPr>
        <w:t>,</w:t>
      </w:r>
      <w:r w:rsidRPr="00012BA6">
        <w:rPr>
          <w:rFonts w:ascii="Arial" w:hAnsi="Arial" w:cs="Arial"/>
          <w:iCs/>
          <w:sz w:val="24"/>
          <w:szCs w:val="24"/>
        </w:rPr>
        <w:t xml:space="preserve"> Requirements for States and </w:t>
      </w:r>
      <w:r w:rsidRPr="00012BA6">
        <w:rPr>
          <w:rFonts w:ascii="Arial" w:hAnsi="Arial" w:cs="Arial"/>
          <w:iCs/>
          <w:sz w:val="24"/>
          <w:szCs w:val="24"/>
        </w:rPr>
        <w:t>Long Term</w:t>
      </w:r>
      <w:r w:rsidRPr="00012BA6">
        <w:rPr>
          <w:rFonts w:ascii="Arial" w:hAnsi="Arial" w:cs="Arial"/>
          <w:iCs/>
          <w:sz w:val="24"/>
          <w:szCs w:val="24"/>
        </w:rPr>
        <w:t xml:space="preserve"> Care Facilities from the Long-Term Care State Operations Manual (SOM) Appendix PP.</w:t>
      </w:r>
      <w:r>
        <w:rPr>
          <w:rFonts w:ascii="Arial" w:hAnsi="Arial" w:cs="Arial"/>
          <w:iCs/>
          <w:sz w:val="24"/>
          <w:szCs w:val="24"/>
        </w:rPr>
        <w:t xml:space="preserve"> </w:t>
      </w:r>
      <w:r w:rsidRPr="00012BA6">
        <w:rPr>
          <w:rFonts w:ascii="Arial" w:hAnsi="Arial" w:cs="Arial"/>
          <w:iCs/>
          <w:sz w:val="24"/>
          <w:szCs w:val="24"/>
        </w:rPr>
        <w:t xml:space="preserve"> The survey process shall be performed for each CLC, currently 134, and five SCI/D Long Term Care Centers according to the Performance Work Statement (PWS) and carried out via Task Order(s) (TO).  </w:t>
      </w:r>
    </w:p>
    <w:p w:rsidR="00452DA7" w:rsidP="00452DA7">
      <w:pPr>
        <w:rPr>
          <w:rFonts w:ascii="Arial" w:hAnsi="Arial" w:cs="Arial"/>
          <w:iCs/>
          <w:sz w:val="24"/>
          <w:szCs w:val="24"/>
        </w:rPr>
      </w:pPr>
      <w:r w:rsidRPr="00012BA6">
        <w:rPr>
          <w:rFonts w:ascii="Arial" w:hAnsi="Arial" w:cs="Arial"/>
          <w:iCs/>
          <w:sz w:val="24"/>
          <w:szCs w:val="24"/>
        </w:rPr>
        <w:t xml:space="preserve">The CMS survey process is specific to the CLC and SCI/D on site surveys are unannounced. </w:t>
      </w:r>
      <w:r>
        <w:rPr>
          <w:rFonts w:ascii="Arial" w:hAnsi="Arial" w:cs="Arial"/>
          <w:iCs/>
          <w:sz w:val="24"/>
          <w:szCs w:val="24"/>
        </w:rPr>
        <w:t xml:space="preserve"> </w:t>
      </w:r>
      <w:r w:rsidRPr="00012BA6">
        <w:rPr>
          <w:rFonts w:ascii="Arial" w:hAnsi="Arial" w:cs="Arial"/>
          <w:iCs/>
          <w:sz w:val="24"/>
          <w:szCs w:val="24"/>
        </w:rPr>
        <w:t xml:space="preserve">Based on any potential national public health emergency, the survey process modality is determined for each CLC and SCI/D by the GEC Program Office and will either </w:t>
      </w:r>
      <w:r>
        <w:rPr>
          <w:rFonts w:ascii="Arial" w:hAnsi="Arial" w:cs="Arial"/>
          <w:iCs/>
          <w:sz w:val="24"/>
          <w:szCs w:val="24"/>
        </w:rPr>
        <w:t>be</w:t>
      </w:r>
      <w:r>
        <w:rPr>
          <w:rFonts w:ascii="Arial" w:hAnsi="Arial" w:cs="Arial"/>
          <w:iCs/>
          <w:sz w:val="24"/>
          <w:szCs w:val="24"/>
        </w:rPr>
        <w:t xml:space="preserve">:  </w:t>
      </w:r>
      <w:r w:rsidRPr="00012BA6">
        <w:rPr>
          <w:rFonts w:ascii="Arial" w:hAnsi="Arial" w:cs="Arial"/>
          <w:iCs/>
          <w:sz w:val="24"/>
          <w:szCs w:val="24"/>
        </w:rPr>
        <w:t>(</w:t>
      </w:r>
      <w:r w:rsidRPr="00012BA6">
        <w:rPr>
          <w:rFonts w:ascii="Arial" w:hAnsi="Arial" w:cs="Arial"/>
          <w:iCs/>
          <w:sz w:val="24"/>
          <w:szCs w:val="24"/>
        </w:rPr>
        <w:t>1) onsite or (2) virtual.</w:t>
      </w:r>
    </w:p>
    <w:p w:rsidR="00452DA7" w:rsidP="00452DA7">
      <w:pPr>
        <w:rPr>
          <w:rFonts w:ascii="Arial" w:hAnsi="Arial" w:cs="Arial"/>
          <w:iCs/>
          <w:sz w:val="24"/>
          <w:szCs w:val="24"/>
        </w:rPr>
      </w:pPr>
      <w:r w:rsidRPr="00990DF4">
        <w:rPr>
          <w:rFonts w:ascii="Arial" w:hAnsi="Arial" w:cs="Arial"/>
          <w:iCs/>
          <w:sz w:val="24"/>
          <w:szCs w:val="24"/>
        </w:rPr>
        <w:t>The period of performance</w:t>
      </w:r>
      <w:r>
        <w:rPr>
          <w:rFonts w:ascii="Arial" w:hAnsi="Arial" w:cs="Arial"/>
          <w:iCs/>
          <w:sz w:val="24"/>
          <w:szCs w:val="24"/>
        </w:rPr>
        <w:t xml:space="preserve"> for</w:t>
      </w:r>
      <w:r w:rsidRPr="005545C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the resulting </w:t>
      </w:r>
      <w:r w:rsidRPr="006172EA">
        <w:rPr>
          <w:rFonts w:ascii="Arial" w:hAnsi="Arial" w:cs="Arial"/>
          <w:iCs/>
          <w:sz w:val="24"/>
          <w:szCs w:val="24"/>
        </w:rPr>
        <w:t>Indefinite Delivery/Indefinite quantity (ID/IQ) Fixed Price (FP)</w:t>
      </w:r>
      <w:r>
        <w:rPr>
          <w:rFonts w:ascii="Arial" w:hAnsi="Arial" w:cs="Arial"/>
          <w:iCs/>
          <w:sz w:val="24"/>
          <w:szCs w:val="24"/>
        </w:rPr>
        <w:t xml:space="preserve"> </w:t>
      </w:r>
      <w:r w:rsidRPr="005545CE">
        <w:rPr>
          <w:rFonts w:ascii="Arial" w:hAnsi="Arial" w:cs="Arial"/>
          <w:sz w:val="24"/>
          <w:szCs w:val="24"/>
        </w:rPr>
        <w:t>Contract</w:t>
      </w:r>
      <w:r w:rsidRPr="00990DF4">
        <w:rPr>
          <w:rFonts w:ascii="Arial" w:hAnsi="Arial" w:cs="Arial"/>
          <w:iCs/>
          <w:sz w:val="24"/>
          <w:szCs w:val="24"/>
        </w:rPr>
        <w:t xml:space="preserve"> shall be a twelve (12) month base period and four (4) twelve (12) month option periods.</w:t>
      </w:r>
    </w:p>
    <w:p w:rsidR="005545CE" w:rsidRPr="00452DA7">
      <w:pPr>
        <w:rPr>
          <w:rFonts w:ascii="Arial" w:hAnsi="Arial" w:cs="Arial"/>
          <w:iCs/>
          <w:sz w:val="24"/>
          <w:szCs w:val="24"/>
        </w:rPr>
      </w:pPr>
      <w:r w:rsidRPr="00421A94">
        <w:rPr>
          <w:rFonts w:ascii="Arial" w:hAnsi="Arial" w:cs="Arial"/>
          <w:iCs/>
          <w:sz w:val="24"/>
          <w:szCs w:val="24"/>
        </w:rPr>
        <w:t>This notice does not obligate the Government to award a contract neither does it obligate the Government to pay for any quotes or proposal preparation costs. The Government is not obligated to issue a solicitation because of this notice. No other information is available until issuance of the solicitation.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2024-05-28T19:51:27Z</dcterms:created>
  <dcterms:modified xsi:type="dcterms:W3CDTF">2024-05-28T19:51:27Z</dcterms:modified>
</cp:coreProperties>
</file>