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Integrated eNotifications Service Pilot via Direct Secure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Messaging (VA-26-00049664)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36C10B26Q0383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05-11-2026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CS: Amanda Bleses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Amanda.Bleses@va.gov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EB101F" w:rsidP="00EB101F">
      <w:r>
        <w:t>T</w:t>
      </w:r>
      <w:r>
        <w:t>he purpose of this</w:t>
      </w:r>
      <w:r>
        <w:t xml:space="preserve"> RFI</w:t>
      </w:r>
      <w:r>
        <w:t xml:space="preserve"> amendment is to extend the due date and time to reflect Monday, May 11, 2026</w:t>
      </w:r>
      <w:r>
        <w:t xml:space="preserve"> at 2PM EST </w:t>
      </w:r>
      <w:r>
        <w:t xml:space="preserve">from </w:t>
      </w:r>
      <w:r>
        <w:t>Monday, May 4, 2026 at 2PM EST.</w:t>
      </w:r>
    </w:p>
    <w:p w:rsidR="00EB101F"/>
    <w:p w:rsidR="00EB101F"/>
    <w:p w:rsidR="00EB101F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1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60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1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1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1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2026-04-28T18:25:22Z</dcterms:created>
  <dcterms:modified xsi:type="dcterms:W3CDTF">2026-04-28T18:25:22Z</dcterms:modified>
</cp:coreProperties>
</file>