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State Veterans Home (SVH) Nursing Homes</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22408-2697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36C10G24R0016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sidRPr="00EE5B77" w:rsidR="005B1DDF">
              <w:rPr>
                <w:rStyle w:val="AAMSKBFill-InHighlight"/>
                <w:rFonts w:asciiTheme="minorHAnsi" w:hAnsiTheme="minorHAnsi" w:cstheme="minorHAnsi"/>
                <w:color w:val="auto"/>
              </w:rPr>
              <w:t xml:space="preserve"> </w:t>
            </w:r>
            <w:r w:rsidRPr="00EE5B77" w:rsidR="005B1DDF">
              <w:rPr>
                <w:rStyle w:val="AAMSKBFill-InHighlight"/>
                <w:rFonts w:asciiTheme="minorHAnsi" w:hAnsiTheme="minorHAnsi" w:cstheme="minorHAnsi"/>
                <w:color w:val="auto"/>
              </w:rPr>
              <w:t xml:space="preserve"> </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WOSB</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R499</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541611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U.S. 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OPAL | Strategic Acquisition Center</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10300 Spotsylvania Ave | STE 400</w:t>
            </w:r>
          </w:p>
          <w:p w:rsidR="00761C04" w:rsidRPr="00EE5B77" w:rsidP="00761C04">
            <w:pPr>
              <w:spacing w:before="0"/>
              <w:rPr>
                <w:rFonts w:asciiTheme="minorHAnsi" w:hAnsiTheme="minorHAnsi" w:cstheme="minorHAnsi"/>
              </w:rPr>
            </w:pPr>
            <w:r>
              <w:rPr>
                <w:rFonts w:asciiTheme="minorHAnsi" w:hAnsiTheme="minorHAnsi" w:cstheme="minorHAnsi"/>
              </w:rPr>
              <w:t>Fredericksburg VA  22408-2697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VA | OALC | OPAL | Strategic Acquisition Center</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0C5029">
      <w:pPr>
        <w:rPr>
          <w:rFonts w:ascii="Arial" w:hAnsi="Arial" w:cs="Arial"/>
          <w:iCs/>
          <w:sz w:val="24"/>
          <w:szCs w:val="24"/>
        </w:rPr>
      </w:pPr>
      <w:r w:rsidRPr="007B2913">
        <w:rPr>
          <w:rFonts w:ascii="Arial" w:hAnsi="Arial" w:cs="Arial"/>
          <w:iCs/>
          <w:sz w:val="24"/>
          <w:szCs w:val="24"/>
        </w:rPr>
        <w:t>The Department of Veterans Affairs (VA), Veterans Health Administration (VHA), Geriatrics and Extended Care (GEC) Program Office has a requirement for conducting surveys at State Veterans Homes (SVH) to be performed from an independent survey company/contractor. The contractor shall align and follow the Centers for Medicare and Medicaid Services (CMS) survey process. The contractor shall only survey and identify deficient practices in SVHs in accordance with Title 38 Code of Federal Regulations (CFR) Part 51 “Per Diem for Nursing Home, Domiciliary, or Adult Day Health Care of Veterans in State Homes” federal regulations. The survey process shall be performed for each SVH as outlined in the Performance Work Statement (PWS) and carried out via Task Order(s) (TO).</w:t>
      </w:r>
    </w:p>
    <w:p w:rsidR="005545CE">
      <w:pPr>
        <w:rPr>
          <w:rFonts w:ascii="Arial" w:hAnsi="Arial" w:cs="Arial"/>
          <w:iCs/>
          <w:sz w:val="24"/>
          <w:szCs w:val="24"/>
        </w:rPr>
      </w:pPr>
      <w:r w:rsidRPr="00990DF4">
        <w:rPr>
          <w:rFonts w:ascii="Arial" w:hAnsi="Arial" w:cs="Arial"/>
          <w:iCs/>
          <w:sz w:val="24"/>
          <w:szCs w:val="24"/>
        </w:rPr>
        <w:t>The period of performance</w:t>
      </w:r>
      <w:r>
        <w:rPr>
          <w:rFonts w:ascii="Arial" w:hAnsi="Arial" w:cs="Arial"/>
          <w:iCs/>
          <w:sz w:val="24"/>
          <w:szCs w:val="24"/>
        </w:rPr>
        <w:t xml:space="preserve"> for</w:t>
      </w:r>
      <w:r w:rsidRPr="005545CE">
        <w:rPr>
          <w:rFonts w:ascii="Arial" w:hAnsi="Arial" w:cs="Arial"/>
          <w:sz w:val="24"/>
          <w:szCs w:val="24"/>
        </w:rPr>
        <w:t xml:space="preserve"> </w:t>
      </w:r>
      <w:r>
        <w:rPr>
          <w:rFonts w:ascii="Arial" w:hAnsi="Arial" w:cs="Arial"/>
          <w:sz w:val="24"/>
          <w:szCs w:val="24"/>
        </w:rPr>
        <w:t xml:space="preserve">the resulting </w:t>
      </w:r>
      <w:r w:rsidRPr="006172EA">
        <w:rPr>
          <w:rFonts w:ascii="Arial" w:hAnsi="Arial" w:cs="Arial"/>
          <w:iCs/>
          <w:sz w:val="24"/>
          <w:szCs w:val="24"/>
        </w:rPr>
        <w:t>Indefinite Delivery/Indefinite quantity (ID/IQ) Fixed Price (FP)</w:t>
      </w:r>
      <w:r>
        <w:rPr>
          <w:rFonts w:ascii="Arial" w:hAnsi="Arial" w:cs="Arial"/>
          <w:iCs/>
          <w:sz w:val="24"/>
          <w:szCs w:val="24"/>
        </w:rPr>
        <w:t xml:space="preserve"> </w:t>
      </w:r>
      <w:r w:rsidRPr="005545CE">
        <w:rPr>
          <w:rFonts w:ascii="Arial" w:hAnsi="Arial" w:cs="Arial"/>
          <w:sz w:val="24"/>
          <w:szCs w:val="24"/>
        </w:rPr>
        <w:t>Contract</w:t>
      </w:r>
      <w:r w:rsidRPr="00990DF4">
        <w:rPr>
          <w:rFonts w:ascii="Arial" w:hAnsi="Arial" w:cs="Arial"/>
          <w:iCs/>
          <w:sz w:val="24"/>
          <w:szCs w:val="24"/>
        </w:rPr>
        <w:t xml:space="preserve"> shall be a twelve (12) month base period and four (4) twelve (12) month option periods.</w:t>
      </w:r>
    </w:p>
    <w:p w:rsidR="005545CE" w:rsidRPr="005545CE" w:rsidP="002D298F">
      <w:pPr>
        <w:rPr>
          <w:rFonts w:ascii="Arial" w:hAnsi="Arial" w:cs="Arial"/>
          <w:sz w:val="24"/>
          <w:szCs w:val="24"/>
        </w:rPr>
      </w:pPr>
      <w:bookmarkStart w:id="0" w:name="_Hlk167802669"/>
      <w:r w:rsidRPr="00421A94">
        <w:rPr>
          <w:rFonts w:ascii="Arial" w:hAnsi="Arial" w:cs="Arial"/>
          <w:iCs/>
          <w:sz w:val="24"/>
          <w:szCs w:val="24"/>
        </w:rPr>
        <w:t>This notice does not obligate the Government to award a contract neither does it obligate the Government to pay for any quotes or proposal preparation costs. The Government is not obligated to issue a solicitation because of this notice. No other information is available until issuance of the solicitation.</w:t>
      </w:r>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2024-05-28T19:48:01Z</dcterms:created>
  <dcterms:modified xsi:type="dcterms:W3CDTF">2024-05-28T19:48:01Z</dcterms:modified>
</cp:coreProperties>
</file>