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2E01" w14:textId="77777777" w:rsidR="005F19C0" w:rsidRDefault="00192A91">
      <w:pPr>
        <w:pStyle w:val="Heading2"/>
        <w:spacing w:before="91"/>
        <w:ind w:left="4049" w:right="4089"/>
        <w:jc w:val="center"/>
        <w:rPr>
          <w:sz w:val="22"/>
          <w:szCs w:val="22"/>
        </w:rPr>
      </w:pPr>
      <w:r>
        <w:rPr>
          <w:color w:val="231F20"/>
          <w:sz w:val="22"/>
          <w:szCs w:val="22"/>
        </w:rPr>
        <w:t>STATEMENT OF NEED</w:t>
      </w:r>
    </w:p>
    <w:p w14:paraId="1966C604" w14:textId="77777777" w:rsidR="005F19C0" w:rsidRDefault="005F19C0">
      <w:pPr>
        <w:pStyle w:val="BodyText"/>
        <w:rPr>
          <w:b/>
          <w:sz w:val="22"/>
          <w:szCs w:val="22"/>
        </w:rPr>
      </w:pPr>
    </w:p>
    <w:p w14:paraId="16C73F47" w14:textId="77777777" w:rsidR="005F19C0" w:rsidRDefault="00192A91">
      <w:pPr>
        <w:spacing w:before="1"/>
        <w:ind w:left="3510" w:right="3560"/>
        <w:jc w:val="center"/>
        <w:rPr>
          <w:b/>
          <w:color w:val="231F20"/>
        </w:rPr>
      </w:pPr>
      <w:r>
        <w:rPr>
          <w:b/>
          <w:color w:val="231F20"/>
        </w:rPr>
        <w:t>COMMON TECHNICAL DOCUMENT TEMPLATES</w:t>
      </w:r>
    </w:p>
    <w:p w14:paraId="74D346A1" w14:textId="77777777" w:rsidR="005F19C0" w:rsidRDefault="00192A91">
      <w:pPr>
        <w:spacing w:before="1"/>
        <w:ind w:left="4049" w:right="4089"/>
        <w:jc w:val="center"/>
        <w:rPr>
          <w:b/>
        </w:rPr>
      </w:pPr>
      <w:r>
        <w:rPr>
          <w:b/>
          <w:color w:val="231F20"/>
        </w:rPr>
        <w:t>FOR THE</w:t>
      </w:r>
    </w:p>
    <w:p w14:paraId="68498566" w14:textId="1AEA571F" w:rsidR="005F19C0" w:rsidRDefault="00046BC0">
      <w:pPr>
        <w:ind w:left="1651" w:right="1671" w:firstLine="151"/>
        <w:jc w:val="center"/>
        <w:rPr>
          <w:b/>
        </w:rPr>
      </w:pPr>
      <w:r w:rsidRPr="00046BC0">
        <w:rPr>
          <w:b/>
          <w:color w:val="231F20"/>
        </w:rPr>
        <w:t>Defense Health Agency Research and Development (DHA R&amp;D)</w:t>
      </w:r>
      <w:r w:rsidR="00192A91">
        <w:rPr>
          <w:b/>
          <w:color w:val="231F20"/>
        </w:rPr>
        <w:t xml:space="preserve"> OFFICE OF REGULATED ACTIVITIES (ORA)</w:t>
      </w:r>
    </w:p>
    <w:p w14:paraId="678F7E15" w14:textId="77777777" w:rsidR="005F19C0" w:rsidRDefault="005F19C0">
      <w:pPr>
        <w:pStyle w:val="BodyText"/>
        <w:rPr>
          <w:b/>
        </w:rPr>
      </w:pPr>
    </w:p>
    <w:p w14:paraId="06E4D847" w14:textId="77777777" w:rsidR="005F19C0" w:rsidRDefault="00192A91">
      <w:pPr>
        <w:pStyle w:val="ListParagraph"/>
        <w:numPr>
          <w:ilvl w:val="0"/>
          <w:numId w:val="7"/>
        </w:numPr>
        <w:tabs>
          <w:tab w:val="left" w:pos="932"/>
        </w:tabs>
        <w:rPr>
          <w:b/>
        </w:rPr>
      </w:pPr>
      <w:r>
        <w:rPr>
          <w:b/>
          <w:color w:val="231F20"/>
        </w:rPr>
        <w:t>INTRODUCTION</w:t>
      </w:r>
    </w:p>
    <w:p w14:paraId="1449DDCF" w14:textId="77777777" w:rsidR="005F19C0" w:rsidRDefault="005F19C0">
      <w:pPr>
        <w:pStyle w:val="BodyText"/>
        <w:spacing w:before="5"/>
        <w:rPr>
          <w:b/>
          <w:sz w:val="22"/>
          <w:szCs w:val="22"/>
        </w:rPr>
      </w:pPr>
    </w:p>
    <w:p w14:paraId="70CF02A5" w14:textId="4D228213" w:rsidR="005F19C0" w:rsidRDefault="00192A91">
      <w:pPr>
        <w:pStyle w:val="BodyText"/>
        <w:ind w:left="679" w:right="807"/>
        <w:rPr>
          <w:sz w:val="22"/>
          <w:szCs w:val="22"/>
        </w:rPr>
      </w:pPr>
      <w:r>
        <w:rPr>
          <w:color w:val="231F20"/>
          <w:sz w:val="22"/>
          <w:szCs w:val="22"/>
        </w:rPr>
        <w:t xml:space="preserve">The Office of Regulated Activities (ORA) within </w:t>
      </w:r>
      <w:r w:rsidR="00734A93">
        <w:rPr>
          <w:color w:val="231F20"/>
          <w:sz w:val="22"/>
          <w:szCs w:val="22"/>
        </w:rPr>
        <w:t>Defense Health Agency Research and Development (DHA R&amp;D)</w:t>
      </w:r>
      <w:r>
        <w:rPr>
          <w:color w:val="231F20"/>
          <w:sz w:val="22"/>
          <w:szCs w:val="22"/>
        </w:rPr>
        <w:t xml:space="preserve"> is a multidisciplinary team of regulatory affairs and clinical compliance professionals dedicated to supporting the </w:t>
      </w:r>
      <w:r w:rsidR="00734A93">
        <w:rPr>
          <w:color w:val="231F20"/>
          <w:sz w:val="22"/>
          <w:szCs w:val="22"/>
        </w:rPr>
        <w:t>DHA R&amp;D</w:t>
      </w:r>
      <w:r>
        <w:rPr>
          <w:color w:val="231F20"/>
          <w:sz w:val="22"/>
          <w:szCs w:val="22"/>
        </w:rPr>
        <w:t xml:space="preserve"> mission of developing U.S. Food and Drug Administration (FDA) regulated medical products for the warfighter.</w:t>
      </w:r>
    </w:p>
    <w:p w14:paraId="50A579D6" w14:textId="77777777" w:rsidR="005F19C0" w:rsidRDefault="005F19C0">
      <w:pPr>
        <w:pStyle w:val="BodyText"/>
        <w:spacing w:before="7"/>
        <w:rPr>
          <w:sz w:val="22"/>
          <w:szCs w:val="22"/>
        </w:rPr>
      </w:pPr>
    </w:p>
    <w:p w14:paraId="773FF75B" w14:textId="77777777" w:rsidR="005F19C0" w:rsidRDefault="00192A91">
      <w:pPr>
        <w:pStyle w:val="Heading2"/>
        <w:numPr>
          <w:ilvl w:val="0"/>
          <w:numId w:val="7"/>
        </w:numPr>
        <w:tabs>
          <w:tab w:val="left" w:pos="931"/>
        </w:tabs>
        <w:ind w:left="930" w:hanging="251"/>
        <w:rPr>
          <w:sz w:val="22"/>
          <w:szCs w:val="22"/>
        </w:rPr>
      </w:pPr>
      <w:r>
        <w:rPr>
          <w:color w:val="231F20"/>
          <w:sz w:val="22"/>
          <w:szCs w:val="22"/>
        </w:rPr>
        <w:t>PURPOSE</w:t>
      </w:r>
    </w:p>
    <w:p w14:paraId="6C015E7C" w14:textId="77777777" w:rsidR="005F19C0" w:rsidRDefault="005F19C0">
      <w:pPr>
        <w:pStyle w:val="BodyText"/>
        <w:spacing w:before="5"/>
        <w:rPr>
          <w:b/>
          <w:sz w:val="22"/>
          <w:szCs w:val="22"/>
        </w:rPr>
      </w:pPr>
    </w:p>
    <w:p w14:paraId="0B92A1C7" w14:textId="08B25EDF" w:rsidR="005F19C0" w:rsidRDefault="00192A91">
      <w:pPr>
        <w:pStyle w:val="BodyText"/>
        <w:ind w:left="679" w:right="807"/>
        <w:rPr>
          <w:sz w:val="22"/>
          <w:szCs w:val="22"/>
        </w:rPr>
      </w:pPr>
      <w:r>
        <w:rPr>
          <w:color w:val="231F20"/>
          <w:sz w:val="22"/>
          <w:szCs w:val="22"/>
        </w:rPr>
        <w:t xml:space="preserve">The ORA requires Common Technical Document (CTD) authoring templates, training and maintenance. The CTD templates are used to facilitate standardized authoring and reviewing intended for regulatory submissions to the FDA. Without the CTD templates, the </w:t>
      </w:r>
      <w:r w:rsidR="00C17529">
        <w:rPr>
          <w:color w:val="231F20"/>
          <w:sz w:val="22"/>
          <w:szCs w:val="22"/>
        </w:rPr>
        <w:t>DHA R&amp;D</w:t>
      </w:r>
      <w:r>
        <w:rPr>
          <w:color w:val="231F20"/>
          <w:sz w:val="22"/>
          <w:szCs w:val="22"/>
        </w:rPr>
        <w:t xml:space="preserve"> Direct Reporting Units (DRU) and ORA medical writing personnel are forced to rely on manual review and conversion of submission documents to conform to FDA and International Conference of </w:t>
      </w:r>
      <w:proofErr w:type="spellStart"/>
      <w:r>
        <w:rPr>
          <w:color w:val="231F20"/>
          <w:sz w:val="22"/>
          <w:szCs w:val="22"/>
        </w:rPr>
        <w:t>Harmonisation</w:t>
      </w:r>
      <w:proofErr w:type="spellEnd"/>
      <w:r>
        <w:rPr>
          <w:color w:val="231F20"/>
          <w:sz w:val="22"/>
          <w:szCs w:val="22"/>
        </w:rPr>
        <w:t xml:space="preserve"> (ICH) standards for regulatory submission documents.</w:t>
      </w:r>
    </w:p>
    <w:p w14:paraId="135503F8" w14:textId="77777777" w:rsidR="005F19C0" w:rsidRDefault="005F19C0">
      <w:pPr>
        <w:pStyle w:val="BodyText"/>
        <w:spacing w:before="5"/>
        <w:rPr>
          <w:sz w:val="22"/>
          <w:szCs w:val="22"/>
        </w:rPr>
      </w:pPr>
    </w:p>
    <w:p w14:paraId="3F860F2B" w14:textId="77777777" w:rsidR="005F19C0" w:rsidRDefault="00192A91">
      <w:pPr>
        <w:pStyle w:val="Heading2"/>
        <w:numPr>
          <w:ilvl w:val="0"/>
          <w:numId w:val="7"/>
        </w:numPr>
        <w:tabs>
          <w:tab w:val="left" w:pos="932"/>
        </w:tabs>
        <w:rPr>
          <w:sz w:val="22"/>
          <w:szCs w:val="22"/>
        </w:rPr>
      </w:pPr>
      <w:r>
        <w:rPr>
          <w:color w:val="231F20"/>
          <w:sz w:val="22"/>
          <w:szCs w:val="22"/>
        </w:rPr>
        <w:t>SCOPE OF</w:t>
      </w:r>
      <w:r>
        <w:rPr>
          <w:color w:val="231F20"/>
          <w:spacing w:val="-2"/>
          <w:sz w:val="22"/>
          <w:szCs w:val="22"/>
        </w:rPr>
        <w:t xml:space="preserve"> </w:t>
      </w:r>
      <w:r>
        <w:rPr>
          <w:color w:val="231F20"/>
          <w:sz w:val="22"/>
          <w:szCs w:val="22"/>
        </w:rPr>
        <w:t>WORK</w:t>
      </w:r>
    </w:p>
    <w:p w14:paraId="1500C8CE" w14:textId="77777777" w:rsidR="005F19C0" w:rsidRDefault="005F19C0">
      <w:pPr>
        <w:pStyle w:val="BodyText"/>
        <w:spacing w:before="8"/>
        <w:rPr>
          <w:b/>
          <w:sz w:val="22"/>
          <w:szCs w:val="22"/>
        </w:rPr>
      </w:pPr>
    </w:p>
    <w:p w14:paraId="5A2434B1" w14:textId="77777777" w:rsidR="005F19C0" w:rsidRDefault="00192A91">
      <w:pPr>
        <w:pStyle w:val="ListParagraph"/>
        <w:numPr>
          <w:ilvl w:val="1"/>
          <w:numId w:val="7"/>
        </w:numPr>
        <w:tabs>
          <w:tab w:val="left" w:pos="1082"/>
        </w:tabs>
      </w:pPr>
      <w:r>
        <w:rPr>
          <w:color w:val="231F20"/>
        </w:rPr>
        <w:t>Task 1 – Supply</w:t>
      </w:r>
      <w:r>
        <w:rPr>
          <w:color w:val="231F20"/>
          <w:spacing w:val="-4"/>
        </w:rPr>
        <w:t xml:space="preserve"> </w:t>
      </w:r>
      <w:r>
        <w:rPr>
          <w:color w:val="231F20"/>
        </w:rPr>
        <w:t>Support.</w:t>
      </w:r>
    </w:p>
    <w:p w14:paraId="3A064A6F" w14:textId="77777777" w:rsidR="005F19C0" w:rsidRDefault="005F19C0">
      <w:pPr>
        <w:pStyle w:val="BodyText"/>
        <w:spacing w:before="10"/>
        <w:rPr>
          <w:sz w:val="22"/>
          <w:szCs w:val="22"/>
        </w:rPr>
      </w:pPr>
    </w:p>
    <w:p w14:paraId="1E625FE4" w14:textId="77777777" w:rsidR="005F19C0" w:rsidRDefault="00192A91">
      <w:pPr>
        <w:pStyle w:val="ListParagraph"/>
        <w:numPr>
          <w:ilvl w:val="0"/>
          <w:numId w:val="6"/>
        </w:numPr>
        <w:tabs>
          <w:tab w:val="left" w:pos="1399"/>
          <w:tab w:val="left" w:pos="1400"/>
        </w:tabs>
        <w:ind w:right="755"/>
      </w:pP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4"/>
        </w:rPr>
        <w:t xml:space="preserve"> </w:t>
      </w:r>
      <w:r>
        <w:rPr>
          <w:color w:val="231F20"/>
        </w:rPr>
        <w:t>provide</w:t>
      </w:r>
      <w:r>
        <w:rPr>
          <w:color w:val="231F20"/>
          <w:spacing w:val="-3"/>
        </w:rPr>
        <w:t xml:space="preserve"> </w:t>
      </w:r>
      <w:r>
        <w:rPr>
          <w:color w:val="231F20"/>
        </w:rPr>
        <w:t>a complete set of granular CTD templates for all sections in Module 1 through Module 5 including appendices, a style guide, and any associated administration files to support U.S. FDA regulatory submissions for all application types during</w:t>
      </w:r>
      <w:r>
        <w:rPr>
          <w:color w:val="231F20"/>
          <w:spacing w:val="-4"/>
        </w:rPr>
        <w:t xml:space="preserve"> </w:t>
      </w:r>
      <w:r>
        <w:rPr>
          <w:color w:val="231F20"/>
        </w:rPr>
        <w:t>the</w:t>
      </w:r>
      <w:r>
        <w:rPr>
          <w:color w:val="231F20"/>
          <w:spacing w:val="-4"/>
        </w:rPr>
        <w:t xml:space="preserve"> </w:t>
      </w:r>
      <w:r>
        <w:rPr>
          <w:color w:val="231F20"/>
        </w:rPr>
        <w:t>period</w:t>
      </w:r>
      <w:r>
        <w:rPr>
          <w:color w:val="231F20"/>
          <w:spacing w:val="-3"/>
        </w:rPr>
        <w:t xml:space="preserve"> </w:t>
      </w:r>
      <w:r>
        <w:rPr>
          <w:color w:val="231F20"/>
        </w:rPr>
        <w:t>of</w:t>
      </w:r>
      <w:r>
        <w:rPr>
          <w:color w:val="231F20"/>
          <w:spacing w:val="-5"/>
        </w:rPr>
        <w:t xml:space="preserve"> </w:t>
      </w:r>
      <w:r>
        <w:rPr>
          <w:color w:val="231F20"/>
        </w:rPr>
        <w:t>performance</w:t>
      </w:r>
      <w:r>
        <w:rPr>
          <w:color w:val="231F20"/>
          <w:spacing w:val="-4"/>
        </w:rPr>
        <w:t xml:space="preserve"> </w:t>
      </w:r>
      <w:r>
        <w:rPr>
          <w:color w:val="231F20"/>
        </w:rPr>
        <w:t>of</w:t>
      </w:r>
      <w:r>
        <w:rPr>
          <w:color w:val="231F20"/>
          <w:spacing w:val="-6"/>
        </w:rPr>
        <w:t xml:space="preserve"> </w:t>
      </w:r>
      <w:r>
        <w:rPr>
          <w:color w:val="231F20"/>
        </w:rPr>
        <w:t>the established</w:t>
      </w:r>
      <w:r>
        <w:rPr>
          <w:color w:val="231F20"/>
          <w:spacing w:val="-2"/>
        </w:rPr>
        <w:t xml:space="preserve"> </w:t>
      </w:r>
      <w:r>
        <w:rPr>
          <w:color w:val="231F20"/>
        </w:rPr>
        <w:t>contract, such as;</w:t>
      </w:r>
    </w:p>
    <w:p w14:paraId="3F055FF5" w14:textId="77777777" w:rsidR="005F19C0" w:rsidRDefault="00192A91">
      <w:pPr>
        <w:pStyle w:val="ListParagraph"/>
        <w:numPr>
          <w:ilvl w:val="1"/>
          <w:numId w:val="6"/>
        </w:numPr>
        <w:tabs>
          <w:tab w:val="left" w:pos="1399"/>
          <w:tab w:val="left" w:pos="1400"/>
        </w:tabs>
        <w:ind w:right="755"/>
      </w:pPr>
      <w:r>
        <w:rPr>
          <w:color w:val="231F20"/>
        </w:rPr>
        <w:t>Investigational New Drug (IND)</w:t>
      </w:r>
    </w:p>
    <w:p w14:paraId="4C3F0156" w14:textId="77777777" w:rsidR="005F19C0" w:rsidRDefault="00192A91">
      <w:pPr>
        <w:pStyle w:val="ListParagraph"/>
        <w:numPr>
          <w:ilvl w:val="1"/>
          <w:numId w:val="6"/>
        </w:numPr>
        <w:tabs>
          <w:tab w:val="left" w:pos="1399"/>
          <w:tab w:val="left" w:pos="1400"/>
        </w:tabs>
        <w:ind w:right="755"/>
      </w:pPr>
      <w:r>
        <w:rPr>
          <w:color w:val="231F20"/>
        </w:rPr>
        <w:t>New Drug Application (NDA)</w:t>
      </w:r>
    </w:p>
    <w:p w14:paraId="28231716" w14:textId="77777777" w:rsidR="005F19C0" w:rsidRDefault="00192A91">
      <w:pPr>
        <w:pStyle w:val="ListParagraph"/>
        <w:numPr>
          <w:ilvl w:val="1"/>
          <w:numId w:val="6"/>
        </w:numPr>
        <w:tabs>
          <w:tab w:val="left" w:pos="1399"/>
          <w:tab w:val="left" w:pos="1400"/>
        </w:tabs>
        <w:ind w:right="755"/>
      </w:pPr>
      <w:r>
        <w:rPr>
          <w:color w:val="231F20"/>
        </w:rPr>
        <w:t>Abbreviated New Drug Application (ANDA)</w:t>
      </w:r>
    </w:p>
    <w:p w14:paraId="65396E79" w14:textId="77777777" w:rsidR="005F19C0" w:rsidRDefault="00192A91">
      <w:pPr>
        <w:pStyle w:val="ListParagraph"/>
        <w:numPr>
          <w:ilvl w:val="1"/>
          <w:numId w:val="6"/>
        </w:numPr>
        <w:tabs>
          <w:tab w:val="left" w:pos="1399"/>
          <w:tab w:val="left" w:pos="1400"/>
        </w:tabs>
        <w:ind w:right="755"/>
      </w:pPr>
      <w:r>
        <w:rPr>
          <w:color w:val="231F20"/>
        </w:rPr>
        <w:t>Biologics License Application (BLA)</w:t>
      </w:r>
    </w:p>
    <w:p w14:paraId="674FFCBC" w14:textId="77777777" w:rsidR="005F19C0" w:rsidRDefault="00192A91">
      <w:pPr>
        <w:pStyle w:val="ListParagraph"/>
        <w:numPr>
          <w:ilvl w:val="1"/>
          <w:numId w:val="6"/>
        </w:numPr>
        <w:tabs>
          <w:tab w:val="left" w:pos="1399"/>
          <w:tab w:val="left" w:pos="1400"/>
        </w:tabs>
        <w:ind w:right="755"/>
      </w:pPr>
      <w:r>
        <w:rPr>
          <w:color w:val="231F20"/>
        </w:rPr>
        <w:t>Investigational Device Exemption (IDE)</w:t>
      </w:r>
    </w:p>
    <w:p w14:paraId="029F9DE7" w14:textId="77777777" w:rsidR="005F19C0" w:rsidRDefault="00192A91">
      <w:pPr>
        <w:pStyle w:val="ListParagraph"/>
        <w:numPr>
          <w:ilvl w:val="1"/>
          <w:numId w:val="6"/>
        </w:numPr>
        <w:tabs>
          <w:tab w:val="left" w:pos="1399"/>
          <w:tab w:val="left" w:pos="1400"/>
        </w:tabs>
        <w:ind w:right="755"/>
      </w:pPr>
      <w:r>
        <w:rPr>
          <w:color w:val="231F20"/>
        </w:rPr>
        <w:t>Premarket Notification (510(k))</w:t>
      </w:r>
    </w:p>
    <w:p w14:paraId="40796615" w14:textId="77777777" w:rsidR="005F19C0" w:rsidRDefault="00192A91">
      <w:pPr>
        <w:pStyle w:val="ListParagraph"/>
        <w:numPr>
          <w:ilvl w:val="1"/>
          <w:numId w:val="6"/>
        </w:numPr>
        <w:tabs>
          <w:tab w:val="left" w:pos="1399"/>
          <w:tab w:val="left" w:pos="1400"/>
        </w:tabs>
        <w:ind w:right="755"/>
      </w:pPr>
      <w:r>
        <w:rPr>
          <w:color w:val="231F20"/>
        </w:rPr>
        <w:t>Premarket Approval (PMA)</w:t>
      </w:r>
    </w:p>
    <w:p w14:paraId="0C4E1232" w14:textId="77777777" w:rsidR="005F19C0" w:rsidRDefault="005F19C0">
      <w:pPr>
        <w:pStyle w:val="BodyText"/>
        <w:spacing w:before="2"/>
        <w:rPr>
          <w:sz w:val="22"/>
          <w:szCs w:val="22"/>
        </w:rPr>
      </w:pPr>
    </w:p>
    <w:p w14:paraId="2A1CB51F" w14:textId="77777777" w:rsidR="005F19C0" w:rsidRDefault="00192A91">
      <w:pPr>
        <w:pStyle w:val="ListParagraph"/>
        <w:numPr>
          <w:ilvl w:val="0"/>
          <w:numId w:val="6"/>
        </w:numPr>
        <w:tabs>
          <w:tab w:val="left" w:pos="1398"/>
          <w:tab w:val="left" w:pos="1399"/>
        </w:tabs>
        <w:ind w:left="1398" w:hanging="359"/>
      </w:pPr>
      <w:r>
        <w:t>The CTD templates shall include functionalities to increase writing efficiency and maintain formatting consistency, such as grouping series of commands or steps for frequently performed tasks into single button clicks. Macro functionality examples include, but are not limited to:</w:t>
      </w:r>
    </w:p>
    <w:p w14:paraId="2A5D3F81" w14:textId="77777777" w:rsidR="005F19C0" w:rsidRDefault="00192A91">
      <w:pPr>
        <w:pStyle w:val="ListParagraph"/>
        <w:numPr>
          <w:ilvl w:val="1"/>
          <w:numId w:val="6"/>
        </w:numPr>
        <w:tabs>
          <w:tab w:val="left" w:pos="1398"/>
          <w:tab w:val="left" w:pos="1399"/>
        </w:tabs>
      </w:pPr>
      <w:r>
        <w:t>Single click symbol tools</w:t>
      </w:r>
    </w:p>
    <w:p w14:paraId="5659F827" w14:textId="77777777" w:rsidR="005F19C0" w:rsidRDefault="00192A91">
      <w:pPr>
        <w:pStyle w:val="ListParagraph"/>
        <w:numPr>
          <w:ilvl w:val="1"/>
          <w:numId w:val="6"/>
        </w:numPr>
        <w:tabs>
          <w:tab w:val="left" w:pos="1398"/>
          <w:tab w:val="left" w:pos="1399"/>
        </w:tabs>
      </w:pPr>
      <w:r>
        <w:t>Reference manager</w:t>
      </w:r>
    </w:p>
    <w:p w14:paraId="5491C429" w14:textId="77777777" w:rsidR="005F19C0" w:rsidRDefault="00192A91">
      <w:pPr>
        <w:pStyle w:val="ListParagraph"/>
        <w:numPr>
          <w:ilvl w:val="1"/>
          <w:numId w:val="6"/>
        </w:numPr>
        <w:tabs>
          <w:tab w:val="left" w:pos="1398"/>
          <w:tab w:val="left" w:pos="1399"/>
        </w:tabs>
      </w:pPr>
      <w:r>
        <w:t>Multiple word search function</w:t>
      </w:r>
    </w:p>
    <w:p w14:paraId="771F4A7C" w14:textId="77777777" w:rsidR="005F19C0" w:rsidRDefault="00192A91">
      <w:pPr>
        <w:pStyle w:val="ListParagraph"/>
        <w:numPr>
          <w:ilvl w:val="1"/>
          <w:numId w:val="6"/>
        </w:numPr>
        <w:tabs>
          <w:tab w:val="left" w:pos="1398"/>
          <w:tab w:val="left" w:pos="1399"/>
        </w:tabs>
      </w:pPr>
      <w:r>
        <w:t>Cross-linking and link insertion (i.e., to page numbers, tables, figures, and references)</w:t>
      </w:r>
    </w:p>
    <w:p w14:paraId="06795EFA" w14:textId="77777777" w:rsidR="005F19C0" w:rsidRDefault="00192A91">
      <w:pPr>
        <w:pStyle w:val="ListParagraph"/>
        <w:numPr>
          <w:ilvl w:val="1"/>
          <w:numId w:val="6"/>
        </w:numPr>
        <w:tabs>
          <w:tab w:val="left" w:pos="1398"/>
          <w:tab w:val="left" w:pos="1399"/>
        </w:tabs>
      </w:pPr>
      <w:r>
        <w:t>Title case</w:t>
      </w:r>
    </w:p>
    <w:p w14:paraId="793D4DE5" w14:textId="77777777" w:rsidR="005F19C0" w:rsidRDefault="00192A91">
      <w:pPr>
        <w:pStyle w:val="ListParagraph"/>
        <w:numPr>
          <w:ilvl w:val="1"/>
          <w:numId w:val="6"/>
        </w:numPr>
        <w:tabs>
          <w:tab w:val="left" w:pos="1398"/>
          <w:tab w:val="left" w:pos="1399"/>
        </w:tabs>
      </w:pPr>
      <w:r>
        <w:t>Tables and figures addition and formatting</w:t>
      </w:r>
    </w:p>
    <w:p w14:paraId="3FE2496C" w14:textId="77777777" w:rsidR="005F19C0" w:rsidRDefault="00192A91">
      <w:pPr>
        <w:pStyle w:val="ListParagraph"/>
        <w:numPr>
          <w:ilvl w:val="1"/>
          <w:numId w:val="6"/>
        </w:numPr>
        <w:tabs>
          <w:tab w:val="left" w:pos="1398"/>
          <w:tab w:val="left" w:pos="1399"/>
        </w:tabs>
      </w:pPr>
      <w:r>
        <w:t>Creating a Table of Contents (TOC), List of Tables (LOT), List of Figures (LOF)</w:t>
      </w:r>
    </w:p>
    <w:p w14:paraId="67277831" w14:textId="77777777" w:rsidR="005F19C0" w:rsidRDefault="00192A91">
      <w:pPr>
        <w:pStyle w:val="ListParagraph"/>
        <w:numPr>
          <w:ilvl w:val="1"/>
          <w:numId w:val="6"/>
        </w:numPr>
        <w:tabs>
          <w:tab w:val="left" w:pos="1398"/>
          <w:tab w:val="left" w:pos="1399"/>
        </w:tabs>
      </w:pPr>
      <w:r>
        <w:t>Updating fields</w:t>
      </w:r>
    </w:p>
    <w:p w14:paraId="703AE656" w14:textId="77777777" w:rsidR="005F19C0" w:rsidRDefault="00192A91">
      <w:pPr>
        <w:pStyle w:val="ListParagraph"/>
        <w:numPr>
          <w:ilvl w:val="1"/>
          <w:numId w:val="6"/>
        </w:numPr>
        <w:tabs>
          <w:tab w:val="left" w:pos="1398"/>
          <w:tab w:val="left" w:pos="1399"/>
        </w:tabs>
      </w:pPr>
      <w:r>
        <w:t>Easy to read and aesthetically pleasing formatting styles including numbered and non-numbered bolded headings and sub-headings, indented Table of Contents, appendices, normal text, footnotes, and captions</w:t>
      </w:r>
      <w:r>
        <w:br/>
      </w:r>
    </w:p>
    <w:p w14:paraId="1EA358B8" w14:textId="77777777" w:rsidR="005F19C0" w:rsidRDefault="00192A91">
      <w:pPr>
        <w:pStyle w:val="ListParagraph"/>
        <w:numPr>
          <w:ilvl w:val="0"/>
          <w:numId w:val="6"/>
        </w:numPr>
        <w:tabs>
          <w:tab w:val="left" w:pos="1398"/>
          <w:tab w:val="left" w:pos="1399"/>
        </w:tabs>
        <w:ind w:left="1398" w:hanging="359"/>
      </w:pPr>
      <w:r>
        <w:rPr>
          <w:color w:val="231F20"/>
        </w:rPr>
        <w:t>The CTD templates shall group series of commands or steps for frequently performed tasks into single and minimal button clicks to reduce the amount of work for repetitive functions, increase productivity, and include tools for tables, figures, linking, List of Tables, List of Figures, Table of Contents, styles, footnotes, and title case with the ability to automatically update fields. Macro functionality examples include, but are not limited to:</w:t>
      </w:r>
    </w:p>
    <w:p w14:paraId="7B8F5ED6" w14:textId="77777777" w:rsidR="005F19C0" w:rsidRDefault="00192A91">
      <w:pPr>
        <w:pStyle w:val="ListParagraph"/>
        <w:numPr>
          <w:ilvl w:val="1"/>
          <w:numId w:val="6"/>
        </w:numPr>
        <w:tabs>
          <w:tab w:val="left" w:pos="1398"/>
          <w:tab w:val="left" w:pos="1399"/>
        </w:tabs>
      </w:pPr>
      <w:r>
        <w:rPr>
          <w:color w:val="231F20"/>
        </w:rPr>
        <w:t>Single click symbol tools</w:t>
      </w:r>
    </w:p>
    <w:p w14:paraId="46362955" w14:textId="77777777" w:rsidR="005F19C0" w:rsidRDefault="00192A91">
      <w:pPr>
        <w:pStyle w:val="ListParagraph"/>
        <w:numPr>
          <w:ilvl w:val="1"/>
          <w:numId w:val="6"/>
        </w:numPr>
        <w:tabs>
          <w:tab w:val="left" w:pos="1398"/>
          <w:tab w:val="left" w:pos="1399"/>
        </w:tabs>
      </w:pPr>
      <w:r>
        <w:rPr>
          <w:color w:val="231F20"/>
        </w:rPr>
        <w:t>Reference manager</w:t>
      </w:r>
    </w:p>
    <w:p w14:paraId="26DC89CE" w14:textId="77777777" w:rsidR="005F19C0" w:rsidRDefault="00192A91">
      <w:pPr>
        <w:pStyle w:val="ListParagraph"/>
        <w:numPr>
          <w:ilvl w:val="1"/>
          <w:numId w:val="6"/>
        </w:numPr>
        <w:tabs>
          <w:tab w:val="left" w:pos="1398"/>
          <w:tab w:val="left" w:pos="1399"/>
        </w:tabs>
      </w:pPr>
      <w:r>
        <w:rPr>
          <w:color w:val="231F20"/>
        </w:rPr>
        <w:t>Multiple word search function</w:t>
      </w:r>
    </w:p>
    <w:p w14:paraId="759F7B33" w14:textId="77777777" w:rsidR="005F19C0" w:rsidRDefault="00192A91">
      <w:pPr>
        <w:pStyle w:val="ListParagraph"/>
        <w:numPr>
          <w:ilvl w:val="1"/>
          <w:numId w:val="6"/>
        </w:numPr>
        <w:tabs>
          <w:tab w:val="left" w:pos="1398"/>
          <w:tab w:val="left" w:pos="1399"/>
        </w:tabs>
      </w:pPr>
      <w:r>
        <w:rPr>
          <w:color w:val="231F20"/>
        </w:rPr>
        <w:t>Insert links (i.e., to page number)</w:t>
      </w:r>
    </w:p>
    <w:p w14:paraId="02464BCB" w14:textId="77777777" w:rsidR="005F19C0" w:rsidRDefault="00192A91">
      <w:pPr>
        <w:pStyle w:val="ListParagraph"/>
        <w:numPr>
          <w:ilvl w:val="1"/>
          <w:numId w:val="6"/>
        </w:numPr>
        <w:tabs>
          <w:tab w:val="left" w:pos="1398"/>
          <w:tab w:val="left" w:pos="1399"/>
        </w:tabs>
      </w:pPr>
      <w:r>
        <w:t>Easy to read and aesthetically pleasing formatting styles (e.g. indented Table of Contents, numbered and bolded headings)</w:t>
      </w:r>
      <w:r>
        <w:rPr>
          <w:color w:val="231F20"/>
        </w:rPr>
        <w:br/>
      </w:r>
    </w:p>
    <w:p w14:paraId="5DD64C63" w14:textId="77777777" w:rsidR="005F19C0" w:rsidRDefault="00192A91">
      <w:pPr>
        <w:pStyle w:val="ListParagraph"/>
        <w:numPr>
          <w:ilvl w:val="0"/>
          <w:numId w:val="6"/>
        </w:numPr>
        <w:tabs>
          <w:tab w:val="left" w:pos="1398"/>
          <w:tab w:val="left" w:pos="1399"/>
        </w:tabs>
        <w:ind w:left="1398" w:hanging="359"/>
      </w:pPr>
      <w:r>
        <w:rPr>
          <w:color w:val="231F20"/>
        </w:rPr>
        <w:t>The templates shall allow application of template-specific functionality to existing documents not authored on Contractor’s CTD templates, or a simplified method, i.e., minimal mouse clicks, to transfer content to CTD templates with application of standardized formatting.</w:t>
      </w:r>
      <w:r>
        <w:rPr>
          <w:color w:val="231F20"/>
        </w:rPr>
        <w:br/>
      </w:r>
    </w:p>
    <w:p w14:paraId="013D612A" w14:textId="77777777" w:rsidR="005F19C0" w:rsidRDefault="00192A91">
      <w:pPr>
        <w:pStyle w:val="ListParagraph"/>
        <w:numPr>
          <w:ilvl w:val="0"/>
          <w:numId w:val="6"/>
        </w:numPr>
        <w:tabs>
          <w:tab w:val="left" w:pos="1398"/>
          <w:tab w:val="left" w:pos="1399"/>
        </w:tabs>
        <w:ind w:left="1398" w:hanging="359"/>
      </w:pPr>
      <w:r>
        <w:rPr>
          <w:color w:val="231F20"/>
        </w:rPr>
        <w:t>The</w:t>
      </w:r>
      <w:r>
        <w:rPr>
          <w:color w:val="231F20"/>
          <w:spacing w:val="-4"/>
        </w:rPr>
        <w:t xml:space="preserve"> </w:t>
      </w:r>
      <w:r>
        <w:rPr>
          <w:color w:val="231F20"/>
        </w:rPr>
        <w:t>Contractor</w:t>
      </w:r>
      <w:r>
        <w:rPr>
          <w:color w:val="231F20"/>
          <w:spacing w:val="-4"/>
        </w:rPr>
        <w:t xml:space="preserve"> </w:t>
      </w:r>
      <w:r>
        <w:rPr>
          <w:color w:val="231F20"/>
        </w:rPr>
        <w:t>shall</w:t>
      </w:r>
      <w:r>
        <w:rPr>
          <w:color w:val="231F20"/>
          <w:spacing w:val="-3"/>
        </w:rPr>
        <w:t xml:space="preserve"> </w:t>
      </w:r>
      <w:r>
        <w:rPr>
          <w:color w:val="231F20"/>
        </w:rPr>
        <w:t>ensure</w:t>
      </w:r>
      <w:r>
        <w:rPr>
          <w:color w:val="231F20"/>
          <w:spacing w:val="-4"/>
        </w:rPr>
        <w:t xml:space="preserve"> </w:t>
      </w:r>
      <w:r>
        <w:rPr>
          <w:color w:val="231F20"/>
        </w:rPr>
        <w:t>that</w:t>
      </w:r>
      <w:r>
        <w:rPr>
          <w:color w:val="231F20"/>
          <w:spacing w:val="-3"/>
        </w:rPr>
        <w:t xml:space="preserve"> </w:t>
      </w:r>
      <w:r>
        <w:rPr>
          <w:color w:val="231F20"/>
        </w:rPr>
        <w:t xml:space="preserve">CTD templates incorporate instructional text, formatting standards and regulatory and health authority guidance as recommended by the FDA, ICH, </w:t>
      </w:r>
      <w:proofErr w:type="spellStart"/>
      <w:r>
        <w:rPr>
          <w:color w:val="231F20"/>
        </w:rPr>
        <w:t>TransCelerate</w:t>
      </w:r>
      <w:proofErr w:type="spellEnd"/>
      <w:r>
        <w:rPr>
          <w:color w:val="231F20"/>
        </w:rPr>
        <w:t xml:space="preserve"> BioPharma and adopted by the U.S. FDA.</w:t>
      </w:r>
    </w:p>
    <w:p w14:paraId="2AC541A8" w14:textId="77777777" w:rsidR="005F19C0" w:rsidRDefault="005F19C0">
      <w:pPr>
        <w:pStyle w:val="BodyText"/>
        <w:spacing w:before="1"/>
        <w:rPr>
          <w:sz w:val="22"/>
          <w:szCs w:val="22"/>
        </w:rPr>
      </w:pPr>
    </w:p>
    <w:p w14:paraId="6C7482C0" w14:textId="77777777" w:rsidR="005F19C0" w:rsidRDefault="00192A91">
      <w:pPr>
        <w:pStyle w:val="ListParagraph"/>
        <w:numPr>
          <w:ilvl w:val="0"/>
          <w:numId w:val="6"/>
        </w:numPr>
        <w:tabs>
          <w:tab w:val="left" w:pos="1399"/>
          <w:tab w:val="left" w:pos="1400"/>
        </w:tabs>
      </w:pP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provide</w:t>
      </w:r>
      <w:r>
        <w:rPr>
          <w:color w:val="231F20"/>
          <w:spacing w:val="-2"/>
        </w:rPr>
        <w:t xml:space="preserve"> access to </w:t>
      </w:r>
      <w:r>
        <w:rPr>
          <w:color w:val="231F20"/>
        </w:rPr>
        <w:t>user guides and technical documents.</w:t>
      </w:r>
    </w:p>
    <w:p w14:paraId="4CC8F859" w14:textId="77777777" w:rsidR="005F19C0" w:rsidRDefault="005F19C0">
      <w:pPr>
        <w:pStyle w:val="BodyText"/>
        <w:spacing w:before="1"/>
      </w:pPr>
    </w:p>
    <w:p w14:paraId="54EC427A" w14:textId="77777777" w:rsidR="005F19C0" w:rsidRDefault="005F19C0">
      <w:pPr>
        <w:pStyle w:val="BodyText"/>
        <w:spacing w:before="11"/>
        <w:rPr>
          <w:sz w:val="19"/>
        </w:rPr>
      </w:pPr>
    </w:p>
    <w:p w14:paraId="06BF1B7D" w14:textId="77777777" w:rsidR="005F19C0" w:rsidRDefault="00192A91">
      <w:pPr>
        <w:pStyle w:val="ListParagraph"/>
        <w:numPr>
          <w:ilvl w:val="1"/>
          <w:numId w:val="7"/>
        </w:numPr>
        <w:tabs>
          <w:tab w:val="left" w:pos="1079"/>
        </w:tabs>
        <w:ind w:left="679" w:right="800" w:firstLine="0"/>
      </w:pPr>
      <w:r>
        <w:rPr>
          <w:color w:val="231F20"/>
        </w:rPr>
        <w:t>Task 2 – Technical Accessibility.</w:t>
      </w:r>
    </w:p>
    <w:p w14:paraId="6C8E43BA" w14:textId="77777777" w:rsidR="005F19C0" w:rsidRDefault="005F19C0">
      <w:pPr>
        <w:pStyle w:val="BodyText"/>
        <w:spacing w:before="1"/>
        <w:rPr>
          <w:sz w:val="22"/>
          <w:szCs w:val="22"/>
        </w:rPr>
      </w:pPr>
    </w:p>
    <w:p w14:paraId="28C9350D" w14:textId="77777777" w:rsidR="005F19C0" w:rsidRDefault="00192A91">
      <w:pPr>
        <w:pStyle w:val="ListParagraph"/>
        <w:numPr>
          <w:ilvl w:val="0"/>
          <w:numId w:val="5"/>
        </w:numPr>
        <w:tabs>
          <w:tab w:val="left" w:pos="1399"/>
          <w:tab w:val="left" w:pos="1400"/>
        </w:tabs>
      </w:pPr>
      <w:r>
        <w:rPr>
          <w:color w:val="231F20"/>
        </w:rPr>
        <w:t>Media Availability (Access): Vendor shall provide access to all technical</w:t>
      </w:r>
      <w:r>
        <w:rPr>
          <w:color w:val="231F20"/>
          <w:spacing w:val="1"/>
        </w:rPr>
        <w:t xml:space="preserve"> </w:t>
      </w:r>
      <w:r>
        <w:rPr>
          <w:color w:val="231F20"/>
        </w:rPr>
        <w:t>data.</w:t>
      </w:r>
    </w:p>
    <w:p w14:paraId="4A04FE93" w14:textId="77777777" w:rsidR="005F19C0" w:rsidRDefault="005F19C0">
      <w:pPr>
        <w:pStyle w:val="BodyText"/>
        <w:spacing w:before="10"/>
        <w:rPr>
          <w:sz w:val="22"/>
          <w:szCs w:val="22"/>
        </w:rPr>
      </w:pPr>
    </w:p>
    <w:p w14:paraId="3CA738DA" w14:textId="77777777" w:rsidR="005F19C0" w:rsidRDefault="00192A91">
      <w:pPr>
        <w:pStyle w:val="ListParagraph"/>
        <w:numPr>
          <w:ilvl w:val="0"/>
          <w:numId w:val="5"/>
        </w:numPr>
        <w:tabs>
          <w:tab w:val="left" w:pos="1399"/>
          <w:tab w:val="left" w:pos="1400"/>
        </w:tabs>
        <w:ind w:right="1242"/>
      </w:pPr>
      <w:r>
        <w:rPr>
          <w:color w:val="231F20"/>
        </w:rPr>
        <w:t>Technical Data Accessibility: DoD Staff shall have access to application software, any diagnostic software, operator, and service technical data required to operate and maintain the system on the DoD network.</w:t>
      </w:r>
      <w:r>
        <w:rPr>
          <w:color w:val="231F20"/>
        </w:rPr>
        <w:br/>
      </w:r>
    </w:p>
    <w:p w14:paraId="763CC8CD" w14:textId="77777777" w:rsidR="005F19C0" w:rsidRDefault="00192A91">
      <w:pPr>
        <w:pStyle w:val="ListParagraph"/>
        <w:numPr>
          <w:ilvl w:val="0"/>
          <w:numId w:val="5"/>
        </w:numPr>
        <w:tabs>
          <w:tab w:val="left" w:pos="1399"/>
          <w:tab w:val="left" w:pos="1400"/>
        </w:tabs>
        <w:ind w:right="1242"/>
      </w:pPr>
      <w:r>
        <w:rPr>
          <w:color w:val="231F20"/>
        </w:rPr>
        <w:t>The templates and all associated files and documentation shall be compatible with EDMS (Open Text Content Server electronic document management system).</w:t>
      </w:r>
      <w:r>
        <w:rPr>
          <w:color w:val="231F20"/>
        </w:rPr>
        <w:br/>
      </w:r>
    </w:p>
    <w:p w14:paraId="14F056DD" w14:textId="77777777" w:rsidR="005F19C0" w:rsidRDefault="00192A91">
      <w:pPr>
        <w:pStyle w:val="ListParagraph"/>
        <w:numPr>
          <w:ilvl w:val="0"/>
          <w:numId w:val="5"/>
        </w:numPr>
        <w:tabs>
          <w:tab w:val="left" w:pos="1399"/>
          <w:tab w:val="left" w:pos="1400"/>
        </w:tabs>
        <w:ind w:right="1242"/>
      </w:pPr>
      <w:r>
        <w:rPr>
          <w:color w:val="231F20"/>
        </w:rPr>
        <w:t>The Contractor shall ensure compatibility with current Army desktop operating systems and office productivity software, (as of August 2020 is Microsoft Windows 10, Microsoft Word 2013 (32 bit), Microsoft Word 2016 (32 bit), and Microsoft Office 365).</w:t>
      </w:r>
      <w:r>
        <w:rPr>
          <w:color w:val="231F20"/>
        </w:rPr>
        <w:br/>
      </w:r>
    </w:p>
    <w:p w14:paraId="63410F76" w14:textId="77777777" w:rsidR="005F19C0" w:rsidRDefault="00192A91">
      <w:pPr>
        <w:pStyle w:val="ListParagraph"/>
        <w:numPr>
          <w:ilvl w:val="0"/>
          <w:numId w:val="5"/>
        </w:numPr>
        <w:tabs>
          <w:tab w:val="left" w:pos="1399"/>
          <w:tab w:val="left" w:pos="1400"/>
        </w:tabs>
        <w:ind w:right="1242"/>
      </w:pPr>
      <w:r>
        <w:t>The Contractor shall ensure the template files are compatible with Adobe Acrobat pdf</w:t>
      </w:r>
      <w:r w:rsidR="0044012F">
        <w:t xml:space="preserve"> </w:t>
      </w:r>
      <w:r>
        <w:t>maker/conversion and can be published in electronic Common Technical Document (eCTD) publishing software.</w:t>
      </w:r>
      <w:r>
        <w:br/>
      </w:r>
    </w:p>
    <w:p w14:paraId="51FAFE07" w14:textId="77777777" w:rsidR="005F19C0" w:rsidRDefault="00192A91">
      <w:pPr>
        <w:pStyle w:val="ListParagraph"/>
        <w:numPr>
          <w:ilvl w:val="0"/>
          <w:numId w:val="5"/>
        </w:numPr>
        <w:tabs>
          <w:tab w:val="left" w:pos="1399"/>
          <w:tab w:val="left" w:pos="1400"/>
        </w:tabs>
        <w:ind w:right="1242"/>
      </w:pPr>
      <w:r>
        <w:t>The templates shall be usable by personnel without direct access to ORA’s internal network drives.</w:t>
      </w:r>
    </w:p>
    <w:p w14:paraId="24F03C6B" w14:textId="77777777" w:rsidR="005F19C0" w:rsidRDefault="005F19C0">
      <w:pPr>
        <w:pStyle w:val="BodyText"/>
        <w:spacing w:before="2"/>
        <w:rPr>
          <w:sz w:val="22"/>
          <w:szCs w:val="22"/>
        </w:rPr>
      </w:pPr>
    </w:p>
    <w:p w14:paraId="2F4AA199" w14:textId="77777777" w:rsidR="005F19C0" w:rsidRDefault="00192A91">
      <w:pPr>
        <w:pStyle w:val="ListParagraph"/>
        <w:numPr>
          <w:ilvl w:val="1"/>
          <w:numId w:val="7"/>
        </w:numPr>
        <w:tabs>
          <w:tab w:val="left" w:pos="1081"/>
        </w:tabs>
        <w:ind w:left="1080" w:hanging="401"/>
      </w:pPr>
      <w:r>
        <w:rPr>
          <w:color w:val="231F20"/>
        </w:rPr>
        <w:t>Task 3 – Training and Training</w:t>
      </w:r>
      <w:r>
        <w:rPr>
          <w:color w:val="231F20"/>
          <w:spacing w:val="-3"/>
        </w:rPr>
        <w:t xml:space="preserve"> </w:t>
      </w:r>
      <w:r>
        <w:rPr>
          <w:color w:val="231F20"/>
        </w:rPr>
        <w:t>Support</w:t>
      </w:r>
    </w:p>
    <w:p w14:paraId="5D26446B" w14:textId="77777777" w:rsidR="005F19C0" w:rsidRDefault="005F19C0">
      <w:pPr>
        <w:pStyle w:val="BodyText"/>
        <w:spacing w:before="10"/>
        <w:rPr>
          <w:sz w:val="22"/>
          <w:szCs w:val="22"/>
        </w:rPr>
      </w:pPr>
    </w:p>
    <w:p w14:paraId="201BB4E9" w14:textId="77777777" w:rsidR="005F19C0" w:rsidRDefault="00192A91">
      <w:pPr>
        <w:pStyle w:val="ListParagraph"/>
        <w:numPr>
          <w:ilvl w:val="0"/>
          <w:numId w:val="4"/>
        </w:numPr>
        <w:tabs>
          <w:tab w:val="left" w:pos="1398"/>
          <w:tab w:val="left" w:pos="1400"/>
        </w:tabs>
        <w:ind w:right="2003"/>
        <w:rPr>
          <w:color w:val="231F20"/>
        </w:rPr>
      </w:pPr>
      <w:r>
        <w:rPr>
          <w:color w:val="231F20"/>
        </w:rPr>
        <w:t>The Contractor shall provide a Training Plan for Department of Defense (DoD) Medical Writing Staff and Systems Managers for the proposed system as configured to include the following topics: preparation for use and installation, software applications training, use instructions, troubleshooting, software updates and security patch instructions (if applicable).</w:t>
      </w:r>
    </w:p>
    <w:p w14:paraId="61F801AB" w14:textId="77777777" w:rsidR="005F19C0" w:rsidRDefault="005F19C0">
      <w:pPr>
        <w:pStyle w:val="BodyText"/>
      </w:pPr>
    </w:p>
    <w:p w14:paraId="0264F1B7" w14:textId="77777777" w:rsidR="005F19C0" w:rsidRDefault="00192A91">
      <w:pPr>
        <w:pStyle w:val="ListParagraph"/>
        <w:numPr>
          <w:ilvl w:val="0"/>
          <w:numId w:val="4"/>
        </w:numPr>
        <w:tabs>
          <w:tab w:val="left" w:pos="1399"/>
          <w:tab w:val="left" w:pos="1400"/>
        </w:tabs>
        <w:ind w:right="2003"/>
      </w:pPr>
      <w:r>
        <w:rPr>
          <w:color w:val="231F20"/>
        </w:rPr>
        <w:t xml:space="preserve">The Contractor shall provide all available user and maintainer manuals, training </w:t>
      </w:r>
      <w:r>
        <w:rPr>
          <w:color w:val="231F20"/>
        </w:rPr>
        <w:lastRenderedPageBreak/>
        <w:t>videos, and documentation.</w:t>
      </w:r>
    </w:p>
    <w:p w14:paraId="75999EDE" w14:textId="77777777" w:rsidR="005F19C0" w:rsidRDefault="005F19C0">
      <w:pPr>
        <w:pStyle w:val="BodyText"/>
        <w:spacing w:before="2"/>
        <w:rPr>
          <w:sz w:val="22"/>
          <w:szCs w:val="22"/>
        </w:rPr>
      </w:pPr>
    </w:p>
    <w:p w14:paraId="21709CFE" w14:textId="77777777" w:rsidR="005F19C0" w:rsidRDefault="00192A91">
      <w:pPr>
        <w:pStyle w:val="ListParagraph"/>
        <w:numPr>
          <w:ilvl w:val="0"/>
          <w:numId w:val="4"/>
        </w:numPr>
        <w:tabs>
          <w:tab w:val="left" w:pos="1399"/>
          <w:tab w:val="left" w:pos="1400"/>
        </w:tabs>
        <w:ind w:right="1060"/>
      </w:pPr>
      <w:r>
        <w:rPr>
          <w:color w:val="231F20"/>
        </w:rPr>
        <w:t>The Contractor shall offer, as part of the contract, training options for both individual and group service personnel that can be ordered as</w:t>
      </w:r>
      <w:r>
        <w:rPr>
          <w:color w:val="231F20"/>
          <w:spacing w:val="-5"/>
        </w:rPr>
        <w:t xml:space="preserve"> </w:t>
      </w:r>
      <w:r>
        <w:rPr>
          <w:color w:val="231F20"/>
        </w:rPr>
        <w:t>needed.</w:t>
      </w:r>
      <w:r>
        <w:rPr>
          <w:color w:val="231F20"/>
        </w:rPr>
        <w:br/>
      </w:r>
    </w:p>
    <w:p w14:paraId="78438DDE" w14:textId="77777777" w:rsidR="005F19C0" w:rsidRDefault="00192A91">
      <w:pPr>
        <w:pStyle w:val="ListParagraph"/>
        <w:numPr>
          <w:ilvl w:val="0"/>
          <w:numId w:val="4"/>
        </w:numPr>
        <w:tabs>
          <w:tab w:val="left" w:pos="1399"/>
          <w:tab w:val="left" w:pos="1400"/>
        </w:tabs>
        <w:ind w:right="1060"/>
        <w:rPr>
          <w:color w:val="231F20"/>
        </w:rPr>
      </w:pPr>
      <w:r>
        <w:rPr>
          <w:color w:val="231F20"/>
        </w:rPr>
        <w:t>The online (and on DVD) training should include all the preventive and corrective maintenance services necessary to operate, maintain, and sustain the system its useful life.</w:t>
      </w:r>
    </w:p>
    <w:p w14:paraId="52A6766F" w14:textId="77777777" w:rsidR="005F19C0" w:rsidRDefault="005F19C0">
      <w:pPr>
        <w:pStyle w:val="BodyText"/>
        <w:spacing w:before="1"/>
        <w:rPr>
          <w:sz w:val="22"/>
          <w:szCs w:val="22"/>
        </w:rPr>
      </w:pPr>
    </w:p>
    <w:p w14:paraId="571A52AB" w14:textId="77777777" w:rsidR="005F19C0" w:rsidRDefault="00192A91">
      <w:pPr>
        <w:pStyle w:val="ListParagraph"/>
        <w:numPr>
          <w:ilvl w:val="1"/>
          <w:numId w:val="7"/>
        </w:numPr>
        <w:tabs>
          <w:tab w:val="left" w:pos="1080"/>
        </w:tabs>
        <w:spacing w:before="91"/>
        <w:ind w:left="1079" w:hanging="399"/>
      </w:pPr>
      <w:r>
        <w:rPr>
          <w:color w:val="231F20"/>
        </w:rPr>
        <w:t>Task 4 – Compliance Planning and</w:t>
      </w:r>
      <w:r>
        <w:rPr>
          <w:color w:val="231F20"/>
          <w:spacing w:val="-2"/>
        </w:rPr>
        <w:t xml:space="preserve"> </w:t>
      </w:r>
      <w:r>
        <w:rPr>
          <w:color w:val="231F20"/>
        </w:rPr>
        <w:t>Management</w:t>
      </w:r>
    </w:p>
    <w:p w14:paraId="27E25BDD" w14:textId="77777777" w:rsidR="005F19C0" w:rsidRDefault="005F19C0">
      <w:pPr>
        <w:pStyle w:val="BodyText"/>
        <w:spacing w:before="1"/>
        <w:rPr>
          <w:sz w:val="22"/>
          <w:szCs w:val="22"/>
        </w:rPr>
      </w:pPr>
    </w:p>
    <w:p w14:paraId="31EAFCC9" w14:textId="77777777" w:rsidR="005F19C0" w:rsidRDefault="00192A91">
      <w:pPr>
        <w:pStyle w:val="ListParagraph"/>
        <w:numPr>
          <w:ilvl w:val="0"/>
          <w:numId w:val="3"/>
        </w:numPr>
        <w:tabs>
          <w:tab w:val="left" w:pos="1399"/>
          <w:tab w:val="left" w:pos="1400"/>
        </w:tabs>
        <w:ind w:right="742"/>
      </w:pPr>
      <w:r>
        <w:rPr>
          <w:color w:val="231F20"/>
        </w:rPr>
        <w:t>The CTD Templates must be and remain compliant with the most current U.S. FDA and ICH recommendations policies and regulations.</w:t>
      </w:r>
    </w:p>
    <w:p w14:paraId="1EF07A25" w14:textId="77777777" w:rsidR="005F19C0" w:rsidRDefault="005F19C0">
      <w:pPr>
        <w:pStyle w:val="BodyText"/>
        <w:spacing w:before="10"/>
        <w:rPr>
          <w:sz w:val="22"/>
          <w:szCs w:val="22"/>
        </w:rPr>
      </w:pPr>
    </w:p>
    <w:p w14:paraId="0A8AB017" w14:textId="77777777" w:rsidR="005F19C0" w:rsidRDefault="00192A91">
      <w:pPr>
        <w:pStyle w:val="ListParagraph"/>
        <w:numPr>
          <w:ilvl w:val="0"/>
          <w:numId w:val="3"/>
        </w:numPr>
        <w:tabs>
          <w:tab w:val="left" w:pos="1399"/>
          <w:tab w:val="left" w:pos="1400"/>
        </w:tabs>
        <w:ind w:right="765"/>
      </w:pPr>
      <w:r>
        <w:rPr>
          <w:color w:val="231F20"/>
        </w:rPr>
        <w:t xml:space="preserve">The Contractor </w:t>
      </w:r>
      <w:r w:rsidRPr="00DC7D83">
        <w:rPr>
          <w:color w:val="231F20"/>
        </w:rPr>
        <w:t>shall provide a warranty for a period of 12 months</w:t>
      </w:r>
      <w:r>
        <w:rPr>
          <w:color w:val="231F20"/>
        </w:rPr>
        <w:t xml:space="preserve"> from time of delivery. Warranty shall include all parts, software updates (if applicable), labor technical support, and shipping during the warranty period. </w:t>
      </w:r>
    </w:p>
    <w:p w14:paraId="0592233F" w14:textId="77777777" w:rsidR="005F19C0" w:rsidRDefault="005F19C0">
      <w:pPr>
        <w:pStyle w:val="BodyText"/>
        <w:spacing w:before="1"/>
        <w:rPr>
          <w:sz w:val="22"/>
          <w:szCs w:val="22"/>
        </w:rPr>
      </w:pPr>
    </w:p>
    <w:p w14:paraId="525EE6E7" w14:textId="77777777" w:rsidR="005F19C0" w:rsidRDefault="00192A91">
      <w:pPr>
        <w:pStyle w:val="ListParagraph"/>
        <w:numPr>
          <w:ilvl w:val="0"/>
          <w:numId w:val="3"/>
        </w:numPr>
        <w:tabs>
          <w:tab w:val="left" w:pos="1400"/>
          <w:tab w:val="left" w:pos="1401"/>
        </w:tabs>
        <w:ind w:left="1400" w:right="730"/>
      </w:pPr>
      <w:r>
        <w:rPr>
          <w:color w:val="231F20"/>
        </w:rPr>
        <w:t>The Contractor shall notify the Army, of all notices affecting the system for the useful life of the</w:t>
      </w:r>
      <w:r>
        <w:rPr>
          <w:color w:val="231F20"/>
          <w:spacing w:val="-1"/>
        </w:rPr>
        <w:t xml:space="preserve"> </w:t>
      </w:r>
      <w:r>
        <w:rPr>
          <w:color w:val="231F20"/>
        </w:rPr>
        <w:t>system.</w:t>
      </w:r>
    </w:p>
    <w:p w14:paraId="1DCCFC8B" w14:textId="77777777" w:rsidR="005F19C0" w:rsidRDefault="005F19C0">
      <w:pPr>
        <w:pStyle w:val="BodyText"/>
        <w:spacing w:before="4"/>
        <w:rPr>
          <w:sz w:val="22"/>
          <w:szCs w:val="22"/>
        </w:rPr>
      </w:pPr>
    </w:p>
    <w:p w14:paraId="5C01250E" w14:textId="77777777" w:rsidR="005F19C0" w:rsidRDefault="00192A91">
      <w:pPr>
        <w:pStyle w:val="Heading2"/>
        <w:numPr>
          <w:ilvl w:val="0"/>
          <w:numId w:val="2"/>
        </w:numPr>
        <w:tabs>
          <w:tab w:val="left" w:pos="931"/>
        </w:tabs>
        <w:ind w:hanging="250"/>
        <w:rPr>
          <w:sz w:val="22"/>
          <w:szCs w:val="22"/>
        </w:rPr>
      </w:pPr>
      <w:r>
        <w:rPr>
          <w:color w:val="231F20"/>
          <w:sz w:val="22"/>
          <w:szCs w:val="22"/>
        </w:rPr>
        <w:t>CONTRACT</w:t>
      </w:r>
      <w:r>
        <w:rPr>
          <w:color w:val="231F20"/>
          <w:spacing w:val="-2"/>
          <w:sz w:val="22"/>
          <w:szCs w:val="22"/>
        </w:rPr>
        <w:t xml:space="preserve"> </w:t>
      </w:r>
      <w:r>
        <w:rPr>
          <w:color w:val="231F20"/>
          <w:sz w:val="22"/>
          <w:szCs w:val="22"/>
        </w:rPr>
        <w:t>ADMINISTRATION</w:t>
      </w:r>
    </w:p>
    <w:p w14:paraId="32F76BA5" w14:textId="77777777" w:rsidR="005F19C0" w:rsidRDefault="005F19C0">
      <w:pPr>
        <w:pStyle w:val="BodyText"/>
        <w:spacing w:before="7"/>
        <w:rPr>
          <w:b/>
          <w:sz w:val="22"/>
          <w:szCs w:val="22"/>
        </w:rPr>
      </w:pPr>
    </w:p>
    <w:p w14:paraId="58E95F73" w14:textId="77777777" w:rsidR="005F19C0" w:rsidRDefault="00192A91">
      <w:pPr>
        <w:pStyle w:val="BodyText"/>
        <w:spacing w:before="1"/>
        <w:ind w:left="680"/>
        <w:rPr>
          <w:sz w:val="22"/>
          <w:szCs w:val="22"/>
        </w:rPr>
      </w:pPr>
      <w:r>
        <w:rPr>
          <w:color w:val="231F20"/>
          <w:sz w:val="22"/>
          <w:szCs w:val="22"/>
        </w:rPr>
        <w:t>The Contract Administration Team will consist of the following members:</w:t>
      </w:r>
    </w:p>
    <w:p w14:paraId="0BFF95B3" w14:textId="77777777" w:rsidR="005F19C0" w:rsidRDefault="005F19C0">
      <w:pPr>
        <w:pStyle w:val="BodyText"/>
        <w:rPr>
          <w:sz w:val="22"/>
          <w:szCs w:val="22"/>
        </w:rPr>
      </w:pPr>
    </w:p>
    <w:p w14:paraId="671E9C1D" w14:textId="77777777" w:rsidR="005F19C0" w:rsidRDefault="00192A91">
      <w:pPr>
        <w:pStyle w:val="ListParagraph"/>
        <w:numPr>
          <w:ilvl w:val="1"/>
          <w:numId w:val="2"/>
        </w:numPr>
        <w:tabs>
          <w:tab w:val="left" w:pos="1081"/>
        </w:tabs>
        <w:spacing w:before="1"/>
        <w:ind w:right="1288" w:firstLine="0"/>
      </w:pPr>
      <w:r>
        <w:rPr>
          <w:color w:val="231F20"/>
        </w:rPr>
        <w:t>The Contracting Officer will have overall responsibility for administering the Contract. The Contracting Officer is the only person authorized to obligate the Government and make changes to the Contract. The Contracting Officer will manage Contract administration and performance delivery surveillance supported by Contract administrators and the</w:t>
      </w:r>
      <w:r>
        <w:rPr>
          <w:color w:val="231F20"/>
          <w:spacing w:val="-2"/>
        </w:rPr>
        <w:t xml:space="preserve"> </w:t>
      </w:r>
      <w:r>
        <w:rPr>
          <w:color w:val="231F20"/>
        </w:rPr>
        <w:t>COR.</w:t>
      </w:r>
    </w:p>
    <w:p w14:paraId="1C57E532" w14:textId="77777777" w:rsidR="005F19C0" w:rsidRDefault="005F19C0">
      <w:pPr>
        <w:pStyle w:val="BodyText"/>
        <w:spacing w:before="11"/>
        <w:rPr>
          <w:sz w:val="22"/>
          <w:szCs w:val="22"/>
        </w:rPr>
      </w:pPr>
    </w:p>
    <w:p w14:paraId="73006EC7" w14:textId="77777777" w:rsidR="005F19C0" w:rsidRDefault="00192A91">
      <w:pPr>
        <w:pStyle w:val="ListParagraph"/>
        <w:numPr>
          <w:ilvl w:val="1"/>
          <w:numId w:val="2"/>
        </w:numPr>
        <w:tabs>
          <w:tab w:val="left" w:pos="1080"/>
        </w:tabs>
        <w:ind w:right="848" w:firstLine="0"/>
      </w:pPr>
      <w:r>
        <w:rPr>
          <w:color w:val="231F20"/>
        </w:rPr>
        <w:t>The COR will be appointed in writing and will be directly responsible to the Contracting Officer. The COR serves as the Government’s point-of-contact for Contract-level coordination and administration. The COR will assist the Contracting Officer in overseeing the administration of the Contract as appropriate; assist in resolving issues;</w:t>
      </w:r>
      <w:r>
        <w:rPr>
          <w:color w:val="231F20"/>
          <w:spacing w:val="-4"/>
        </w:rPr>
        <w:t xml:space="preserve"> </w:t>
      </w:r>
      <w:r>
        <w:rPr>
          <w:color w:val="231F20"/>
        </w:rPr>
        <w:t>initiate</w:t>
      </w:r>
      <w:r>
        <w:rPr>
          <w:color w:val="231F20"/>
          <w:spacing w:val="-3"/>
        </w:rPr>
        <w:t xml:space="preserve"> </w:t>
      </w:r>
      <w:r>
        <w:rPr>
          <w:color w:val="231F20"/>
        </w:rPr>
        <w:t>changes;</w:t>
      </w:r>
      <w:r>
        <w:rPr>
          <w:color w:val="231F20"/>
          <w:spacing w:val="-3"/>
        </w:rPr>
        <w:t xml:space="preserve"> </w:t>
      </w:r>
      <w:r>
        <w:rPr>
          <w:color w:val="231F20"/>
        </w:rPr>
        <w:t>notify</w:t>
      </w:r>
      <w:r>
        <w:rPr>
          <w:color w:val="231F20"/>
          <w:spacing w:val="-1"/>
        </w:rPr>
        <w:t xml:space="preserve"> </w:t>
      </w:r>
      <w:r>
        <w:rPr>
          <w:color w:val="231F20"/>
        </w:rPr>
        <w:t>the</w:t>
      </w:r>
      <w:r>
        <w:rPr>
          <w:color w:val="231F20"/>
          <w:spacing w:val="-3"/>
        </w:rPr>
        <w:t xml:space="preserve"> </w:t>
      </w:r>
      <w:r>
        <w:rPr>
          <w:color w:val="231F20"/>
        </w:rPr>
        <w:t>Contracting</w:t>
      </w:r>
      <w:r>
        <w:rPr>
          <w:color w:val="231F20"/>
          <w:spacing w:val="-3"/>
        </w:rPr>
        <w:t xml:space="preserve"> </w:t>
      </w:r>
      <w:r>
        <w:rPr>
          <w:color w:val="231F20"/>
        </w:rPr>
        <w:t>Officer</w:t>
      </w:r>
      <w:r>
        <w:rPr>
          <w:color w:val="231F20"/>
          <w:spacing w:val="-1"/>
        </w:rPr>
        <w:t xml:space="preserve"> </w:t>
      </w:r>
      <w:r>
        <w:rPr>
          <w:color w:val="231F20"/>
        </w:rPr>
        <w:t>of</w:t>
      </w:r>
      <w:r>
        <w:rPr>
          <w:color w:val="231F20"/>
          <w:spacing w:val="-4"/>
        </w:rPr>
        <w:t xml:space="preserve"> </w:t>
      </w:r>
      <w:r>
        <w:rPr>
          <w:color w:val="231F20"/>
        </w:rPr>
        <w:t>any</w:t>
      </w:r>
      <w:r>
        <w:rPr>
          <w:color w:val="231F20"/>
          <w:spacing w:val="-5"/>
        </w:rPr>
        <w:t xml:space="preserve"> </w:t>
      </w:r>
      <w:r>
        <w:rPr>
          <w:color w:val="231F20"/>
        </w:rPr>
        <w:t>disputes</w:t>
      </w:r>
      <w:r>
        <w:rPr>
          <w:color w:val="231F20"/>
          <w:spacing w:val="-3"/>
        </w:rPr>
        <w:t xml:space="preserve"> </w:t>
      </w:r>
      <w:r>
        <w:rPr>
          <w:color w:val="231F20"/>
        </w:rPr>
        <w:t>or</w:t>
      </w:r>
      <w:r>
        <w:rPr>
          <w:color w:val="231F20"/>
          <w:spacing w:val="-3"/>
        </w:rPr>
        <w:t xml:space="preserve"> </w:t>
      </w:r>
      <w:r>
        <w:rPr>
          <w:color w:val="231F20"/>
        </w:rPr>
        <w:t>contractual</w:t>
      </w:r>
      <w:r>
        <w:rPr>
          <w:color w:val="231F20"/>
          <w:spacing w:val="-2"/>
        </w:rPr>
        <w:t xml:space="preserve"> </w:t>
      </w:r>
      <w:r>
        <w:rPr>
          <w:color w:val="231F20"/>
        </w:rPr>
        <w:t>issues</w:t>
      </w:r>
      <w:r>
        <w:rPr>
          <w:color w:val="231F20"/>
          <w:spacing w:val="-3"/>
        </w:rPr>
        <w:t xml:space="preserve"> </w:t>
      </w:r>
      <w:r>
        <w:rPr>
          <w:color w:val="231F20"/>
        </w:rPr>
        <w:t>that</w:t>
      </w:r>
      <w:r>
        <w:rPr>
          <w:color w:val="231F20"/>
          <w:spacing w:val="-2"/>
        </w:rPr>
        <w:t xml:space="preserve"> </w:t>
      </w:r>
      <w:r>
        <w:rPr>
          <w:color w:val="231F20"/>
        </w:rPr>
        <w:t>cannot</w:t>
      </w:r>
      <w:r>
        <w:rPr>
          <w:color w:val="231F20"/>
          <w:spacing w:val="-2"/>
        </w:rPr>
        <w:t xml:space="preserve"> </w:t>
      </w:r>
      <w:r>
        <w:rPr>
          <w:color w:val="231F20"/>
        </w:rPr>
        <w:t>be</w:t>
      </w:r>
      <w:r>
        <w:rPr>
          <w:color w:val="231F20"/>
          <w:spacing w:val="-2"/>
        </w:rPr>
        <w:t xml:space="preserve"> </w:t>
      </w:r>
      <w:r>
        <w:rPr>
          <w:color w:val="231F20"/>
        </w:rPr>
        <w:t>resolved; and conduct other activities as specified by</w:t>
      </w:r>
      <w:r>
        <w:rPr>
          <w:color w:val="231F20"/>
          <w:spacing w:val="-3"/>
        </w:rPr>
        <w:t xml:space="preserve"> </w:t>
      </w:r>
      <w:r>
        <w:rPr>
          <w:color w:val="231F20"/>
        </w:rPr>
        <w:t>appointment.</w:t>
      </w:r>
    </w:p>
    <w:p w14:paraId="5B661D75" w14:textId="77777777" w:rsidR="005F19C0" w:rsidRDefault="005F19C0">
      <w:pPr>
        <w:rPr>
          <w:color w:val="231F20"/>
        </w:rPr>
      </w:pPr>
    </w:p>
    <w:p w14:paraId="45479279" w14:textId="77777777" w:rsidR="00A37928" w:rsidRPr="00A37928" w:rsidRDefault="00A37928" w:rsidP="00A37928"/>
    <w:p w14:paraId="36994C94" w14:textId="77777777" w:rsidR="00A37928" w:rsidRPr="00A37928" w:rsidRDefault="00A37928" w:rsidP="00A37928"/>
    <w:p w14:paraId="67F61346" w14:textId="77777777" w:rsidR="00A37928" w:rsidRPr="00A37928" w:rsidRDefault="00A37928" w:rsidP="00A37928"/>
    <w:p w14:paraId="03E5F2E5" w14:textId="08E67977" w:rsidR="00A37928" w:rsidRDefault="00A37928" w:rsidP="00A37928">
      <w:pPr>
        <w:tabs>
          <w:tab w:val="left" w:pos="1335"/>
        </w:tabs>
        <w:rPr>
          <w:color w:val="231F20"/>
        </w:rPr>
      </w:pPr>
    </w:p>
    <w:p w14:paraId="72A6AA4C" w14:textId="27A3E9A6" w:rsidR="00A37928" w:rsidRPr="00A37928" w:rsidRDefault="00A37928" w:rsidP="00A37928">
      <w:pPr>
        <w:tabs>
          <w:tab w:val="left" w:pos="1335"/>
        </w:tabs>
        <w:sectPr w:rsidR="00A37928" w:rsidRPr="00A37928">
          <w:footerReference w:type="default" r:id="rId8"/>
          <w:pgSz w:w="12240" w:h="15840"/>
          <w:pgMar w:top="1540" w:right="720" w:bottom="280" w:left="760" w:header="722" w:footer="0" w:gutter="0"/>
          <w:cols w:space="720"/>
        </w:sectPr>
      </w:pPr>
      <w:r>
        <w:tab/>
      </w:r>
    </w:p>
    <w:p w14:paraId="7EE015EC" w14:textId="77777777" w:rsidR="005F19C0" w:rsidRDefault="00192A91">
      <w:pPr>
        <w:pStyle w:val="Heading2"/>
        <w:numPr>
          <w:ilvl w:val="0"/>
          <w:numId w:val="2"/>
        </w:numPr>
        <w:tabs>
          <w:tab w:val="left" w:pos="931"/>
        </w:tabs>
        <w:spacing w:before="86"/>
        <w:ind w:hanging="250"/>
        <w:rPr>
          <w:sz w:val="22"/>
          <w:szCs w:val="22"/>
        </w:rPr>
      </w:pPr>
      <w:r>
        <w:rPr>
          <w:color w:val="231F20"/>
          <w:sz w:val="22"/>
          <w:szCs w:val="22"/>
        </w:rPr>
        <w:lastRenderedPageBreak/>
        <w:t>PERIOD OF PERFORMANCE/DELIVERY</w:t>
      </w:r>
      <w:r>
        <w:rPr>
          <w:color w:val="231F20"/>
          <w:spacing w:val="-1"/>
          <w:sz w:val="22"/>
          <w:szCs w:val="22"/>
        </w:rPr>
        <w:t xml:space="preserve"> </w:t>
      </w:r>
      <w:r>
        <w:rPr>
          <w:color w:val="231F20"/>
          <w:sz w:val="22"/>
          <w:szCs w:val="22"/>
        </w:rPr>
        <w:t>DATE:</w:t>
      </w:r>
    </w:p>
    <w:p w14:paraId="75B609B9" w14:textId="77777777" w:rsidR="005F19C0" w:rsidRDefault="005F19C0">
      <w:pPr>
        <w:pStyle w:val="BodyText"/>
        <w:spacing w:before="7"/>
        <w:rPr>
          <w:b/>
          <w:sz w:val="22"/>
          <w:szCs w:val="22"/>
        </w:rPr>
      </w:pPr>
    </w:p>
    <w:p w14:paraId="639FFC4F" w14:textId="77777777" w:rsidR="005F19C0" w:rsidRDefault="00192A91">
      <w:pPr>
        <w:pStyle w:val="BodyText"/>
        <w:spacing w:before="1"/>
        <w:ind w:left="679" w:right="791"/>
        <w:rPr>
          <w:sz w:val="22"/>
          <w:szCs w:val="22"/>
        </w:rPr>
      </w:pPr>
      <w:r>
        <w:rPr>
          <w:color w:val="231F20"/>
          <w:sz w:val="22"/>
          <w:szCs w:val="22"/>
        </w:rPr>
        <w:t>The anticipated period of performance of this contract is five (5) years (base plus four (4) option years). The base year includes the purchase of the CTD Templates and any associated administrative files and the scope of the work identified in this Statement of Need (</w:t>
      </w:r>
      <w:proofErr w:type="spellStart"/>
      <w:r>
        <w:rPr>
          <w:color w:val="231F20"/>
          <w:sz w:val="22"/>
          <w:szCs w:val="22"/>
        </w:rPr>
        <w:t>SoN</w:t>
      </w:r>
      <w:proofErr w:type="spellEnd"/>
      <w:r>
        <w:rPr>
          <w:color w:val="231F20"/>
          <w:sz w:val="22"/>
          <w:szCs w:val="22"/>
        </w:rPr>
        <w:t>). The four (4) option years shall include periodic updates of the entire CTD Templates suite.</w:t>
      </w:r>
    </w:p>
    <w:p w14:paraId="0B9F5784" w14:textId="77777777" w:rsidR="005F19C0" w:rsidRDefault="005F19C0">
      <w:pPr>
        <w:pStyle w:val="BodyText"/>
        <w:spacing w:before="11"/>
        <w:rPr>
          <w:sz w:val="22"/>
          <w:szCs w:val="22"/>
        </w:rPr>
      </w:pPr>
    </w:p>
    <w:p w14:paraId="7AED1D3E" w14:textId="19CB9915" w:rsidR="005F19C0" w:rsidRPr="00DC7D83" w:rsidRDefault="00192A91">
      <w:pPr>
        <w:pStyle w:val="BodyText"/>
        <w:tabs>
          <w:tab w:val="left" w:pos="1966"/>
        </w:tabs>
        <w:ind w:left="679"/>
        <w:rPr>
          <w:sz w:val="22"/>
          <w:szCs w:val="22"/>
        </w:rPr>
      </w:pPr>
      <w:r w:rsidRPr="00DC7D83">
        <w:rPr>
          <w:color w:val="231F20"/>
          <w:sz w:val="22"/>
          <w:szCs w:val="22"/>
        </w:rPr>
        <w:t>Base</w:t>
      </w:r>
      <w:r w:rsidRPr="00DC7D83">
        <w:rPr>
          <w:color w:val="231F20"/>
          <w:spacing w:val="-1"/>
          <w:sz w:val="22"/>
          <w:szCs w:val="22"/>
        </w:rPr>
        <w:t xml:space="preserve"> </w:t>
      </w:r>
      <w:r w:rsidRPr="00DC7D83">
        <w:rPr>
          <w:color w:val="231F20"/>
          <w:sz w:val="22"/>
          <w:szCs w:val="22"/>
        </w:rPr>
        <w:t>Year:</w:t>
      </w:r>
      <w:r w:rsidRPr="00DC7D83">
        <w:rPr>
          <w:color w:val="231F20"/>
          <w:sz w:val="22"/>
          <w:szCs w:val="22"/>
        </w:rPr>
        <w:tab/>
      </w:r>
      <w:r w:rsidR="00734A93">
        <w:rPr>
          <w:color w:val="231F20"/>
          <w:sz w:val="22"/>
          <w:szCs w:val="22"/>
        </w:rPr>
        <w:t>4 May 26 – 3 May 2027;1</w:t>
      </w:r>
      <w:r w:rsidRPr="00DC7D83">
        <w:rPr>
          <w:color w:val="231F20"/>
          <w:sz w:val="22"/>
          <w:szCs w:val="22"/>
        </w:rPr>
        <w:t>5</w:t>
      </w:r>
      <w:r w:rsidRPr="00DC7D83">
        <w:rPr>
          <w:color w:val="231F20"/>
          <w:spacing w:val="-30"/>
          <w:sz w:val="22"/>
          <w:szCs w:val="22"/>
        </w:rPr>
        <w:t xml:space="preserve"> </w:t>
      </w:r>
      <w:r w:rsidRPr="00DC7D83">
        <w:rPr>
          <w:color w:val="231F20"/>
          <w:sz w:val="22"/>
          <w:szCs w:val="22"/>
        </w:rPr>
        <w:t>units</w:t>
      </w:r>
    </w:p>
    <w:p w14:paraId="7587DFDC" w14:textId="623C8DEF" w:rsidR="005F19C0" w:rsidRPr="00DC7D83" w:rsidRDefault="00192A91">
      <w:pPr>
        <w:pStyle w:val="BodyText"/>
        <w:ind w:left="679"/>
        <w:rPr>
          <w:sz w:val="22"/>
          <w:szCs w:val="22"/>
        </w:rPr>
      </w:pPr>
      <w:r w:rsidRPr="00DC7D83">
        <w:rPr>
          <w:color w:val="231F20"/>
          <w:sz w:val="22"/>
          <w:szCs w:val="22"/>
        </w:rPr>
        <w:t xml:space="preserve">Option Year 1:  </w:t>
      </w:r>
      <w:r w:rsidR="00734A93">
        <w:rPr>
          <w:color w:val="231F20"/>
          <w:sz w:val="22"/>
          <w:szCs w:val="22"/>
        </w:rPr>
        <w:t>4 May 27 – 3 May 2028;1</w:t>
      </w:r>
      <w:r w:rsidR="00734A93" w:rsidRPr="00DC7D83">
        <w:rPr>
          <w:color w:val="231F20"/>
          <w:sz w:val="22"/>
          <w:szCs w:val="22"/>
        </w:rPr>
        <w:t>5</w:t>
      </w:r>
      <w:r w:rsidR="00734A93" w:rsidRPr="00DC7D83">
        <w:rPr>
          <w:color w:val="231F20"/>
          <w:spacing w:val="-30"/>
          <w:sz w:val="22"/>
          <w:szCs w:val="22"/>
        </w:rPr>
        <w:t xml:space="preserve"> </w:t>
      </w:r>
      <w:r w:rsidR="00734A93" w:rsidRPr="00DC7D83">
        <w:rPr>
          <w:color w:val="231F20"/>
          <w:sz w:val="22"/>
          <w:szCs w:val="22"/>
        </w:rPr>
        <w:t>units</w:t>
      </w:r>
    </w:p>
    <w:p w14:paraId="78A4035D" w14:textId="3F1DF223" w:rsidR="005F19C0" w:rsidRPr="00DC7D83" w:rsidRDefault="00192A91">
      <w:pPr>
        <w:pStyle w:val="BodyText"/>
        <w:spacing w:before="1"/>
        <w:ind w:left="679"/>
        <w:rPr>
          <w:sz w:val="22"/>
          <w:szCs w:val="22"/>
        </w:rPr>
      </w:pPr>
      <w:r w:rsidRPr="00DC7D83">
        <w:rPr>
          <w:color w:val="231F20"/>
          <w:sz w:val="22"/>
          <w:szCs w:val="22"/>
        </w:rPr>
        <w:t xml:space="preserve">Option Year 2:  </w:t>
      </w:r>
      <w:r w:rsidR="00734A93">
        <w:rPr>
          <w:color w:val="231F20"/>
          <w:sz w:val="22"/>
          <w:szCs w:val="22"/>
        </w:rPr>
        <w:t>4 May 28 – 3 May 2029;1</w:t>
      </w:r>
      <w:r w:rsidR="00734A93" w:rsidRPr="00DC7D83">
        <w:rPr>
          <w:color w:val="231F20"/>
          <w:sz w:val="22"/>
          <w:szCs w:val="22"/>
        </w:rPr>
        <w:t>5</w:t>
      </w:r>
      <w:r w:rsidR="00734A93" w:rsidRPr="00DC7D83">
        <w:rPr>
          <w:color w:val="231F20"/>
          <w:spacing w:val="-30"/>
          <w:sz w:val="22"/>
          <w:szCs w:val="22"/>
        </w:rPr>
        <w:t xml:space="preserve"> </w:t>
      </w:r>
      <w:r w:rsidR="00734A93" w:rsidRPr="00DC7D83">
        <w:rPr>
          <w:color w:val="231F20"/>
          <w:sz w:val="22"/>
          <w:szCs w:val="22"/>
        </w:rPr>
        <w:t>units</w:t>
      </w:r>
    </w:p>
    <w:p w14:paraId="4721FE25" w14:textId="1E1F3F58" w:rsidR="005F19C0" w:rsidRPr="00DC7D83" w:rsidRDefault="00192A91">
      <w:pPr>
        <w:pStyle w:val="BodyText"/>
        <w:ind w:left="679"/>
        <w:rPr>
          <w:sz w:val="22"/>
          <w:szCs w:val="22"/>
        </w:rPr>
      </w:pPr>
      <w:r w:rsidRPr="00DC7D83">
        <w:rPr>
          <w:color w:val="231F20"/>
          <w:sz w:val="22"/>
          <w:szCs w:val="22"/>
        </w:rPr>
        <w:t xml:space="preserve">Option Year 3:  </w:t>
      </w:r>
      <w:r w:rsidR="00734A93">
        <w:rPr>
          <w:color w:val="231F20"/>
          <w:sz w:val="22"/>
          <w:szCs w:val="22"/>
        </w:rPr>
        <w:t>4 May 29 – 3 May 2030;1</w:t>
      </w:r>
      <w:r w:rsidR="00734A93" w:rsidRPr="00DC7D83">
        <w:rPr>
          <w:color w:val="231F20"/>
          <w:sz w:val="22"/>
          <w:szCs w:val="22"/>
        </w:rPr>
        <w:t>5</w:t>
      </w:r>
      <w:r w:rsidR="00734A93" w:rsidRPr="00DC7D83">
        <w:rPr>
          <w:color w:val="231F20"/>
          <w:spacing w:val="-30"/>
          <w:sz w:val="22"/>
          <w:szCs w:val="22"/>
        </w:rPr>
        <w:t xml:space="preserve"> </w:t>
      </w:r>
      <w:r w:rsidR="00734A93" w:rsidRPr="00DC7D83">
        <w:rPr>
          <w:color w:val="231F20"/>
          <w:sz w:val="22"/>
          <w:szCs w:val="22"/>
        </w:rPr>
        <w:t>units</w:t>
      </w:r>
    </w:p>
    <w:p w14:paraId="7E1FB8EA" w14:textId="3CAC9866" w:rsidR="005F19C0" w:rsidRDefault="00192A91">
      <w:pPr>
        <w:pStyle w:val="BodyText"/>
        <w:spacing w:before="1"/>
        <w:ind w:left="679"/>
        <w:rPr>
          <w:sz w:val="22"/>
          <w:szCs w:val="22"/>
        </w:rPr>
      </w:pPr>
      <w:r w:rsidRPr="00DC7D83">
        <w:rPr>
          <w:color w:val="231F20"/>
          <w:sz w:val="22"/>
          <w:szCs w:val="22"/>
        </w:rPr>
        <w:t xml:space="preserve">Option Year 4:  </w:t>
      </w:r>
      <w:r w:rsidR="00734A93">
        <w:rPr>
          <w:color w:val="231F20"/>
          <w:sz w:val="22"/>
          <w:szCs w:val="22"/>
        </w:rPr>
        <w:t>4 May 30 – 3 May 2031;1</w:t>
      </w:r>
      <w:r w:rsidR="00734A93" w:rsidRPr="00DC7D83">
        <w:rPr>
          <w:color w:val="231F20"/>
          <w:sz w:val="22"/>
          <w:szCs w:val="22"/>
        </w:rPr>
        <w:t>5</w:t>
      </w:r>
      <w:r w:rsidR="00734A93" w:rsidRPr="00DC7D83">
        <w:rPr>
          <w:color w:val="231F20"/>
          <w:spacing w:val="-30"/>
          <w:sz w:val="22"/>
          <w:szCs w:val="22"/>
        </w:rPr>
        <w:t xml:space="preserve"> </w:t>
      </w:r>
      <w:r w:rsidR="00734A93" w:rsidRPr="00DC7D83">
        <w:rPr>
          <w:color w:val="231F20"/>
          <w:sz w:val="22"/>
          <w:szCs w:val="22"/>
        </w:rPr>
        <w:t>units</w:t>
      </w:r>
    </w:p>
    <w:p w14:paraId="2205E34B" w14:textId="77777777" w:rsidR="005F19C0" w:rsidRDefault="005F19C0">
      <w:pPr>
        <w:pStyle w:val="BodyText"/>
        <w:spacing w:before="3"/>
        <w:rPr>
          <w:sz w:val="22"/>
          <w:szCs w:val="22"/>
        </w:rPr>
      </w:pPr>
    </w:p>
    <w:p w14:paraId="56ED7881" w14:textId="77777777" w:rsidR="005F19C0" w:rsidRDefault="00192A91">
      <w:pPr>
        <w:pStyle w:val="Heading2"/>
        <w:numPr>
          <w:ilvl w:val="0"/>
          <w:numId w:val="2"/>
        </w:numPr>
        <w:tabs>
          <w:tab w:val="left" w:pos="931"/>
        </w:tabs>
        <w:rPr>
          <w:sz w:val="22"/>
          <w:szCs w:val="22"/>
        </w:rPr>
      </w:pPr>
      <w:r>
        <w:rPr>
          <w:color w:val="231F20"/>
          <w:sz w:val="22"/>
          <w:szCs w:val="22"/>
        </w:rPr>
        <w:t>FEDERAL</w:t>
      </w:r>
      <w:r>
        <w:rPr>
          <w:color w:val="231F20"/>
          <w:spacing w:val="-2"/>
          <w:sz w:val="22"/>
          <w:szCs w:val="22"/>
        </w:rPr>
        <w:t xml:space="preserve"> </w:t>
      </w:r>
      <w:r>
        <w:rPr>
          <w:color w:val="231F20"/>
          <w:sz w:val="22"/>
          <w:szCs w:val="22"/>
        </w:rPr>
        <w:t>HOLIDAYS</w:t>
      </w:r>
    </w:p>
    <w:p w14:paraId="6F34D8E8" w14:textId="77777777" w:rsidR="005F19C0" w:rsidRDefault="005F19C0">
      <w:pPr>
        <w:pStyle w:val="BodyText"/>
        <w:spacing w:before="8"/>
        <w:rPr>
          <w:b/>
          <w:sz w:val="22"/>
          <w:szCs w:val="22"/>
        </w:rPr>
      </w:pPr>
    </w:p>
    <w:p w14:paraId="597239A3" w14:textId="77777777" w:rsidR="005F19C0" w:rsidRDefault="00192A91">
      <w:pPr>
        <w:pStyle w:val="BodyText"/>
        <w:ind w:left="679" w:right="780"/>
        <w:rPr>
          <w:sz w:val="22"/>
          <w:szCs w:val="22"/>
        </w:rPr>
      </w:pPr>
      <w:r>
        <w:rPr>
          <w:color w:val="231F20"/>
          <w:sz w:val="22"/>
          <w:szCs w:val="22"/>
        </w:rPr>
        <w:t>The following Federal holidays are observed and no work or deliveries shall occur on the dates specified. Any of the</w:t>
      </w:r>
      <w:r>
        <w:rPr>
          <w:color w:val="231F20"/>
          <w:spacing w:val="-2"/>
          <w:sz w:val="22"/>
          <w:szCs w:val="22"/>
        </w:rPr>
        <w:t xml:space="preserve"> </w:t>
      </w:r>
      <w:r>
        <w:rPr>
          <w:color w:val="231F20"/>
          <w:sz w:val="22"/>
          <w:szCs w:val="22"/>
        </w:rPr>
        <w:t>below</w:t>
      </w:r>
      <w:r>
        <w:rPr>
          <w:color w:val="231F20"/>
          <w:spacing w:val="-4"/>
          <w:sz w:val="22"/>
          <w:szCs w:val="22"/>
        </w:rPr>
        <w:t xml:space="preserve"> </w:t>
      </w:r>
      <w:r>
        <w:rPr>
          <w:color w:val="231F20"/>
          <w:sz w:val="22"/>
          <w:szCs w:val="22"/>
        </w:rPr>
        <w:t>holidays</w:t>
      </w:r>
      <w:r>
        <w:rPr>
          <w:color w:val="231F20"/>
          <w:spacing w:val="-3"/>
          <w:sz w:val="22"/>
          <w:szCs w:val="22"/>
        </w:rPr>
        <w:t xml:space="preserve"> </w:t>
      </w:r>
      <w:r>
        <w:rPr>
          <w:color w:val="231F20"/>
          <w:sz w:val="22"/>
          <w:szCs w:val="22"/>
        </w:rPr>
        <w:t>falling</w:t>
      </w:r>
      <w:r>
        <w:rPr>
          <w:color w:val="231F20"/>
          <w:spacing w:val="-2"/>
          <w:sz w:val="22"/>
          <w:szCs w:val="22"/>
        </w:rPr>
        <w:t xml:space="preserve"> </w:t>
      </w:r>
      <w:r>
        <w:rPr>
          <w:color w:val="231F20"/>
          <w:sz w:val="22"/>
          <w:szCs w:val="22"/>
        </w:rPr>
        <w:t>on</w:t>
      </w:r>
      <w:r>
        <w:rPr>
          <w:color w:val="231F20"/>
          <w:spacing w:val="-1"/>
          <w:sz w:val="22"/>
          <w:szCs w:val="22"/>
        </w:rPr>
        <w:t xml:space="preserve"> </w:t>
      </w:r>
      <w:r>
        <w:rPr>
          <w:color w:val="231F20"/>
          <w:sz w:val="22"/>
          <w:szCs w:val="22"/>
        </w:rPr>
        <w:t>a</w:t>
      </w:r>
      <w:r>
        <w:rPr>
          <w:color w:val="231F20"/>
          <w:spacing w:val="-2"/>
          <w:sz w:val="22"/>
          <w:szCs w:val="22"/>
        </w:rPr>
        <w:t xml:space="preserve"> </w:t>
      </w:r>
      <w:r>
        <w:rPr>
          <w:color w:val="231F20"/>
          <w:sz w:val="22"/>
          <w:szCs w:val="22"/>
        </w:rPr>
        <w:t>Saturday</w:t>
      </w:r>
      <w:r>
        <w:rPr>
          <w:color w:val="231F20"/>
          <w:spacing w:val="-3"/>
          <w:sz w:val="22"/>
          <w:szCs w:val="22"/>
        </w:rPr>
        <w:t xml:space="preserve"> </w:t>
      </w:r>
      <w:r>
        <w:rPr>
          <w:color w:val="231F20"/>
          <w:sz w:val="22"/>
          <w:szCs w:val="22"/>
        </w:rPr>
        <w:t>will</w:t>
      </w:r>
      <w:r>
        <w:rPr>
          <w:color w:val="231F20"/>
          <w:spacing w:val="-2"/>
          <w:sz w:val="22"/>
          <w:szCs w:val="22"/>
        </w:rPr>
        <w:t xml:space="preserve"> </w:t>
      </w:r>
      <w:r>
        <w:rPr>
          <w:color w:val="231F20"/>
          <w:sz w:val="22"/>
          <w:szCs w:val="22"/>
        </w:rPr>
        <w:t>be</w:t>
      </w:r>
      <w:r>
        <w:rPr>
          <w:color w:val="231F20"/>
          <w:spacing w:val="-2"/>
          <w:sz w:val="22"/>
          <w:szCs w:val="22"/>
        </w:rPr>
        <w:t xml:space="preserve"> </w:t>
      </w:r>
      <w:r>
        <w:rPr>
          <w:color w:val="231F20"/>
          <w:sz w:val="22"/>
          <w:szCs w:val="22"/>
        </w:rPr>
        <w:t>observed</w:t>
      </w:r>
      <w:r>
        <w:rPr>
          <w:color w:val="231F20"/>
          <w:spacing w:val="-1"/>
          <w:sz w:val="22"/>
          <w:szCs w:val="22"/>
        </w:rPr>
        <w:t xml:space="preserve"> </w:t>
      </w:r>
      <w:r>
        <w:rPr>
          <w:color w:val="231F20"/>
          <w:sz w:val="22"/>
          <w:szCs w:val="22"/>
        </w:rPr>
        <w:t>on</w:t>
      </w:r>
      <w:r>
        <w:rPr>
          <w:color w:val="231F20"/>
          <w:spacing w:val="-3"/>
          <w:sz w:val="22"/>
          <w:szCs w:val="22"/>
        </w:rPr>
        <w:t xml:space="preserve"> </w:t>
      </w:r>
      <w:r>
        <w:rPr>
          <w:color w:val="231F20"/>
          <w:sz w:val="22"/>
          <w:szCs w:val="22"/>
        </w:rPr>
        <w:t>the</w:t>
      </w:r>
      <w:r>
        <w:rPr>
          <w:color w:val="231F20"/>
          <w:spacing w:val="-2"/>
          <w:sz w:val="22"/>
          <w:szCs w:val="22"/>
        </w:rPr>
        <w:t xml:space="preserve"> </w:t>
      </w:r>
      <w:r>
        <w:rPr>
          <w:color w:val="231F20"/>
          <w:sz w:val="22"/>
          <w:szCs w:val="22"/>
        </w:rPr>
        <w:t>preceding</w:t>
      </w:r>
      <w:r>
        <w:rPr>
          <w:color w:val="231F20"/>
          <w:spacing w:val="-3"/>
          <w:sz w:val="22"/>
          <w:szCs w:val="22"/>
        </w:rPr>
        <w:t xml:space="preserve"> </w:t>
      </w:r>
      <w:r>
        <w:rPr>
          <w:color w:val="231F20"/>
          <w:sz w:val="22"/>
          <w:szCs w:val="22"/>
        </w:rPr>
        <w:t>Friday; holidays falling</w:t>
      </w:r>
      <w:r>
        <w:rPr>
          <w:color w:val="231F20"/>
          <w:spacing w:val="-2"/>
          <w:sz w:val="22"/>
          <w:szCs w:val="22"/>
        </w:rPr>
        <w:t xml:space="preserve"> </w:t>
      </w:r>
      <w:r>
        <w:rPr>
          <w:color w:val="231F20"/>
          <w:sz w:val="22"/>
          <w:szCs w:val="22"/>
        </w:rPr>
        <w:t>on</w:t>
      </w:r>
      <w:r>
        <w:rPr>
          <w:color w:val="231F20"/>
          <w:spacing w:val="-4"/>
          <w:sz w:val="22"/>
          <w:szCs w:val="22"/>
        </w:rPr>
        <w:t xml:space="preserve"> </w:t>
      </w:r>
      <w:r>
        <w:rPr>
          <w:color w:val="231F20"/>
          <w:sz w:val="22"/>
          <w:szCs w:val="22"/>
        </w:rPr>
        <w:t>a</w:t>
      </w:r>
      <w:r>
        <w:rPr>
          <w:color w:val="231F20"/>
          <w:spacing w:val="-3"/>
          <w:sz w:val="22"/>
          <w:szCs w:val="22"/>
        </w:rPr>
        <w:t xml:space="preserve"> </w:t>
      </w:r>
      <w:r>
        <w:rPr>
          <w:color w:val="231F20"/>
          <w:sz w:val="22"/>
          <w:szCs w:val="22"/>
        </w:rPr>
        <w:t>Sunday</w:t>
      </w:r>
      <w:r>
        <w:rPr>
          <w:color w:val="231F20"/>
          <w:spacing w:val="-2"/>
          <w:sz w:val="22"/>
          <w:szCs w:val="22"/>
        </w:rPr>
        <w:t xml:space="preserve"> </w:t>
      </w:r>
      <w:r>
        <w:rPr>
          <w:color w:val="231F20"/>
          <w:sz w:val="22"/>
          <w:szCs w:val="22"/>
        </w:rPr>
        <w:t>will be observed on the following</w:t>
      </w:r>
      <w:r>
        <w:rPr>
          <w:color w:val="231F20"/>
          <w:spacing w:val="2"/>
          <w:sz w:val="22"/>
          <w:szCs w:val="22"/>
        </w:rPr>
        <w:t xml:space="preserve"> </w:t>
      </w:r>
      <w:r>
        <w:rPr>
          <w:color w:val="231F20"/>
          <w:sz w:val="22"/>
          <w:szCs w:val="22"/>
        </w:rPr>
        <w:t>Monday.</w:t>
      </w:r>
    </w:p>
    <w:p w14:paraId="0E19F7B6" w14:textId="77777777" w:rsidR="005F19C0" w:rsidRDefault="005F19C0">
      <w:pPr>
        <w:pStyle w:val="BodyText"/>
        <w:spacing w:before="11"/>
        <w:rPr>
          <w:sz w:val="22"/>
          <w:szCs w:val="22"/>
        </w:rPr>
      </w:pPr>
    </w:p>
    <w:p w14:paraId="1540BE43" w14:textId="77777777" w:rsidR="005F19C0" w:rsidRDefault="00192A91">
      <w:pPr>
        <w:pStyle w:val="ListParagraph"/>
        <w:numPr>
          <w:ilvl w:val="0"/>
          <w:numId w:val="1"/>
        </w:numPr>
        <w:tabs>
          <w:tab w:val="left" w:pos="1399"/>
          <w:tab w:val="left" w:pos="1400"/>
        </w:tabs>
        <w:ind w:hanging="360"/>
      </w:pPr>
      <w:r>
        <w:rPr>
          <w:color w:val="231F20"/>
        </w:rPr>
        <w:t>New Year’s Day, 1</w:t>
      </w:r>
      <w:r>
        <w:rPr>
          <w:color w:val="231F20"/>
          <w:spacing w:val="-7"/>
        </w:rPr>
        <w:t xml:space="preserve"> </w:t>
      </w:r>
      <w:r>
        <w:rPr>
          <w:color w:val="231F20"/>
        </w:rPr>
        <w:t>January</w:t>
      </w:r>
    </w:p>
    <w:p w14:paraId="6FCFCC34" w14:textId="77777777" w:rsidR="005F19C0" w:rsidRDefault="00192A91">
      <w:pPr>
        <w:pStyle w:val="ListParagraph"/>
        <w:numPr>
          <w:ilvl w:val="0"/>
          <w:numId w:val="1"/>
        </w:numPr>
        <w:tabs>
          <w:tab w:val="left" w:pos="1398"/>
          <w:tab w:val="left" w:pos="1399"/>
        </w:tabs>
        <w:ind w:left="1398" w:hanging="360"/>
      </w:pPr>
      <w:r>
        <w:rPr>
          <w:color w:val="231F20"/>
        </w:rPr>
        <w:t>Martin Luther King’s Birthday, 3rd Monday in</w:t>
      </w:r>
      <w:r>
        <w:rPr>
          <w:color w:val="231F20"/>
          <w:spacing w:val="-4"/>
        </w:rPr>
        <w:t xml:space="preserve"> </w:t>
      </w:r>
      <w:r>
        <w:rPr>
          <w:color w:val="231F20"/>
        </w:rPr>
        <w:t>January</w:t>
      </w:r>
    </w:p>
    <w:p w14:paraId="11D9EC1E" w14:textId="77777777" w:rsidR="005F19C0" w:rsidRDefault="00192A91">
      <w:pPr>
        <w:pStyle w:val="ListParagraph"/>
        <w:numPr>
          <w:ilvl w:val="0"/>
          <w:numId w:val="1"/>
        </w:numPr>
        <w:tabs>
          <w:tab w:val="left" w:pos="1398"/>
          <w:tab w:val="left" w:pos="1400"/>
        </w:tabs>
        <w:spacing w:before="1"/>
      </w:pPr>
      <w:r>
        <w:rPr>
          <w:color w:val="231F20"/>
        </w:rPr>
        <w:t>President’s Day, 3rd Monday in</w:t>
      </w:r>
      <w:r>
        <w:rPr>
          <w:color w:val="231F20"/>
          <w:spacing w:val="-4"/>
        </w:rPr>
        <w:t xml:space="preserve"> </w:t>
      </w:r>
      <w:r>
        <w:rPr>
          <w:color w:val="231F20"/>
        </w:rPr>
        <w:t>February</w:t>
      </w:r>
    </w:p>
    <w:p w14:paraId="7043ECDF" w14:textId="77777777" w:rsidR="005F19C0" w:rsidRPr="0044012F" w:rsidRDefault="00192A91">
      <w:pPr>
        <w:pStyle w:val="ListParagraph"/>
        <w:numPr>
          <w:ilvl w:val="0"/>
          <w:numId w:val="1"/>
        </w:numPr>
        <w:tabs>
          <w:tab w:val="left" w:pos="1398"/>
          <w:tab w:val="left" w:pos="1399"/>
        </w:tabs>
        <w:spacing w:line="229" w:lineRule="exact"/>
        <w:ind w:left="1398" w:hanging="360"/>
      </w:pPr>
      <w:r>
        <w:rPr>
          <w:color w:val="231F20"/>
        </w:rPr>
        <w:t>Memorial Day, last Monday in</w:t>
      </w:r>
      <w:r>
        <w:rPr>
          <w:color w:val="231F20"/>
          <w:spacing w:val="-6"/>
        </w:rPr>
        <w:t xml:space="preserve"> </w:t>
      </w:r>
      <w:r>
        <w:rPr>
          <w:color w:val="231F20"/>
        </w:rPr>
        <w:t>May</w:t>
      </w:r>
    </w:p>
    <w:p w14:paraId="78E32D21" w14:textId="77777777" w:rsidR="0044012F" w:rsidRPr="00A77F85" w:rsidRDefault="0044012F">
      <w:pPr>
        <w:pStyle w:val="ListParagraph"/>
        <w:numPr>
          <w:ilvl w:val="0"/>
          <w:numId w:val="1"/>
        </w:numPr>
        <w:tabs>
          <w:tab w:val="left" w:pos="1398"/>
          <w:tab w:val="left" w:pos="1399"/>
        </w:tabs>
        <w:spacing w:line="229" w:lineRule="exact"/>
        <w:ind w:left="1398" w:hanging="360"/>
      </w:pPr>
      <w:r w:rsidRPr="00A77F85">
        <w:rPr>
          <w:color w:val="231F20"/>
        </w:rPr>
        <w:t>Juneteenth, 18 June</w:t>
      </w:r>
    </w:p>
    <w:p w14:paraId="3E475096" w14:textId="77777777" w:rsidR="005F19C0" w:rsidRDefault="00192A91">
      <w:pPr>
        <w:pStyle w:val="ListParagraph"/>
        <w:numPr>
          <w:ilvl w:val="0"/>
          <w:numId w:val="1"/>
        </w:numPr>
        <w:tabs>
          <w:tab w:val="left" w:pos="1399"/>
          <w:tab w:val="left" w:pos="1400"/>
        </w:tabs>
        <w:spacing w:line="229" w:lineRule="exact"/>
      </w:pPr>
      <w:r>
        <w:rPr>
          <w:color w:val="231F20"/>
        </w:rPr>
        <w:t>Independence Day, 4</w:t>
      </w:r>
      <w:r>
        <w:rPr>
          <w:color w:val="231F20"/>
          <w:spacing w:val="2"/>
        </w:rPr>
        <w:t xml:space="preserve"> </w:t>
      </w:r>
      <w:r>
        <w:rPr>
          <w:color w:val="231F20"/>
        </w:rPr>
        <w:t>July</w:t>
      </w:r>
    </w:p>
    <w:p w14:paraId="50EB5F3C" w14:textId="77777777" w:rsidR="005F19C0" w:rsidRDefault="00192A91">
      <w:pPr>
        <w:pStyle w:val="ListParagraph"/>
        <w:numPr>
          <w:ilvl w:val="0"/>
          <w:numId w:val="1"/>
        </w:numPr>
        <w:tabs>
          <w:tab w:val="left" w:pos="1398"/>
          <w:tab w:val="left" w:pos="1399"/>
        </w:tabs>
        <w:spacing w:before="1"/>
        <w:ind w:left="1398" w:hanging="360"/>
      </w:pPr>
      <w:r>
        <w:rPr>
          <w:color w:val="231F20"/>
        </w:rPr>
        <w:t>Labor Day, 1st Monday in</w:t>
      </w:r>
      <w:r>
        <w:rPr>
          <w:color w:val="231F20"/>
          <w:spacing w:val="-4"/>
        </w:rPr>
        <w:t xml:space="preserve"> </w:t>
      </w:r>
      <w:r>
        <w:rPr>
          <w:color w:val="231F20"/>
        </w:rPr>
        <w:t>September</w:t>
      </w:r>
    </w:p>
    <w:p w14:paraId="70B16B58" w14:textId="77777777" w:rsidR="005F19C0" w:rsidRDefault="00192A91">
      <w:pPr>
        <w:pStyle w:val="ListParagraph"/>
        <w:numPr>
          <w:ilvl w:val="0"/>
          <w:numId w:val="1"/>
        </w:numPr>
        <w:tabs>
          <w:tab w:val="left" w:pos="1398"/>
          <w:tab w:val="left" w:pos="1399"/>
        </w:tabs>
        <w:ind w:left="1398" w:hanging="360"/>
      </w:pPr>
      <w:r>
        <w:rPr>
          <w:color w:val="231F20"/>
        </w:rPr>
        <w:t>Columbus Day, 2nd Monday in</w:t>
      </w:r>
      <w:r>
        <w:rPr>
          <w:color w:val="231F20"/>
          <w:spacing w:val="-2"/>
        </w:rPr>
        <w:t xml:space="preserve"> </w:t>
      </w:r>
      <w:r>
        <w:rPr>
          <w:color w:val="231F20"/>
        </w:rPr>
        <w:t>October</w:t>
      </w:r>
    </w:p>
    <w:p w14:paraId="616FF40C" w14:textId="77777777" w:rsidR="005F19C0" w:rsidRDefault="00192A91">
      <w:pPr>
        <w:pStyle w:val="ListParagraph"/>
        <w:numPr>
          <w:ilvl w:val="0"/>
          <w:numId w:val="1"/>
        </w:numPr>
        <w:tabs>
          <w:tab w:val="left" w:pos="1398"/>
          <w:tab w:val="left" w:pos="1399"/>
        </w:tabs>
        <w:spacing w:before="1"/>
        <w:ind w:left="1398" w:hanging="360"/>
      </w:pPr>
      <w:r>
        <w:rPr>
          <w:color w:val="231F20"/>
        </w:rPr>
        <w:t>Veteran’s Day, 11 November</w:t>
      </w:r>
    </w:p>
    <w:p w14:paraId="1EF24B8D" w14:textId="77777777" w:rsidR="005F19C0" w:rsidRDefault="00192A91">
      <w:pPr>
        <w:pStyle w:val="ListParagraph"/>
        <w:numPr>
          <w:ilvl w:val="0"/>
          <w:numId w:val="1"/>
        </w:numPr>
        <w:tabs>
          <w:tab w:val="left" w:pos="1398"/>
          <w:tab w:val="left" w:pos="1399"/>
        </w:tabs>
        <w:ind w:left="1398" w:hanging="360"/>
      </w:pPr>
      <w:r>
        <w:rPr>
          <w:color w:val="231F20"/>
        </w:rPr>
        <w:t>Thanksgiving Day, 4th Thursday in</w:t>
      </w:r>
      <w:r>
        <w:rPr>
          <w:color w:val="231F20"/>
          <w:spacing w:val="-7"/>
        </w:rPr>
        <w:t xml:space="preserve"> </w:t>
      </w:r>
      <w:r>
        <w:rPr>
          <w:color w:val="231F20"/>
        </w:rPr>
        <w:t>November</w:t>
      </w:r>
    </w:p>
    <w:p w14:paraId="504915DF" w14:textId="77777777" w:rsidR="005F19C0" w:rsidRDefault="00192A91">
      <w:pPr>
        <w:pStyle w:val="ListParagraph"/>
        <w:numPr>
          <w:ilvl w:val="0"/>
          <w:numId w:val="1"/>
        </w:numPr>
        <w:tabs>
          <w:tab w:val="left" w:pos="1398"/>
          <w:tab w:val="left" w:pos="1399"/>
        </w:tabs>
        <w:spacing w:before="1"/>
        <w:ind w:left="1398" w:hanging="360"/>
      </w:pPr>
      <w:r>
        <w:rPr>
          <w:color w:val="231F20"/>
        </w:rPr>
        <w:t>Christmas Day, 25 December</w:t>
      </w:r>
      <w:r>
        <w:rPr>
          <w:color w:val="231F20"/>
        </w:rPr>
        <w:br/>
      </w:r>
    </w:p>
    <w:p w14:paraId="1ED8E7F3" w14:textId="77777777" w:rsidR="005F19C0" w:rsidRDefault="00192A91">
      <w:pPr>
        <w:pStyle w:val="Heading2"/>
        <w:numPr>
          <w:ilvl w:val="0"/>
          <w:numId w:val="2"/>
        </w:numPr>
        <w:tabs>
          <w:tab w:val="left" w:pos="931"/>
        </w:tabs>
        <w:rPr>
          <w:color w:val="231F20"/>
          <w:sz w:val="22"/>
          <w:szCs w:val="22"/>
        </w:rPr>
      </w:pPr>
      <w:r>
        <w:rPr>
          <w:color w:val="231F20"/>
          <w:sz w:val="22"/>
          <w:szCs w:val="22"/>
        </w:rPr>
        <w:t>REFERENCES</w:t>
      </w:r>
    </w:p>
    <w:p w14:paraId="02472A40" w14:textId="77777777" w:rsidR="005F19C0" w:rsidRDefault="00192A91">
      <w:pPr>
        <w:pStyle w:val="C-BodyText"/>
        <w:ind w:left="720"/>
      </w:pPr>
      <w:r>
        <w:rPr>
          <w:sz w:val="22"/>
          <w:szCs w:val="22"/>
        </w:rPr>
        <w:t xml:space="preserve">FDA Guidance for Industry – “Providing Regulatory Submissions in Electronic Format — Certain Human Pharmaceutical Product Applications and Related Submissions Using the eCTD Specifications.” Revision 7. February 2020. </w:t>
      </w:r>
      <w:hyperlink r:id="rId9" w:history="1">
        <w:r>
          <w:rPr>
            <w:rStyle w:val="Hyperlink"/>
            <w:sz w:val="22"/>
            <w:szCs w:val="22"/>
          </w:rPr>
          <w:t>https://www.fda.gov/regulatory-information/search-fda-guidance-documents/providing-regulatory-submissions-electronic-format-certain-human-pharmaceutical-product-applications-0</w:t>
        </w:r>
      </w:hyperlink>
      <w:r>
        <w:t>.</w:t>
      </w:r>
    </w:p>
    <w:p w14:paraId="7F2C8BF9" w14:textId="77777777" w:rsidR="005F19C0" w:rsidRDefault="005F19C0">
      <w:pPr>
        <w:pStyle w:val="Heading2"/>
        <w:tabs>
          <w:tab w:val="left" w:pos="931"/>
        </w:tabs>
        <w:rPr>
          <w:b w:val="0"/>
          <w:color w:val="231F20"/>
          <w:sz w:val="22"/>
          <w:szCs w:val="22"/>
        </w:rPr>
      </w:pPr>
    </w:p>
    <w:sectPr w:rsidR="005F1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5D2B8" w14:textId="77777777" w:rsidR="00D867F8" w:rsidRDefault="00D867F8">
      <w:r>
        <w:separator/>
      </w:r>
    </w:p>
  </w:endnote>
  <w:endnote w:type="continuationSeparator" w:id="0">
    <w:p w14:paraId="5C32ADE7" w14:textId="77777777" w:rsidR="00D867F8" w:rsidRDefault="00D86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3DB7" w14:textId="39CFF629" w:rsidR="005F19C0" w:rsidRDefault="00192A91">
    <w:pPr>
      <w:pStyle w:val="Footer"/>
    </w:pPr>
    <w:proofErr w:type="spellStart"/>
    <w:r>
      <w:t>SoN</w:t>
    </w:r>
    <w:proofErr w:type="spellEnd"/>
    <w:r>
      <w:t xml:space="preserve"> </w:t>
    </w:r>
    <w:r w:rsidR="00734A93">
      <w:t>30 March 2026</w:t>
    </w:r>
    <w:r>
      <w:tab/>
      <w:t xml:space="preserve">Page </w:t>
    </w:r>
    <w:r>
      <w:fldChar w:fldCharType="begin"/>
    </w:r>
    <w:r>
      <w:instrText xml:space="preserve"> PAGE   \* MERGEFORMAT </w:instrText>
    </w:r>
    <w:r>
      <w:fldChar w:fldCharType="separate"/>
    </w:r>
    <w:r w:rsidR="00DC7D83">
      <w:rPr>
        <w:noProof/>
      </w:rPr>
      <w:t>1</w:t>
    </w:r>
    <w:r>
      <w:fldChar w:fldCharType="end"/>
    </w:r>
    <w:r>
      <w:t xml:space="preserve"> of </w:t>
    </w:r>
    <w:fldSimple w:instr=" NUMPAGES   \* MERGEFORMAT ">
      <w:r w:rsidR="00DC7D83">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A5115" w14:textId="77777777" w:rsidR="00D867F8" w:rsidRDefault="00D867F8">
      <w:r>
        <w:separator/>
      </w:r>
    </w:p>
  </w:footnote>
  <w:footnote w:type="continuationSeparator" w:id="0">
    <w:p w14:paraId="2F03E50E" w14:textId="77777777" w:rsidR="00D867F8" w:rsidRDefault="00D86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941"/>
    <w:multiLevelType w:val="multilevel"/>
    <w:tmpl w:val="C13803A8"/>
    <w:lvl w:ilvl="0">
      <w:start w:val="4"/>
      <w:numFmt w:val="decimal"/>
      <w:lvlText w:val="%1."/>
      <w:lvlJc w:val="left"/>
      <w:pPr>
        <w:ind w:left="930" w:hanging="251"/>
      </w:pPr>
      <w:rPr>
        <w:rFonts w:ascii="Times New Roman" w:eastAsia="Times New Roman" w:hAnsi="Times New Roman" w:cs="Times New Roman" w:hint="default"/>
        <w:b/>
        <w:bCs/>
        <w:color w:val="231F20"/>
        <w:w w:val="99"/>
        <w:sz w:val="20"/>
        <w:szCs w:val="20"/>
      </w:rPr>
    </w:lvl>
    <w:lvl w:ilvl="1">
      <w:start w:val="1"/>
      <w:numFmt w:val="decimal"/>
      <w:lvlText w:val="%1.%2."/>
      <w:lvlJc w:val="left"/>
      <w:pPr>
        <w:ind w:left="680" w:hanging="400"/>
      </w:pPr>
      <w:rPr>
        <w:rFonts w:ascii="Times New Roman" w:eastAsia="Times New Roman" w:hAnsi="Times New Roman" w:cs="Times New Roman" w:hint="default"/>
        <w:color w:val="231F20"/>
        <w:spacing w:val="0"/>
        <w:w w:val="99"/>
        <w:sz w:val="20"/>
        <w:szCs w:val="20"/>
      </w:rPr>
    </w:lvl>
    <w:lvl w:ilvl="2">
      <w:numFmt w:val="bullet"/>
      <w:lvlText w:val="•"/>
      <w:lvlJc w:val="left"/>
      <w:pPr>
        <w:ind w:left="2031" w:hanging="400"/>
      </w:pPr>
      <w:rPr>
        <w:rFonts w:hint="default"/>
      </w:rPr>
    </w:lvl>
    <w:lvl w:ilvl="3">
      <w:numFmt w:val="bullet"/>
      <w:lvlText w:val="•"/>
      <w:lvlJc w:val="left"/>
      <w:pPr>
        <w:ind w:left="3122" w:hanging="400"/>
      </w:pPr>
      <w:rPr>
        <w:rFonts w:hint="default"/>
      </w:rPr>
    </w:lvl>
    <w:lvl w:ilvl="4">
      <w:numFmt w:val="bullet"/>
      <w:lvlText w:val="•"/>
      <w:lvlJc w:val="left"/>
      <w:pPr>
        <w:ind w:left="4213" w:hanging="400"/>
      </w:pPr>
      <w:rPr>
        <w:rFonts w:hint="default"/>
      </w:rPr>
    </w:lvl>
    <w:lvl w:ilvl="5">
      <w:numFmt w:val="bullet"/>
      <w:lvlText w:val="•"/>
      <w:lvlJc w:val="left"/>
      <w:pPr>
        <w:ind w:left="5304" w:hanging="400"/>
      </w:pPr>
      <w:rPr>
        <w:rFonts w:hint="default"/>
      </w:rPr>
    </w:lvl>
    <w:lvl w:ilvl="6">
      <w:numFmt w:val="bullet"/>
      <w:lvlText w:val="•"/>
      <w:lvlJc w:val="left"/>
      <w:pPr>
        <w:ind w:left="6395" w:hanging="400"/>
      </w:pPr>
      <w:rPr>
        <w:rFonts w:hint="default"/>
      </w:rPr>
    </w:lvl>
    <w:lvl w:ilvl="7">
      <w:numFmt w:val="bullet"/>
      <w:lvlText w:val="•"/>
      <w:lvlJc w:val="left"/>
      <w:pPr>
        <w:ind w:left="7486" w:hanging="400"/>
      </w:pPr>
      <w:rPr>
        <w:rFonts w:hint="default"/>
      </w:rPr>
    </w:lvl>
    <w:lvl w:ilvl="8">
      <w:numFmt w:val="bullet"/>
      <w:lvlText w:val="•"/>
      <w:lvlJc w:val="left"/>
      <w:pPr>
        <w:ind w:left="8577" w:hanging="400"/>
      </w:pPr>
      <w:rPr>
        <w:rFonts w:hint="default"/>
      </w:rPr>
    </w:lvl>
  </w:abstractNum>
  <w:abstractNum w:abstractNumId="1" w15:restartNumberingAfterBreak="0">
    <w:nsid w:val="111B6271"/>
    <w:multiLevelType w:val="hybridMultilevel"/>
    <w:tmpl w:val="9A8ED8C4"/>
    <w:lvl w:ilvl="0" w:tplc="52EA56EA">
      <w:start w:val="1"/>
      <w:numFmt w:val="decimal"/>
      <w:lvlText w:val="%1."/>
      <w:lvlJc w:val="left"/>
      <w:pPr>
        <w:ind w:left="1399" w:hanging="360"/>
      </w:pPr>
      <w:rPr>
        <w:rFonts w:ascii="Times New Roman" w:eastAsia="Times New Roman" w:hAnsi="Times New Roman" w:cs="Times New Roman" w:hint="default"/>
        <w:color w:val="231F20"/>
        <w:spacing w:val="0"/>
        <w:w w:val="99"/>
        <w:sz w:val="20"/>
        <w:szCs w:val="20"/>
      </w:rPr>
    </w:lvl>
    <w:lvl w:ilvl="1" w:tplc="AF4A24B4">
      <w:numFmt w:val="bullet"/>
      <w:lvlText w:val="•"/>
      <w:lvlJc w:val="left"/>
      <w:pPr>
        <w:ind w:left="2336" w:hanging="360"/>
      </w:pPr>
      <w:rPr>
        <w:rFonts w:hint="default"/>
      </w:rPr>
    </w:lvl>
    <w:lvl w:ilvl="2" w:tplc="9386E810">
      <w:numFmt w:val="bullet"/>
      <w:lvlText w:val="•"/>
      <w:lvlJc w:val="left"/>
      <w:pPr>
        <w:ind w:left="3272" w:hanging="360"/>
      </w:pPr>
      <w:rPr>
        <w:rFonts w:hint="default"/>
      </w:rPr>
    </w:lvl>
    <w:lvl w:ilvl="3" w:tplc="6414D72C">
      <w:numFmt w:val="bullet"/>
      <w:lvlText w:val="•"/>
      <w:lvlJc w:val="left"/>
      <w:pPr>
        <w:ind w:left="4208" w:hanging="360"/>
      </w:pPr>
      <w:rPr>
        <w:rFonts w:hint="default"/>
      </w:rPr>
    </w:lvl>
    <w:lvl w:ilvl="4" w:tplc="387C5432">
      <w:numFmt w:val="bullet"/>
      <w:lvlText w:val="•"/>
      <w:lvlJc w:val="left"/>
      <w:pPr>
        <w:ind w:left="5144" w:hanging="360"/>
      </w:pPr>
      <w:rPr>
        <w:rFonts w:hint="default"/>
      </w:rPr>
    </w:lvl>
    <w:lvl w:ilvl="5" w:tplc="7910D2A0">
      <w:numFmt w:val="bullet"/>
      <w:lvlText w:val="•"/>
      <w:lvlJc w:val="left"/>
      <w:pPr>
        <w:ind w:left="6080" w:hanging="360"/>
      </w:pPr>
      <w:rPr>
        <w:rFonts w:hint="default"/>
      </w:rPr>
    </w:lvl>
    <w:lvl w:ilvl="6" w:tplc="BBC620F2">
      <w:numFmt w:val="bullet"/>
      <w:lvlText w:val="•"/>
      <w:lvlJc w:val="left"/>
      <w:pPr>
        <w:ind w:left="7016" w:hanging="360"/>
      </w:pPr>
      <w:rPr>
        <w:rFonts w:hint="default"/>
      </w:rPr>
    </w:lvl>
    <w:lvl w:ilvl="7" w:tplc="473C1CC8">
      <w:numFmt w:val="bullet"/>
      <w:lvlText w:val="•"/>
      <w:lvlJc w:val="left"/>
      <w:pPr>
        <w:ind w:left="7952" w:hanging="360"/>
      </w:pPr>
      <w:rPr>
        <w:rFonts w:hint="default"/>
      </w:rPr>
    </w:lvl>
    <w:lvl w:ilvl="8" w:tplc="817A865C">
      <w:numFmt w:val="bullet"/>
      <w:lvlText w:val="•"/>
      <w:lvlJc w:val="left"/>
      <w:pPr>
        <w:ind w:left="8888" w:hanging="360"/>
      </w:pPr>
      <w:rPr>
        <w:rFonts w:hint="default"/>
      </w:rPr>
    </w:lvl>
  </w:abstractNum>
  <w:abstractNum w:abstractNumId="2" w15:restartNumberingAfterBreak="0">
    <w:nsid w:val="46C94672"/>
    <w:multiLevelType w:val="hybridMultilevel"/>
    <w:tmpl w:val="9BBE559C"/>
    <w:lvl w:ilvl="0" w:tplc="A516A4CC">
      <w:start w:val="1"/>
      <w:numFmt w:val="decimal"/>
      <w:lvlText w:val="%1."/>
      <w:lvlJc w:val="left"/>
      <w:pPr>
        <w:ind w:left="1399" w:hanging="360"/>
      </w:pPr>
      <w:rPr>
        <w:rFonts w:ascii="Times New Roman" w:eastAsia="Times New Roman" w:hAnsi="Times New Roman" w:cs="Times New Roman" w:hint="default"/>
        <w:color w:val="231F20"/>
        <w:spacing w:val="0"/>
        <w:w w:val="99"/>
        <w:sz w:val="20"/>
        <w:szCs w:val="20"/>
      </w:rPr>
    </w:lvl>
    <w:lvl w:ilvl="1" w:tplc="B05A111A">
      <w:numFmt w:val="bullet"/>
      <w:lvlText w:val="•"/>
      <w:lvlJc w:val="left"/>
      <w:pPr>
        <w:ind w:left="2336" w:hanging="360"/>
      </w:pPr>
      <w:rPr>
        <w:rFonts w:hint="default"/>
      </w:rPr>
    </w:lvl>
    <w:lvl w:ilvl="2" w:tplc="5E8EF374">
      <w:numFmt w:val="bullet"/>
      <w:lvlText w:val="•"/>
      <w:lvlJc w:val="left"/>
      <w:pPr>
        <w:ind w:left="3272" w:hanging="360"/>
      </w:pPr>
      <w:rPr>
        <w:rFonts w:hint="default"/>
      </w:rPr>
    </w:lvl>
    <w:lvl w:ilvl="3" w:tplc="574674EC">
      <w:numFmt w:val="bullet"/>
      <w:lvlText w:val="•"/>
      <w:lvlJc w:val="left"/>
      <w:pPr>
        <w:ind w:left="4208" w:hanging="360"/>
      </w:pPr>
      <w:rPr>
        <w:rFonts w:hint="default"/>
      </w:rPr>
    </w:lvl>
    <w:lvl w:ilvl="4" w:tplc="1292C9DA">
      <w:numFmt w:val="bullet"/>
      <w:lvlText w:val="•"/>
      <w:lvlJc w:val="left"/>
      <w:pPr>
        <w:ind w:left="5144" w:hanging="360"/>
      </w:pPr>
      <w:rPr>
        <w:rFonts w:hint="default"/>
      </w:rPr>
    </w:lvl>
    <w:lvl w:ilvl="5" w:tplc="3BA227E8">
      <w:numFmt w:val="bullet"/>
      <w:lvlText w:val="•"/>
      <w:lvlJc w:val="left"/>
      <w:pPr>
        <w:ind w:left="6080" w:hanging="360"/>
      </w:pPr>
      <w:rPr>
        <w:rFonts w:hint="default"/>
      </w:rPr>
    </w:lvl>
    <w:lvl w:ilvl="6" w:tplc="792C318C">
      <w:numFmt w:val="bullet"/>
      <w:lvlText w:val="•"/>
      <w:lvlJc w:val="left"/>
      <w:pPr>
        <w:ind w:left="7016" w:hanging="360"/>
      </w:pPr>
      <w:rPr>
        <w:rFonts w:hint="default"/>
      </w:rPr>
    </w:lvl>
    <w:lvl w:ilvl="7" w:tplc="20BAEDE6">
      <w:numFmt w:val="bullet"/>
      <w:lvlText w:val="•"/>
      <w:lvlJc w:val="left"/>
      <w:pPr>
        <w:ind w:left="7952" w:hanging="360"/>
      </w:pPr>
      <w:rPr>
        <w:rFonts w:hint="default"/>
      </w:rPr>
    </w:lvl>
    <w:lvl w:ilvl="8" w:tplc="16BC7930">
      <w:numFmt w:val="bullet"/>
      <w:lvlText w:val="•"/>
      <w:lvlJc w:val="left"/>
      <w:pPr>
        <w:ind w:left="8888" w:hanging="360"/>
      </w:pPr>
      <w:rPr>
        <w:rFonts w:hint="default"/>
      </w:rPr>
    </w:lvl>
  </w:abstractNum>
  <w:abstractNum w:abstractNumId="3" w15:restartNumberingAfterBreak="0">
    <w:nsid w:val="4A39255F"/>
    <w:multiLevelType w:val="hybridMultilevel"/>
    <w:tmpl w:val="C584FB82"/>
    <w:lvl w:ilvl="0" w:tplc="2ED89D64">
      <w:start w:val="1"/>
      <w:numFmt w:val="decimal"/>
      <w:lvlText w:val="%1."/>
      <w:lvlJc w:val="left"/>
      <w:pPr>
        <w:ind w:left="1399" w:hanging="360"/>
      </w:pPr>
      <w:rPr>
        <w:rFonts w:ascii="Times New Roman" w:eastAsia="Times New Roman" w:hAnsi="Times New Roman" w:cs="Times New Roman" w:hint="default"/>
        <w:color w:val="231F20"/>
        <w:w w:val="99"/>
        <w:sz w:val="20"/>
        <w:szCs w:val="20"/>
      </w:rPr>
    </w:lvl>
    <w:lvl w:ilvl="1" w:tplc="6B2C0DF0">
      <w:numFmt w:val="bullet"/>
      <w:lvlText w:val="•"/>
      <w:lvlJc w:val="left"/>
      <w:pPr>
        <w:ind w:left="2336" w:hanging="360"/>
      </w:pPr>
      <w:rPr>
        <w:rFonts w:hint="default"/>
      </w:rPr>
    </w:lvl>
    <w:lvl w:ilvl="2" w:tplc="0CC8A44C">
      <w:numFmt w:val="bullet"/>
      <w:lvlText w:val="•"/>
      <w:lvlJc w:val="left"/>
      <w:pPr>
        <w:ind w:left="3272" w:hanging="360"/>
      </w:pPr>
      <w:rPr>
        <w:rFonts w:hint="default"/>
      </w:rPr>
    </w:lvl>
    <w:lvl w:ilvl="3" w:tplc="9BBE6660">
      <w:numFmt w:val="bullet"/>
      <w:lvlText w:val="•"/>
      <w:lvlJc w:val="left"/>
      <w:pPr>
        <w:ind w:left="4208" w:hanging="360"/>
      </w:pPr>
      <w:rPr>
        <w:rFonts w:hint="default"/>
      </w:rPr>
    </w:lvl>
    <w:lvl w:ilvl="4" w:tplc="CB620D36">
      <w:numFmt w:val="bullet"/>
      <w:lvlText w:val="•"/>
      <w:lvlJc w:val="left"/>
      <w:pPr>
        <w:ind w:left="5144" w:hanging="360"/>
      </w:pPr>
      <w:rPr>
        <w:rFonts w:hint="default"/>
      </w:rPr>
    </w:lvl>
    <w:lvl w:ilvl="5" w:tplc="53545384">
      <w:numFmt w:val="bullet"/>
      <w:lvlText w:val="•"/>
      <w:lvlJc w:val="left"/>
      <w:pPr>
        <w:ind w:left="6080" w:hanging="360"/>
      </w:pPr>
      <w:rPr>
        <w:rFonts w:hint="default"/>
      </w:rPr>
    </w:lvl>
    <w:lvl w:ilvl="6" w:tplc="6F800BA8">
      <w:numFmt w:val="bullet"/>
      <w:lvlText w:val="•"/>
      <w:lvlJc w:val="left"/>
      <w:pPr>
        <w:ind w:left="7016" w:hanging="360"/>
      </w:pPr>
      <w:rPr>
        <w:rFonts w:hint="default"/>
      </w:rPr>
    </w:lvl>
    <w:lvl w:ilvl="7" w:tplc="68DAF452">
      <w:numFmt w:val="bullet"/>
      <w:lvlText w:val="•"/>
      <w:lvlJc w:val="left"/>
      <w:pPr>
        <w:ind w:left="7952" w:hanging="360"/>
      </w:pPr>
      <w:rPr>
        <w:rFonts w:hint="default"/>
      </w:rPr>
    </w:lvl>
    <w:lvl w:ilvl="8" w:tplc="A5DA2ED6">
      <w:numFmt w:val="bullet"/>
      <w:lvlText w:val="•"/>
      <w:lvlJc w:val="left"/>
      <w:pPr>
        <w:ind w:left="8888" w:hanging="360"/>
      </w:pPr>
      <w:rPr>
        <w:rFonts w:hint="default"/>
      </w:rPr>
    </w:lvl>
  </w:abstractNum>
  <w:abstractNum w:abstractNumId="4" w15:restartNumberingAfterBreak="0">
    <w:nsid w:val="5032518D"/>
    <w:multiLevelType w:val="hybridMultilevel"/>
    <w:tmpl w:val="AE36CF1E"/>
    <w:lvl w:ilvl="0" w:tplc="2E700ED6">
      <w:numFmt w:val="bullet"/>
      <w:lvlText w:val=""/>
      <w:lvlJc w:val="left"/>
      <w:pPr>
        <w:ind w:left="4409" w:hanging="360"/>
      </w:pPr>
      <w:rPr>
        <w:rFonts w:ascii="Symbol" w:eastAsia="Times New Roman" w:hAnsi="Symbol" w:cs="Times New Roman" w:hint="default"/>
      </w:rPr>
    </w:lvl>
    <w:lvl w:ilvl="1" w:tplc="04090003" w:tentative="1">
      <w:start w:val="1"/>
      <w:numFmt w:val="bullet"/>
      <w:lvlText w:val="o"/>
      <w:lvlJc w:val="left"/>
      <w:pPr>
        <w:ind w:left="5129" w:hanging="360"/>
      </w:pPr>
      <w:rPr>
        <w:rFonts w:ascii="Courier New" w:hAnsi="Courier New" w:cs="Courier New" w:hint="default"/>
      </w:rPr>
    </w:lvl>
    <w:lvl w:ilvl="2" w:tplc="04090005" w:tentative="1">
      <w:start w:val="1"/>
      <w:numFmt w:val="bullet"/>
      <w:lvlText w:val=""/>
      <w:lvlJc w:val="left"/>
      <w:pPr>
        <w:ind w:left="5849" w:hanging="360"/>
      </w:pPr>
      <w:rPr>
        <w:rFonts w:ascii="Wingdings" w:hAnsi="Wingdings" w:hint="default"/>
      </w:rPr>
    </w:lvl>
    <w:lvl w:ilvl="3" w:tplc="04090001" w:tentative="1">
      <w:start w:val="1"/>
      <w:numFmt w:val="bullet"/>
      <w:lvlText w:val=""/>
      <w:lvlJc w:val="left"/>
      <w:pPr>
        <w:ind w:left="6569" w:hanging="360"/>
      </w:pPr>
      <w:rPr>
        <w:rFonts w:ascii="Symbol" w:hAnsi="Symbol" w:hint="default"/>
      </w:rPr>
    </w:lvl>
    <w:lvl w:ilvl="4" w:tplc="04090003" w:tentative="1">
      <w:start w:val="1"/>
      <w:numFmt w:val="bullet"/>
      <w:lvlText w:val="o"/>
      <w:lvlJc w:val="left"/>
      <w:pPr>
        <w:ind w:left="7289" w:hanging="360"/>
      </w:pPr>
      <w:rPr>
        <w:rFonts w:ascii="Courier New" w:hAnsi="Courier New" w:cs="Courier New" w:hint="default"/>
      </w:rPr>
    </w:lvl>
    <w:lvl w:ilvl="5" w:tplc="04090005" w:tentative="1">
      <w:start w:val="1"/>
      <w:numFmt w:val="bullet"/>
      <w:lvlText w:val=""/>
      <w:lvlJc w:val="left"/>
      <w:pPr>
        <w:ind w:left="8009" w:hanging="360"/>
      </w:pPr>
      <w:rPr>
        <w:rFonts w:ascii="Wingdings" w:hAnsi="Wingdings" w:hint="default"/>
      </w:rPr>
    </w:lvl>
    <w:lvl w:ilvl="6" w:tplc="04090001" w:tentative="1">
      <w:start w:val="1"/>
      <w:numFmt w:val="bullet"/>
      <w:lvlText w:val=""/>
      <w:lvlJc w:val="left"/>
      <w:pPr>
        <w:ind w:left="8729" w:hanging="360"/>
      </w:pPr>
      <w:rPr>
        <w:rFonts w:ascii="Symbol" w:hAnsi="Symbol" w:hint="default"/>
      </w:rPr>
    </w:lvl>
    <w:lvl w:ilvl="7" w:tplc="04090003" w:tentative="1">
      <w:start w:val="1"/>
      <w:numFmt w:val="bullet"/>
      <w:lvlText w:val="o"/>
      <w:lvlJc w:val="left"/>
      <w:pPr>
        <w:ind w:left="9449" w:hanging="360"/>
      </w:pPr>
      <w:rPr>
        <w:rFonts w:ascii="Courier New" w:hAnsi="Courier New" w:cs="Courier New" w:hint="default"/>
      </w:rPr>
    </w:lvl>
    <w:lvl w:ilvl="8" w:tplc="04090005" w:tentative="1">
      <w:start w:val="1"/>
      <w:numFmt w:val="bullet"/>
      <w:lvlText w:val=""/>
      <w:lvlJc w:val="left"/>
      <w:pPr>
        <w:ind w:left="10169" w:hanging="360"/>
      </w:pPr>
      <w:rPr>
        <w:rFonts w:ascii="Wingdings" w:hAnsi="Wingdings" w:hint="default"/>
      </w:rPr>
    </w:lvl>
  </w:abstractNum>
  <w:abstractNum w:abstractNumId="5" w15:restartNumberingAfterBreak="0">
    <w:nsid w:val="51CC475E"/>
    <w:multiLevelType w:val="hybridMultilevel"/>
    <w:tmpl w:val="F1EA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7" w15:restartNumberingAfterBreak="0">
    <w:nsid w:val="5B5C1BA6"/>
    <w:multiLevelType w:val="multilevel"/>
    <w:tmpl w:val="45E007C0"/>
    <w:lvl w:ilvl="0">
      <w:start w:val="1"/>
      <w:numFmt w:val="decimal"/>
      <w:lvlText w:val="%1."/>
      <w:lvlJc w:val="left"/>
      <w:pPr>
        <w:ind w:left="931" w:hanging="252"/>
      </w:pPr>
      <w:rPr>
        <w:rFonts w:ascii="Times New Roman" w:eastAsia="Times New Roman" w:hAnsi="Times New Roman" w:cs="Times New Roman" w:hint="default"/>
        <w:b/>
        <w:bCs/>
        <w:color w:val="231F20"/>
        <w:spacing w:val="0"/>
        <w:w w:val="99"/>
        <w:sz w:val="20"/>
        <w:szCs w:val="20"/>
      </w:rPr>
    </w:lvl>
    <w:lvl w:ilvl="1">
      <w:start w:val="1"/>
      <w:numFmt w:val="decimal"/>
      <w:lvlText w:val="%1.%2."/>
      <w:lvlJc w:val="left"/>
      <w:pPr>
        <w:ind w:left="1081" w:hanging="402"/>
      </w:pPr>
      <w:rPr>
        <w:rFonts w:ascii="Times New Roman" w:eastAsia="Times New Roman" w:hAnsi="Times New Roman" w:cs="Times New Roman" w:hint="default"/>
        <w:color w:val="231F20"/>
        <w:spacing w:val="0"/>
        <w:w w:val="99"/>
        <w:sz w:val="20"/>
        <w:szCs w:val="20"/>
      </w:rPr>
    </w:lvl>
    <w:lvl w:ilvl="2">
      <w:numFmt w:val="bullet"/>
      <w:lvlText w:val="•"/>
      <w:lvlJc w:val="left"/>
      <w:pPr>
        <w:ind w:left="2155" w:hanging="402"/>
      </w:pPr>
      <w:rPr>
        <w:rFonts w:hint="default"/>
      </w:rPr>
    </w:lvl>
    <w:lvl w:ilvl="3">
      <w:numFmt w:val="bullet"/>
      <w:lvlText w:val="•"/>
      <w:lvlJc w:val="left"/>
      <w:pPr>
        <w:ind w:left="3231" w:hanging="402"/>
      </w:pPr>
      <w:rPr>
        <w:rFonts w:hint="default"/>
      </w:rPr>
    </w:lvl>
    <w:lvl w:ilvl="4">
      <w:numFmt w:val="bullet"/>
      <w:lvlText w:val="•"/>
      <w:lvlJc w:val="left"/>
      <w:pPr>
        <w:ind w:left="4306" w:hanging="402"/>
      </w:pPr>
      <w:rPr>
        <w:rFonts w:hint="default"/>
      </w:rPr>
    </w:lvl>
    <w:lvl w:ilvl="5">
      <w:numFmt w:val="bullet"/>
      <w:lvlText w:val="•"/>
      <w:lvlJc w:val="left"/>
      <w:pPr>
        <w:ind w:left="5382" w:hanging="402"/>
      </w:pPr>
      <w:rPr>
        <w:rFonts w:hint="default"/>
      </w:rPr>
    </w:lvl>
    <w:lvl w:ilvl="6">
      <w:numFmt w:val="bullet"/>
      <w:lvlText w:val="•"/>
      <w:lvlJc w:val="left"/>
      <w:pPr>
        <w:ind w:left="6457" w:hanging="402"/>
      </w:pPr>
      <w:rPr>
        <w:rFonts w:hint="default"/>
      </w:rPr>
    </w:lvl>
    <w:lvl w:ilvl="7">
      <w:numFmt w:val="bullet"/>
      <w:lvlText w:val="•"/>
      <w:lvlJc w:val="left"/>
      <w:pPr>
        <w:ind w:left="7533" w:hanging="402"/>
      </w:pPr>
      <w:rPr>
        <w:rFonts w:hint="default"/>
      </w:rPr>
    </w:lvl>
    <w:lvl w:ilvl="8">
      <w:numFmt w:val="bullet"/>
      <w:lvlText w:val="•"/>
      <w:lvlJc w:val="left"/>
      <w:pPr>
        <w:ind w:left="8608" w:hanging="402"/>
      </w:pPr>
      <w:rPr>
        <w:rFonts w:hint="default"/>
      </w:rPr>
    </w:lvl>
  </w:abstractNum>
  <w:abstractNum w:abstractNumId="8"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9" w15:restartNumberingAfterBreak="0">
    <w:nsid w:val="701F150F"/>
    <w:multiLevelType w:val="hybridMultilevel"/>
    <w:tmpl w:val="250A3B0C"/>
    <w:lvl w:ilvl="0" w:tplc="B3DA4104">
      <w:start w:val="1"/>
      <w:numFmt w:val="lowerLetter"/>
      <w:lvlText w:val="%1."/>
      <w:lvlJc w:val="left"/>
      <w:pPr>
        <w:ind w:left="1399" w:hanging="361"/>
      </w:pPr>
      <w:rPr>
        <w:rFonts w:ascii="Times New Roman" w:eastAsia="Times New Roman" w:hAnsi="Times New Roman" w:cs="Times New Roman" w:hint="default"/>
        <w:color w:val="231F20"/>
        <w:w w:val="99"/>
        <w:sz w:val="20"/>
        <w:szCs w:val="20"/>
      </w:rPr>
    </w:lvl>
    <w:lvl w:ilvl="1" w:tplc="AE708966">
      <w:numFmt w:val="bullet"/>
      <w:lvlText w:val="•"/>
      <w:lvlJc w:val="left"/>
      <w:pPr>
        <w:ind w:left="2336" w:hanging="361"/>
      </w:pPr>
      <w:rPr>
        <w:rFonts w:hint="default"/>
      </w:rPr>
    </w:lvl>
    <w:lvl w:ilvl="2" w:tplc="88824CCC">
      <w:numFmt w:val="bullet"/>
      <w:lvlText w:val="•"/>
      <w:lvlJc w:val="left"/>
      <w:pPr>
        <w:ind w:left="3272" w:hanging="361"/>
      </w:pPr>
      <w:rPr>
        <w:rFonts w:hint="default"/>
      </w:rPr>
    </w:lvl>
    <w:lvl w:ilvl="3" w:tplc="AEC6612A">
      <w:numFmt w:val="bullet"/>
      <w:lvlText w:val="•"/>
      <w:lvlJc w:val="left"/>
      <w:pPr>
        <w:ind w:left="4208" w:hanging="361"/>
      </w:pPr>
      <w:rPr>
        <w:rFonts w:hint="default"/>
      </w:rPr>
    </w:lvl>
    <w:lvl w:ilvl="4" w:tplc="10526AE2">
      <w:numFmt w:val="bullet"/>
      <w:lvlText w:val="•"/>
      <w:lvlJc w:val="left"/>
      <w:pPr>
        <w:ind w:left="5144" w:hanging="361"/>
      </w:pPr>
      <w:rPr>
        <w:rFonts w:hint="default"/>
      </w:rPr>
    </w:lvl>
    <w:lvl w:ilvl="5" w:tplc="FCE6A246">
      <w:numFmt w:val="bullet"/>
      <w:lvlText w:val="•"/>
      <w:lvlJc w:val="left"/>
      <w:pPr>
        <w:ind w:left="6080" w:hanging="361"/>
      </w:pPr>
      <w:rPr>
        <w:rFonts w:hint="default"/>
      </w:rPr>
    </w:lvl>
    <w:lvl w:ilvl="6" w:tplc="048485E2">
      <w:numFmt w:val="bullet"/>
      <w:lvlText w:val="•"/>
      <w:lvlJc w:val="left"/>
      <w:pPr>
        <w:ind w:left="7016" w:hanging="361"/>
      </w:pPr>
      <w:rPr>
        <w:rFonts w:hint="default"/>
      </w:rPr>
    </w:lvl>
    <w:lvl w:ilvl="7" w:tplc="C5B67F94">
      <w:numFmt w:val="bullet"/>
      <w:lvlText w:val="•"/>
      <w:lvlJc w:val="left"/>
      <w:pPr>
        <w:ind w:left="7952" w:hanging="361"/>
      </w:pPr>
      <w:rPr>
        <w:rFonts w:hint="default"/>
      </w:rPr>
    </w:lvl>
    <w:lvl w:ilvl="8" w:tplc="B97EB4C8">
      <w:numFmt w:val="bullet"/>
      <w:lvlText w:val="•"/>
      <w:lvlJc w:val="left"/>
      <w:pPr>
        <w:ind w:left="8888" w:hanging="361"/>
      </w:pPr>
      <w:rPr>
        <w:rFonts w:hint="default"/>
      </w:rPr>
    </w:lvl>
  </w:abstractNum>
  <w:abstractNum w:abstractNumId="10" w15:restartNumberingAfterBreak="0">
    <w:nsid w:val="7CB32D50"/>
    <w:multiLevelType w:val="hybridMultilevel"/>
    <w:tmpl w:val="0DAAA0F6"/>
    <w:lvl w:ilvl="0" w:tplc="ABAA14CC">
      <w:start w:val="1"/>
      <w:numFmt w:val="decimal"/>
      <w:lvlText w:val="%1."/>
      <w:lvlJc w:val="left"/>
      <w:pPr>
        <w:ind w:left="1399" w:hanging="360"/>
      </w:pPr>
      <w:rPr>
        <w:rFonts w:ascii="Times New Roman" w:eastAsia="Times New Roman" w:hAnsi="Times New Roman" w:cs="Times New Roman" w:hint="default"/>
        <w:color w:val="231F20"/>
        <w:w w:val="99"/>
        <w:sz w:val="20"/>
        <w:szCs w:val="20"/>
      </w:rPr>
    </w:lvl>
    <w:lvl w:ilvl="1" w:tplc="1402E986">
      <w:numFmt w:val="bullet"/>
      <w:lvlText w:val="•"/>
      <w:lvlJc w:val="left"/>
      <w:pPr>
        <w:ind w:left="2336" w:hanging="360"/>
      </w:pPr>
      <w:rPr>
        <w:rFonts w:hint="default"/>
      </w:rPr>
    </w:lvl>
    <w:lvl w:ilvl="2" w:tplc="65D87A40">
      <w:numFmt w:val="bullet"/>
      <w:lvlText w:val="•"/>
      <w:lvlJc w:val="left"/>
      <w:pPr>
        <w:ind w:left="3272" w:hanging="360"/>
      </w:pPr>
      <w:rPr>
        <w:rFonts w:hint="default"/>
      </w:rPr>
    </w:lvl>
    <w:lvl w:ilvl="3" w:tplc="7A660530">
      <w:numFmt w:val="bullet"/>
      <w:lvlText w:val="•"/>
      <w:lvlJc w:val="left"/>
      <w:pPr>
        <w:ind w:left="4208" w:hanging="360"/>
      </w:pPr>
      <w:rPr>
        <w:rFonts w:hint="default"/>
      </w:rPr>
    </w:lvl>
    <w:lvl w:ilvl="4" w:tplc="7748A0B8">
      <w:numFmt w:val="bullet"/>
      <w:lvlText w:val="•"/>
      <w:lvlJc w:val="left"/>
      <w:pPr>
        <w:ind w:left="5144" w:hanging="360"/>
      </w:pPr>
      <w:rPr>
        <w:rFonts w:hint="default"/>
      </w:rPr>
    </w:lvl>
    <w:lvl w:ilvl="5" w:tplc="217C0F78">
      <w:numFmt w:val="bullet"/>
      <w:lvlText w:val="•"/>
      <w:lvlJc w:val="left"/>
      <w:pPr>
        <w:ind w:left="6080" w:hanging="360"/>
      </w:pPr>
      <w:rPr>
        <w:rFonts w:hint="default"/>
      </w:rPr>
    </w:lvl>
    <w:lvl w:ilvl="6" w:tplc="B65C8F00">
      <w:numFmt w:val="bullet"/>
      <w:lvlText w:val="•"/>
      <w:lvlJc w:val="left"/>
      <w:pPr>
        <w:ind w:left="7016" w:hanging="360"/>
      </w:pPr>
      <w:rPr>
        <w:rFonts w:hint="default"/>
      </w:rPr>
    </w:lvl>
    <w:lvl w:ilvl="7" w:tplc="55F4FFB8">
      <w:numFmt w:val="bullet"/>
      <w:lvlText w:val="•"/>
      <w:lvlJc w:val="left"/>
      <w:pPr>
        <w:ind w:left="7952" w:hanging="360"/>
      </w:pPr>
      <w:rPr>
        <w:rFonts w:hint="default"/>
      </w:rPr>
    </w:lvl>
    <w:lvl w:ilvl="8" w:tplc="DAC418BE">
      <w:numFmt w:val="bullet"/>
      <w:lvlText w:val="•"/>
      <w:lvlJc w:val="left"/>
      <w:pPr>
        <w:ind w:left="8888" w:hanging="360"/>
      </w:pPr>
      <w:rPr>
        <w:rFonts w:hint="default"/>
      </w:rPr>
    </w:lvl>
  </w:abstractNum>
  <w:num w:numId="1" w16cid:durableId="838539827">
    <w:abstractNumId w:val="9"/>
  </w:num>
  <w:num w:numId="2" w16cid:durableId="216472705">
    <w:abstractNumId w:val="0"/>
  </w:num>
  <w:num w:numId="3" w16cid:durableId="934434660">
    <w:abstractNumId w:val="2"/>
  </w:num>
  <w:num w:numId="4" w16cid:durableId="205997006">
    <w:abstractNumId w:val="3"/>
  </w:num>
  <w:num w:numId="5" w16cid:durableId="875433937">
    <w:abstractNumId w:val="1"/>
  </w:num>
  <w:num w:numId="6" w16cid:durableId="1996958219">
    <w:abstractNumId w:val="10"/>
  </w:num>
  <w:num w:numId="7" w16cid:durableId="1421876944">
    <w:abstractNumId w:val="7"/>
  </w:num>
  <w:num w:numId="8" w16cid:durableId="162404147">
    <w:abstractNumId w:val="5"/>
  </w:num>
  <w:num w:numId="9" w16cid:durableId="53742013">
    <w:abstractNumId w:val="6"/>
  </w:num>
  <w:num w:numId="10" w16cid:durableId="569537054">
    <w:abstractNumId w:val="8"/>
  </w:num>
  <w:num w:numId="11" w16cid:durableId="182405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9C0"/>
    <w:rsid w:val="00046BC0"/>
    <w:rsid w:val="00192A91"/>
    <w:rsid w:val="00372A43"/>
    <w:rsid w:val="0044012F"/>
    <w:rsid w:val="005F19C0"/>
    <w:rsid w:val="00734A93"/>
    <w:rsid w:val="00A37928"/>
    <w:rsid w:val="00A77F85"/>
    <w:rsid w:val="00C17529"/>
    <w:rsid w:val="00CC6276"/>
    <w:rsid w:val="00D867F8"/>
    <w:rsid w:val="00DC7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9946"/>
  <w15:chartTrackingRefBased/>
  <w15:docId w15:val="{8C123734-E222-418C-A4EA-5F9D498C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1"/>
    <w:qFormat/>
    <w:pPr>
      <w:ind w:left="93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Pr>
      <w:rFonts w:ascii="Times New Roman" w:eastAsia="Times New Roman" w:hAnsi="Times New Roman" w:cs="Times New Roman"/>
      <w:b/>
      <w:bCs/>
      <w:sz w:val="20"/>
      <w:szCs w:val="20"/>
    </w:rPr>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1"/>
    <w:rPr>
      <w:rFonts w:ascii="Times New Roman" w:eastAsia="Times New Roman" w:hAnsi="Times New Roman" w:cs="Times New Roman"/>
      <w:sz w:val="20"/>
      <w:szCs w:val="20"/>
    </w:rPr>
  </w:style>
  <w:style w:type="paragraph" w:styleId="ListParagraph">
    <w:name w:val="List Paragraph"/>
    <w:basedOn w:val="Normal"/>
    <w:uiPriority w:val="34"/>
    <w:qFormat/>
    <w:pPr>
      <w:ind w:left="679"/>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TOC2">
    <w:name w:val="toc 2"/>
    <w:basedOn w:val="TOC1"/>
    <w:next w:val="Normal"/>
    <w:uiPriority w:val="39"/>
    <w:pPr>
      <w:widowControl/>
      <w:tabs>
        <w:tab w:val="left" w:pos="1296"/>
        <w:tab w:val="left" w:pos="2016"/>
        <w:tab w:val="right" w:leader="dot" w:pos="9360"/>
      </w:tabs>
      <w:autoSpaceDE/>
      <w:autoSpaceDN/>
      <w:spacing w:after="0"/>
      <w:ind w:left="2016" w:right="720" w:hanging="720"/>
    </w:pPr>
    <w:rPr>
      <w:rFonts w:cs="Arial"/>
      <w:color w:val="0000FF"/>
      <w:sz w:val="24"/>
      <w:szCs w:val="24"/>
    </w:rPr>
  </w:style>
  <w:style w:type="paragraph" w:customStyle="1" w:styleId="C-Bullet">
    <w:name w:val="C-Bullet"/>
    <w:pPr>
      <w:numPr>
        <w:numId w:val="10"/>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pPr>
      <w:numPr>
        <w:ilvl w:val="1"/>
        <w:numId w:val="10"/>
      </w:numPr>
      <w:spacing w:before="120" w:after="120" w:line="280" w:lineRule="atLeast"/>
    </w:pPr>
    <w:rPr>
      <w:rFonts w:ascii="Times New Roman" w:eastAsia="Times New Roman" w:hAnsi="Times New Roman" w:cs="Arial"/>
      <w:sz w:val="24"/>
      <w:szCs w:val="20"/>
    </w:rPr>
  </w:style>
  <w:style w:type="paragraph" w:customStyle="1" w:styleId="C-PLR-Heading1">
    <w:name w:val="C-PLR-Heading 1"/>
    <w:next w:val="Normal"/>
    <w:pPr>
      <w:keepNext/>
      <w:numPr>
        <w:numId w:val="9"/>
      </w:numPr>
      <w:tabs>
        <w:tab w:val="clear" w:pos="1080"/>
        <w:tab w:val="left" w:pos="720"/>
      </w:tabs>
      <w:spacing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2">
    <w:name w:val="C-PLR-Heading 2"/>
    <w:next w:val="Normal"/>
    <w:pPr>
      <w:numPr>
        <w:ilvl w:val="1"/>
        <w:numId w:val="9"/>
      </w:numPr>
      <w:tabs>
        <w:tab w:val="clear" w:pos="1080"/>
        <w:tab w:val="left" w:pos="720"/>
      </w:tabs>
      <w:spacing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Normal"/>
    <w:pPr>
      <w:numPr>
        <w:ilvl w:val="2"/>
        <w:numId w:val="9"/>
      </w:numPr>
      <w:tabs>
        <w:tab w:val="clear" w:pos="1080"/>
        <w:tab w:val="left" w:pos="720"/>
      </w:tabs>
      <w:spacing w:after="0" w:line="240" w:lineRule="auto"/>
      <w:ind w:left="720" w:hanging="720"/>
      <w:outlineLvl w:val="2"/>
    </w:pPr>
    <w:rPr>
      <w:rFonts w:ascii="Times New Roman Bold" w:eastAsia="Times New Roman" w:hAnsi="Times New Roman Bold" w:cs="Arial"/>
      <w:sz w:val="16"/>
      <w:szCs w:val="20"/>
    </w:rPr>
  </w:style>
  <w:style w:type="paragraph" w:customStyle="1" w:styleId="C-PLR-Heading4">
    <w:name w:val="C-PLR-Heading 4"/>
    <w:next w:val="Normal"/>
    <w:pPr>
      <w:numPr>
        <w:ilvl w:val="3"/>
        <w:numId w:val="9"/>
      </w:numPr>
      <w:tabs>
        <w:tab w:val="clear" w:pos="1080"/>
        <w:tab w:val="left" w:pos="720"/>
      </w:tabs>
      <w:spacing w:after="0" w:line="240" w:lineRule="auto"/>
      <w:ind w:left="720" w:hanging="720"/>
      <w:outlineLvl w:val="3"/>
    </w:pPr>
    <w:rPr>
      <w:rFonts w:ascii="Times New Roman Bold" w:eastAsia="Times New Roman" w:hAnsi="Times New Roman Bold" w:cs="Arial"/>
      <w:sz w:val="16"/>
      <w:szCs w:val="20"/>
    </w:rPr>
  </w:style>
  <w:style w:type="paragraph" w:customStyle="1" w:styleId="C-PLR-Heading5">
    <w:name w:val="C-PLR-Heading 5"/>
    <w:next w:val="Normal"/>
    <w:pPr>
      <w:numPr>
        <w:ilvl w:val="4"/>
        <w:numId w:val="9"/>
      </w:numPr>
      <w:tabs>
        <w:tab w:val="clear" w:pos="1080"/>
        <w:tab w:val="left" w:pos="720"/>
      </w:tabs>
      <w:spacing w:after="0" w:line="240" w:lineRule="auto"/>
      <w:ind w:left="720" w:hanging="720"/>
      <w:outlineLvl w:val="4"/>
    </w:pPr>
    <w:rPr>
      <w:rFonts w:ascii="Times New Roman Bold" w:eastAsia="Times New Roman" w:hAnsi="Times New Roman Bold" w:cs="Arial"/>
      <w:sz w:val="16"/>
      <w:szCs w:val="20"/>
    </w:rPr>
  </w:style>
  <w:style w:type="paragraph" w:customStyle="1" w:styleId="C-PLR-Heading6">
    <w:name w:val="C-PLR-Heading 6"/>
    <w:next w:val="Normal"/>
    <w:pPr>
      <w:numPr>
        <w:ilvl w:val="5"/>
        <w:numId w:val="9"/>
      </w:numPr>
      <w:tabs>
        <w:tab w:val="clear" w:pos="1080"/>
        <w:tab w:val="left" w:pos="864"/>
      </w:tabs>
      <w:spacing w:after="0" w:line="240" w:lineRule="auto"/>
      <w:ind w:left="864" w:hanging="864"/>
      <w:outlineLvl w:val="5"/>
    </w:pPr>
    <w:rPr>
      <w:rFonts w:ascii="Times New Roman Bold" w:eastAsia="Times New Roman" w:hAnsi="Times New Roman Bold" w:cs="Arial"/>
      <w:sz w:val="16"/>
      <w:szCs w:val="20"/>
    </w:rPr>
  </w:style>
  <w:style w:type="paragraph" w:styleId="TOC1">
    <w:name w:val="toc 1"/>
    <w:basedOn w:val="Normal"/>
    <w:next w:val="Normal"/>
    <w:autoRedefine/>
    <w:uiPriority w:val="39"/>
    <w:semiHidden/>
    <w:unhideWhenUsed/>
    <w:pPr>
      <w:spacing w:after="100"/>
    </w:pPr>
  </w:style>
  <w:style w:type="paragraph" w:customStyle="1" w:styleId="C-BodyText">
    <w:name w:val="C-Body Text"/>
    <w:link w:val="C-BodyTextChar"/>
    <w:pPr>
      <w:spacing w:before="120" w:after="120" w:line="280" w:lineRule="atLeast"/>
    </w:pPr>
    <w:rPr>
      <w:rFonts w:ascii="Times New Roman" w:eastAsia="Times New Roman" w:hAnsi="Times New Roman" w:cs="Times New Roman"/>
      <w:sz w:val="24"/>
      <w:szCs w:val="20"/>
    </w:rPr>
  </w:style>
  <w:style w:type="character" w:styleId="Hyperlink">
    <w:name w:val="Hyperlink"/>
    <w:uiPriority w:val="99"/>
    <w:rPr>
      <w:color w:val="0000FF"/>
      <w:u w:val="single"/>
    </w:rPr>
  </w:style>
  <w:style w:type="character" w:customStyle="1" w:styleId="C-BodyTextChar">
    <w:name w:val="C-Body Text Char"/>
    <w:basedOn w:val="DefaultParagraphFont"/>
    <w:link w:val="C-BodyText"/>
    <w:rPr>
      <w:rFonts w:ascii="Times New Roman" w:eastAsia="Times New Roman" w:hAnsi="Times New Roman" w:cs="Times New Roman"/>
      <w:sz w:val="24"/>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da.gov/regulatory-information/search-fda-guidance-documents/providing-regulatory-submissions-electronic-format-certain-human-pharmaceutical-product-application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05A1E-B314-4BCC-B6FD-E4AAC1DF008B}">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Fratina, Maribel C CIV USARMY MEDCOM USAMRAA</dc:creator>
  <cp:keywords/>
  <dc:description/>
  <cp:lastModifiedBy>Jandovitz, Kevin T CIV DHA DHA CONTRACTING ACT (USA)</cp:lastModifiedBy>
  <cp:revision>7</cp:revision>
  <dcterms:created xsi:type="dcterms:W3CDTF">2026-03-30T17:28:00Z</dcterms:created>
  <dcterms:modified xsi:type="dcterms:W3CDTF">2026-03-30T18:10:00Z</dcterms:modified>
</cp:coreProperties>
</file>