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19 OKC VAMC IR Physician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36C25926Q0134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Q522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 VA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 NE 13th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Oklahoma City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73104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Greenwood Village CO  80111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Fanta Cooper-Wells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fanta.cooper-wells@va.gov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964AF" w:rsidP="008964AF">
      <w:pPr>
        <w:snapToGrid w:val="0"/>
        <w:spacing w:after="0" w:line="240" w:lineRule="auto"/>
        <w:contextualSpacing/>
        <w:rPr>
          <w:rFonts w:cstheme="minorHAnsi"/>
        </w:rPr>
      </w:pPr>
      <w:r w:rsidRPr="00A01148">
        <w:rPr>
          <w:rFonts w:cstheme="minorHAnsi"/>
          <w:color w:val="000000"/>
        </w:rPr>
        <w:t xml:space="preserve">The Contractor shall furnish all key personnel to provide </w:t>
      </w:r>
      <w:r w:rsidRPr="00A01148">
        <w:rPr>
          <w:rFonts w:cstheme="minorHAnsi"/>
        </w:rPr>
        <w:t xml:space="preserve">services necessary to perform onsite </w:t>
      </w:r>
      <w:r w:rsidRPr="00A01148">
        <w:rPr>
          <w:rFonts w:cstheme="minorHAnsi"/>
          <w:color w:val="000000" w:themeColor="text1"/>
        </w:rPr>
        <w:t xml:space="preserve">Radiology Physician </w:t>
      </w:r>
      <w:r w:rsidRPr="00A01148">
        <w:rPr>
          <w:rFonts w:cstheme="minorHAnsi"/>
        </w:rPr>
        <w:t xml:space="preserve">Services to eligible beneficiaries of the Department of Veterans Affairs, Oklahoma City VA Health Care System. </w:t>
      </w:r>
    </w:p>
    <w:p w:rsidR="008964AF" w:rsidP="008964AF">
      <w:pPr>
        <w:snapToGrid w:val="0"/>
        <w:spacing w:after="0" w:line="240" w:lineRule="auto"/>
        <w:contextualSpacing/>
        <w:rPr>
          <w:rFonts w:cstheme="minorHAnsi"/>
        </w:rPr>
      </w:pPr>
    </w:p>
    <w:p w:rsidR="009842F0">
      <w:r w:rsidRPr="008964AF">
        <w:t>The VA Radiology Services follow the standards of Abdominal/GU, Breast Imaging, Cardiovascular, General, Interventional, Musculoskeletal, Neuroradiology &amp; guidelines set forth by American College of Radiology (ACR). A contractor providing onsite interventional radiologist services shall provide services that meet or exceed the American College of Radiology Guidelines https://www.acr.org/-/media/ACR/Files/Practice-Parameters/IRClin-Prac-Mgmt.pdf.pdf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2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2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2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2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6122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12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2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2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2026-03-02T23:02:37Z</dcterms:created>
  <dcterms:modified xsi:type="dcterms:W3CDTF">2026-03-02T23:02:37Z</dcterms:modified>
</cp:coreProperties>
</file>