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DFAA" w14:textId="1AB5468A" w:rsidR="007D217F" w:rsidRPr="007D217F" w:rsidRDefault="007D217F" w:rsidP="007D217F">
      <w:r w:rsidRPr="007D217F">
        <w:rPr>
          <w:b/>
          <w:bCs/>
        </w:rPr>
        <w:t>Join Us for the 1</w:t>
      </w:r>
      <w:r w:rsidR="006735D3">
        <w:rPr>
          <w:b/>
          <w:bCs/>
        </w:rPr>
        <w:t>9</w:t>
      </w:r>
      <w:r w:rsidRPr="007D217F">
        <w:rPr>
          <w:b/>
          <w:bCs/>
        </w:rPr>
        <w:t>th Wright Dialogue with Industry (WDI)</w:t>
      </w:r>
      <w:r w:rsidRPr="007D217F">
        <w:br/>
      </w:r>
      <w:r>
        <w:rPr>
          <w:b/>
          <w:bCs/>
        </w:rPr>
        <w:t xml:space="preserve">July </w:t>
      </w:r>
      <w:r w:rsidR="0032718C">
        <w:rPr>
          <w:b/>
          <w:bCs/>
        </w:rPr>
        <w:t>27-31</w:t>
      </w:r>
      <w:r w:rsidRPr="007D217F">
        <w:rPr>
          <w:b/>
          <w:bCs/>
        </w:rPr>
        <w:t xml:space="preserve">, </w:t>
      </w:r>
      <w:proofErr w:type="gramStart"/>
      <w:r w:rsidRPr="007D217F">
        <w:rPr>
          <w:b/>
          <w:bCs/>
        </w:rPr>
        <w:t>202</w:t>
      </w:r>
      <w:r>
        <w:rPr>
          <w:b/>
          <w:bCs/>
        </w:rPr>
        <w:t>6</w:t>
      </w:r>
      <w:proofErr w:type="gramEnd"/>
      <w:r w:rsidRPr="007D217F">
        <w:rPr>
          <w:b/>
          <w:bCs/>
        </w:rPr>
        <w:t xml:space="preserve"> | Dayton Convention Center, Dayton, Ohio</w:t>
      </w:r>
    </w:p>
    <w:p w14:paraId="5F2B29F0" w14:textId="77777777" w:rsidR="007D217F" w:rsidRPr="007D217F" w:rsidRDefault="007D217F" w:rsidP="007D217F">
      <w:r w:rsidRPr="007D217F">
        <w:t xml:space="preserve">We’re thrilled to announce that in 2026, the </w:t>
      </w:r>
      <w:r w:rsidRPr="007D217F">
        <w:rPr>
          <w:b/>
          <w:bCs/>
        </w:rPr>
        <w:t>Wright Dialogue with Industry (WDI)</w:t>
      </w:r>
      <w:r w:rsidRPr="007D217F">
        <w:t xml:space="preserve">, hosted by the Air Force Research Laboratory (AFRL), and the </w:t>
      </w:r>
      <w:r w:rsidRPr="007D217F">
        <w:rPr>
          <w:b/>
          <w:bCs/>
        </w:rPr>
        <w:t>Life Cycle Industry Days (LCID)</w:t>
      </w:r>
      <w:r w:rsidRPr="007D217F">
        <w:t xml:space="preserve">, hosted by the Life Cycle Management Center (LCMC), will take place during the same week (July 27-31, 2026). Both events will be co-hosted with </w:t>
      </w:r>
      <w:r w:rsidRPr="007D217F">
        <w:rPr>
          <w:b/>
          <w:bCs/>
        </w:rPr>
        <w:t>Dayton Defense</w:t>
      </w:r>
      <w:r w:rsidRPr="007D217F">
        <w:t xml:space="preserve"> at the </w:t>
      </w:r>
      <w:r w:rsidRPr="007D217F">
        <w:rPr>
          <w:b/>
          <w:bCs/>
        </w:rPr>
        <w:t>Dayton Convention Center</w:t>
      </w:r>
      <w:r w:rsidRPr="007D217F">
        <w:t>. While WDI and LCID will remain standalone events, this combined week of events will create efficiencies in information sharing, collaboration, and discussion.</w:t>
      </w:r>
    </w:p>
    <w:p w14:paraId="15F4CA56" w14:textId="2997F4F1" w:rsidR="007D217F" w:rsidRPr="007D217F" w:rsidRDefault="007D217F" w:rsidP="007D217F">
      <w:pPr>
        <w:rPr>
          <w:b/>
          <w:bCs/>
        </w:rPr>
      </w:pPr>
      <w:r w:rsidRPr="007D217F">
        <w:rPr>
          <w:b/>
          <w:bCs/>
        </w:rPr>
        <w:t>About WDI 202</w:t>
      </w:r>
      <w:r>
        <w:rPr>
          <w:b/>
          <w:bCs/>
        </w:rPr>
        <w:t>6</w:t>
      </w:r>
      <w:r w:rsidRPr="007D217F">
        <w:rPr>
          <w:b/>
          <w:bCs/>
        </w:rPr>
        <w:t>:</w:t>
      </w:r>
    </w:p>
    <w:p w14:paraId="6B02F92A" w14:textId="77777777" w:rsidR="007D217F" w:rsidRPr="007D217F" w:rsidRDefault="007D217F" w:rsidP="007D217F">
      <w:r w:rsidRPr="007D217F">
        <w:t xml:space="preserve">The </w:t>
      </w:r>
      <w:r w:rsidRPr="007D217F">
        <w:rPr>
          <w:b/>
          <w:bCs/>
        </w:rPr>
        <w:t>Wright Dialogue with Industry (WDI)</w:t>
      </w:r>
      <w:r w:rsidRPr="007D217F">
        <w:t xml:space="preserve"> offers three days of in-depth presentations, panels, one-on-one technical sessions, and leadership meet-and-greet exchanges, focused on AFRL's cutting-edge Science and Technology initiatives. This event will provide comprehensive insights into technical portfolios and contracting opportunities across all AFRL Technical Directorates, presented by their Directors and Subject Matter Experts (SMEs).</w:t>
      </w:r>
    </w:p>
    <w:p w14:paraId="6C1DBBBD" w14:textId="77777777" w:rsidR="007D217F" w:rsidRPr="007D217F" w:rsidRDefault="007D217F" w:rsidP="007D217F">
      <w:r w:rsidRPr="007D217F">
        <w:t xml:space="preserve">This is a </w:t>
      </w:r>
      <w:r w:rsidRPr="007D217F">
        <w:rPr>
          <w:b/>
          <w:bCs/>
        </w:rPr>
        <w:t>non-public distribution event</w:t>
      </w:r>
      <w:r w:rsidRPr="007D217F">
        <w:t xml:space="preserve">, with discussions at </w:t>
      </w:r>
      <w:r w:rsidRPr="007D217F">
        <w:rPr>
          <w:b/>
          <w:bCs/>
        </w:rPr>
        <w:t>Distribution-C</w:t>
      </w:r>
      <w:r w:rsidRPr="007D217F">
        <w:t xml:space="preserve"> (Government and Government Contractors only) and classified levels for vetted participants.</w:t>
      </w:r>
    </w:p>
    <w:p w14:paraId="4BB828B0" w14:textId="22D72A74" w:rsidR="007D217F" w:rsidRPr="007D217F" w:rsidRDefault="007D217F" w:rsidP="007D217F">
      <w:pPr>
        <w:rPr>
          <w:b/>
          <w:bCs/>
        </w:rPr>
      </w:pPr>
      <w:r w:rsidRPr="007D217F">
        <w:rPr>
          <w:b/>
          <w:bCs/>
        </w:rPr>
        <w:t>Key Highlights of WDI 202</w:t>
      </w:r>
      <w:r>
        <w:rPr>
          <w:b/>
          <w:bCs/>
        </w:rPr>
        <w:t>6</w:t>
      </w:r>
      <w:r w:rsidRPr="007D217F">
        <w:rPr>
          <w:b/>
          <w:bCs/>
        </w:rPr>
        <w:t>:</w:t>
      </w:r>
    </w:p>
    <w:p w14:paraId="72FDB87C" w14:textId="77777777" w:rsidR="007D217F" w:rsidRPr="007D217F" w:rsidRDefault="007D217F" w:rsidP="007D217F">
      <w:pPr>
        <w:numPr>
          <w:ilvl w:val="0"/>
          <w:numId w:val="1"/>
        </w:numPr>
      </w:pPr>
      <w:r w:rsidRPr="007D217F">
        <w:rPr>
          <w:b/>
          <w:bCs/>
        </w:rPr>
        <w:t>Keynote Addresses</w:t>
      </w:r>
      <w:r w:rsidRPr="007D217F">
        <w:t xml:space="preserve"> from Senior Leadership at AFMC and AFRL </w:t>
      </w:r>
    </w:p>
    <w:p w14:paraId="0A9B5101" w14:textId="77777777" w:rsidR="007D217F" w:rsidRPr="007D217F" w:rsidRDefault="007D217F" w:rsidP="007D217F">
      <w:pPr>
        <w:numPr>
          <w:ilvl w:val="0"/>
          <w:numId w:val="1"/>
        </w:numPr>
      </w:pPr>
      <w:r w:rsidRPr="007D217F">
        <w:rPr>
          <w:b/>
          <w:bCs/>
        </w:rPr>
        <w:t>Department of the Air Force (DAF) S&amp;T Budget Information</w:t>
      </w:r>
      <w:r w:rsidRPr="007D217F">
        <w:t xml:space="preserve"> </w:t>
      </w:r>
    </w:p>
    <w:p w14:paraId="037F52D5" w14:textId="77777777" w:rsidR="007D217F" w:rsidRPr="007D217F" w:rsidRDefault="007D217F" w:rsidP="007D217F">
      <w:pPr>
        <w:numPr>
          <w:ilvl w:val="0"/>
          <w:numId w:val="1"/>
        </w:numPr>
      </w:pPr>
      <w:r w:rsidRPr="007D217F">
        <w:rPr>
          <w:b/>
          <w:bCs/>
        </w:rPr>
        <w:t>DAF Science and Technology Priorities</w:t>
      </w:r>
      <w:r w:rsidRPr="007D217F">
        <w:t xml:space="preserve"> </w:t>
      </w:r>
    </w:p>
    <w:p w14:paraId="46996316" w14:textId="77777777" w:rsidR="007D217F" w:rsidRPr="007D217F" w:rsidRDefault="007D217F" w:rsidP="007D217F">
      <w:pPr>
        <w:numPr>
          <w:ilvl w:val="0"/>
          <w:numId w:val="1"/>
        </w:numPr>
      </w:pPr>
      <w:r w:rsidRPr="007D217F">
        <w:rPr>
          <w:b/>
          <w:bCs/>
        </w:rPr>
        <w:t>Government and Contractor Exhibits</w:t>
      </w:r>
      <w:r w:rsidRPr="007D217F">
        <w:t xml:space="preserve"> </w:t>
      </w:r>
    </w:p>
    <w:p w14:paraId="057B1531" w14:textId="77777777" w:rsidR="007D217F" w:rsidRPr="007D217F" w:rsidRDefault="007D217F" w:rsidP="007D217F">
      <w:pPr>
        <w:numPr>
          <w:ilvl w:val="0"/>
          <w:numId w:val="1"/>
        </w:numPr>
      </w:pPr>
      <w:r w:rsidRPr="007D217F">
        <w:rPr>
          <w:b/>
          <w:bCs/>
        </w:rPr>
        <w:t>Two-Way Dialogue Sessions</w:t>
      </w:r>
      <w:r w:rsidRPr="007D217F">
        <w:t xml:space="preserve"> with AFRL Directorates </w:t>
      </w:r>
    </w:p>
    <w:p w14:paraId="5DE8B63E" w14:textId="332329DF" w:rsidR="007D217F" w:rsidRPr="007D217F" w:rsidRDefault="007D217F" w:rsidP="007D217F">
      <w:pPr>
        <w:numPr>
          <w:ilvl w:val="0"/>
          <w:numId w:val="1"/>
        </w:numPr>
      </w:pPr>
      <w:r w:rsidRPr="007D217F">
        <w:rPr>
          <w:b/>
          <w:bCs/>
        </w:rPr>
        <w:t>One-on-One Meetings</w:t>
      </w:r>
      <w:r w:rsidRPr="007D217F">
        <w:t xml:space="preserve"> with AFRL Directorate Leaders and SMEs (upon request) </w:t>
      </w:r>
    </w:p>
    <w:p w14:paraId="68AA594A" w14:textId="77777777" w:rsidR="007D217F" w:rsidRPr="007D217F" w:rsidRDefault="007D217F" w:rsidP="007D217F">
      <w:pPr>
        <w:rPr>
          <w:b/>
          <w:bCs/>
        </w:rPr>
      </w:pPr>
      <w:r w:rsidRPr="007D217F">
        <w:rPr>
          <w:b/>
          <w:bCs/>
        </w:rPr>
        <w:t>Register Now:</w:t>
      </w:r>
    </w:p>
    <w:p w14:paraId="6A305FB8" w14:textId="3532FEB7" w:rsidR="007D217F" w:rsidRPr="007D217F" w:rsidRDefault="007D217F" w:rsidP="007D217F">
      <w:r w:rsidRPr="007D217F">
        <w:t>For agenda details, attendee registration, and industry exhibit opportunities, visit:</w:t>
      </w:r>
      <w:r w:rsidRPr="007D217F">
        <w:br/>
      </w:r>
      <w:hyperlink r:id="rId5" w:history="1">
        <w:r w:rsidRPr="007D217F">
          <w:rPr>
            <w:rStyle w:val="Hyperlink"/>
          </w:rPr>
          <w:t>www.daytondefense.org/wdi</w:t>
        </w:r>
      </w:hyperlink>
      <w:r w:rsidR="00A376DC">
        <w:t xml:space="preserve"> </w:t>
      </w:r>
    </w:p>
    <w:p w14:paraId="471E3B69" w14:textId="77777777" w:rsidR="00460C9B" w:rsidRPr="007D217F" w:rsidRDefault="00460C9B" w:rsidP="007D217F"/>
    <w:sectPr w:rsidR="00460C9B" w:rsidRPr="007D2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20A1C"/>
    <w:multiLevelType w:val="multilevel"/>
    <w:tmpl w:val="F83A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21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3A"/>
    <w:rsid w:val="0007183A"/>
    <w:rsid w:val="00174AD7"/>
    <w:rsid w:val="00313B98"/>
    <w:rsid w:val="00314F98"/>
    <w:rsid w:val="0032718C"/>
    <w:rsid w:val="00366583"/>
    <w:rsid w:val="00460C9B"/>
    <w:rsid w:val="006735D3"/>
    <w:rsid w:val="007D217F"/>
    <w:rsid w:val="0089136F"/>
    <w:rsid w:val="00961F54"/>
    <w:rsid w:val="00963342"/>
    <w:rsid w:val="00966F45"/>
    <w:rsid w:val="00A376DC"/>
    <w:rsid w:val="00A966CB"/>
    <w:rsid w:val="00AF46E1"/>
    <w:rsid w:val="00C11B7A"/>
    <w:rsid w:val="00E47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45D0"/>
  <w15:chartTrackingRefBased/>
  <w15:docId w15:val="{E667A77F-A383-455E-A420-8ABA3C1F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83A"/>
    <w:rPr>
      <w:rFonts w:eastAsiaTheme="majorEastAsia" w:cstheme="majorBidi"/>
      <w:color w:val="272727" w:themeColor="text1" w:themeTint="D8"/>
    </w:rPr>
  </w:style>
  <w:style w:type="paragraph" w:styleId="Title">
    <w:name w:val="Title"/>
    <w:basedOn w:val="Normal"/>
    <w:next w:val="Normal"/>
    <w:link w:val="TitleChar"/>
    <w:uiPriority w:val="10"/>
    <w:qFormat/>
    <w:rsid w:val="00071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83A"/>
    <w:pPr>
      <w:spacing w:before="160"/>
      <w:jc w:val="center"/>
    </w:pPr>
    <w:rPr>
      <w:i/>
      <w:iCs/>
      <w:color w:val="404040" w:themeColor="text1" w:themeTint="BF"/>
    </w:rPr>
  </w:style>
  <w:style w:type="character" w:customStyle="1" w:styleId="QuoteChar">
    <w:name w:val="Quote Char"/>
    <w:basedOn w:val="DefaultParagraphFont"/>
    <w:link w:val="Quote"/>
    <w:uiPriority w:val="29"/>
    <w:rsid w:val="0007183A"/>
    <w:rPr>
      <w:i/>
      <w:iCs/>
      <w:color w:val="404040" w:themeColor="text1" w:themeTint="BF"/>
    </w:rPr>
  </w:style>
  <w:style w:type="paragraph" w:styleId="ListParagraph">
    <w:name w:val="List Paragraph"/>
    <w:basedOn w:val="Normal"/>
    <w:uiPriority w:val="34"/>
    <w:qFormat/>
    <w:rsid w:val="0007183A"/>
    <w:pPr>
      <w:ind w:left="720"/>
      <w:contextualSpacing/>
    </w:pPr>
  </w:style>
  <w:style w:type="character" w:styleId="IntenseEmphasis">
    <w:name w:val="Intense Emphasis"/>
    <w:basedOn w:val="DefaultParagraphFont"/>
    <w:uiPriority w:val="21"/>
    <w:qFormat/>
    <w:rsid w:val="0007183A"/>
    <w:rPr>
      <w:i/>
      <w:iCs/>
      <w:color w:val="0F4761" w:themeColor="accent1" w:themeShade="BF"/>
    </w:rPr>
  </w:style>
  <w:style w:type="paragraph" w:styleId="IntenseQuote">
    <w:name w:val="Intense Quote"/>
    <w:basedOn w:val="Normal"/>
    <w:next w:val="Normal"/>
    <w:link w:val="IntenseQuoteChar"/>
    <w:uiPriority w:val="30"/>
    <w:qFormat/>
    <w:rsid w:val="00071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83A"/>
    <w:rPr>
      <w:i/>
      <w:iCs/>
      <w:color w:val="0F4761" w:themeColor="accent1" w:themeShade="BF"/>
    </w:rPr>
  </w:style>
  <w:style w:type="character" w:styleId="IntenseReference">
    <w:name w:val="Intense Reference"/>
    <w:basedOn w:val="DefaultParagraphFont"/>
    <w:uiPriority w:val="32"/>
    <w:qFormat/>
    <w:rsid w:val="0007183A"/>
    <w:rPr>
      <w:b/>
      <w:bCs/>
      <w:smallCaps/>
      <w:color w:val="0F4761" w:themeColor="accent1" w:themeShade="BF"/>
      <w:spacing w:val="5"/>
    </w:rPr>
  </w:style>
  <w:style w:type="character" w:styleId="Hyperlink">
    <w:name w:val="Hyperlink"/>
    <w:basedOn w:val="DefaultParagraphFont"/>
    <w:uiPriority w:val="99"/>
    <w:unhideWhenUsed/>
    <w:rsid w:val="00A376DC"/>
    <w:rPr>
      <w:color w:val="467886" w:themeColor="hyperlink"/>
      <w:u w:val="single"/>
    </w:rPr>
  </w:style>
  <w:style w:type="character" w:styleId="UnresolvedMention">
    <w:name w:val="Unresolved Mention"/>
    <w:basedOn w:val="DefaultParagraphFont"/>
    <w:uiPriority w:val="99"/>
    <w:semiHidden/>
    <w:unhideWhenUsed/>
    <w:rsid w:val="00A376DC"/>
    <w:rPr>
      <w:color w:val="605E5C"/>
      <w:shd w:val="clear" w:color="auto" w:fill="E1DFDD"/>
    </w:rPr>
  </w:style>
  <w:style w:type="character" w:styleId="FollowedHyperlink">
    <w:name w:val="FollowedHyperlink"/>
    <w:basedOn w:val="DefaultParagraphFont"/>
    <w:uiPriority w:val="99"/>
    <w:semiHidden/>
    <w:unhideWhenUsed/>
    <w:rsid w:val="00A376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b.cvent.com/event/0b9b3043-3cd1-4dc3-b211-fb07954eb5cd/websitePage:76451a34-a891-4e88-aa86-98dd36c5e0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HATTON, MICHAEL A CIV USAF AFMC AFRL/SPC</dc:creator>
  <cp:keywords/>
  <dc:description/>
  <cp:lastModifiedBy>REED, MARIA C CIV USAF AFMC AFRL/SPC</cp:lastModifiedBy>
  <cp:revision>2</cp:revision>
  <dcterms:created xsi:type="dcterms:W3CDTF">2026-04-09T14:18:00Z</dcterms:created>
  <dcterms:modified xsi:type="dcterms:W3CDTF">2026-04-09T14:18:00Z</dcterms:modified>
</cp:coreProperties>
</file>