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PHYSIOLOGIC MONITOR MODULES: EEG (SEDATION MONITOR)</w:t>
            </w:r>
            <w:r w:rsidRPr="000104D7">
              <w:rPr>
                <w:rStyle w:val="AAMSKBFill-InHighlight"/>
                <w:color w:val="auto"/>
              </w:rPr>
              <w:t xml:space="preserve"> </w:t>
            </w:r>
            <w:r>
              <w:rPr>
                <w:rStyle w:val="AAMSKBFill-InHighlight"/>
                <w:color w:val="auto"/>
              </w:rPr>
              <w:t>(VA-26-00042266)</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21703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36C10X26Q0107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04-01-2026</w:t>
            </w:r>
            <w:r w:rsidRPr="004C7C18">
              <w:rPr>
                <w:rStyle w:val="AAMSKBFill-InHighlight"/>
                <w:rFonts w:asciiTheme="minorHAnsi" w:hAnsiTheme="minorHAnsi" w:cstheme="minorHAnsi"/>
              </w:rPr>
              <w:t xml:space="preserve"> </w:t>
            </w:r>
            <w:r>
              <w:rPr>
                <w:rFonts w:asciiTheme="minorHAnsi" w:hAnsiTheme="minorHAnsi" w:cstheme="minorHAnsi"/>
                <w:szCs w:val="20"/>
              </w:rPr>
              <w:t>11:59</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90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Strategic Acquisition Center - Frederick</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5202 Presidents Court, Suite 103</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Frederick MD  21703</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Hosea Berkley</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hosea.berkley@va.gov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202-276-2991</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NATIONWIDE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https://www.va.gov/opal/sac/index.asp</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VA | OALC | OPAL | SAC</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hosea.berkley@va.gov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hosea.berkley@va.gov</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C80E06" w:rsidRPr="008620BA" w:rsidP="00C80E06">
      <w:pPr>
        <w:rPr>
          <w:rFonts w:ascii="Arial" w:hAnsi="Arial" w:cs="Arial"/>
          <w:b/>
          <w:bCs/>
        </w:rPr>
      </w:pPr>
      <w:r w:rsidRPr="008620BA">
        <w:rPr>
          <w:rFonts w:ascii="Arial" w:hAnsi="Arial" w:cs="Arial"/>
          <w:b/>
          <w:bCs/>
        </w:rPr>
        <w:t>1. DESCRIPTION</w:t>
      </w:r>
    </w:p>
    <w:p w:rsidR="00C80E06" w:rsidRPr="008620BA" w:rsidP="00C80E06">
      <w:pPr>
        <w:rPr>
          <w:rFonts w:ascii="Arial" w:hAnsi="Arial" w:cs="Arial"/>
        </w:rPr>
      </w:pPr>
      <w:r w:rsidRPr="008620BA">
        <w:rPr>
          <w:rFonts w:ascii="Arial" w:hAnsi="Arial" w:cs="Arial"/>
        </w:rPr>
        <w:t xml:space="preserve">The Veterans Health Administration (VHA) Non-Expendable Equipment National Program has identified </w:t>
      </w:r>
      <w:r w:rsidRPr="00F400F8">
        <w:rPr>
          <w:rFonts w:ascii="Arial" w:hAnsi="Arial" w:cs="Arial"/>
          <w:color w:val="000000" w:themeColor="text1"/>
          <w:sz w:val="24"/>
          <w:szCs w:val="24"/>
        </w:rPr>
        <w:t xml:space="preserve">SedLine® </w:t>
      </w:r>
      <w:r w:rsidRPr="00F400F8">
        <w:rPr>
          <w:rStyle w:val="s2"/>
          <w:rFonts w:ascii="Arial" w:hAnsi="Arial" w:cs="Arial"/>
          <w:color w:val="000000" w:themeColor="text1"/>
          <w:sz w:val="24"/>
          <w:szCs w:val="24"/>
        </w:rPr>
        <w:t>Electroencephalogram (EEG)</w:t>
      </w:r>
      <w:r>
        <w:rPr>
          <w:rStyle w:val="s2"/>
          <w:rFonts w:ascii="Arial" w:hAnsi="Arial" w:cs="Arial"/>
          <w:color w:val="000000" w:themeColor="text1"/>
          <w:sz w:val="24"/>
          <w:szCs w:val="24"/>
        </w:rPr>
        <w:t xml:space="preserve"> monitors</w:t>
      </w:r>
      <w:r w:rsidRPr="008620BA">
        <w:rPr>
          <w:rFonts w:ascii="Arial" w:hAnsi="Arial" w:cs="Arial"/>
        </w:rPr>
        <w:t xml:space="preserve"> as a candidate for a VA-wide (otherwise referred to as “national”) single Requirements contract award.  </w:t>
      </w:r>
    </w:p>
    <w:p w:rsidR="00C80E06" w:rsidRPr="008620BA" w:rsidP="00C80E06">
      <w:pPr>
        <w:rPr>
          <w:rFonts w:ascii="Arial" w:hAnsi="Arial" w:cs="Arial"/>
        </w:rPr>
      </w:pPr>
      <w:r w:rsidRPr="008620BA">
        <w:rPr>
          <w:rFonts w:ascii="Arial" w:hAnsi="Arial" w:cs="Arial"/>
        </w:rPr>
        <w:t>The Department of Veterans Affairs’ (DVA) Office of Procurement, Acquisition and Logistics (OPAL) Strategic Acquisition Center (SAC) on behalf of VHA is issuing this Sources Sought Notice in accordance with the FAR 10.00</w:t>
      </w:r>
      <w:r>
        <w:rPr>
          <w:rFonts w:ascii="Arial" w:hAnsi="Arial" w:cs="Arial"/>
        </w:rPr>
        <w:t>1</w:t>
      </w:r>
      <w:r w:rsidRPr="008620BA">
        <w:rPr>
          <w:rFonts w:ascii="Arial" w:hAnsi="Arial" w:cs="Arial"/>
        </w:rPr>
        <w:t xml:space="preserve">(b) to determine the availability and technical capabilities of qualified sources. </w:t>
      </w:r>
    </w:p>
    <w:p w:rsidR="00C80E06" w:rsidRPr="008620BA" w:rsidP="00C80E06">
      <w:pPr>
        <w:rPr>
          <w:rFonts w:ascii="Arial" w:hAnsi="Arial" w:cs="Arial"/>
        </w:rPr>
      </w:pPr>
      <w:r w:rsidRPr="008620BA">
        <w:rPr>
          <w:rFonts w:ascii="Arial" w:hAnsi="Arial" w:cs="Arial"/>
        </w:rPr>
        <w:t xml:space="preserve">The SAC in conjunction with VHA is seeking a qualified source to </w:t>
      </w:r>
      <w:r w:rsidRPr="00453597">
        <w:rPr>
          <w:rFonts w:ascii="Arial" w:hAnsi="Arial" w:cs="Arial"/>
        </w:rPr>
        <w:t>provide</w:t>
      </w:r>
      <w:r w:rsidRPr="00453597">
        <w:rPr>
          <w:rFonts w:ascii="Arial" w:hAnsi="Arial" w:cs="Arial"/>
          <w:b/>
          <w:bCs/>
        </w:rPr>
        <w:t xml:space="preserve"> </w:t>
      </w:r>
      <w:r>
        <w:rPr>
          <w:rFonts w:ascii="Arial" w:hAnsi="Arial" w:cs="Arial"/>
          <w:b/>
          <w:bCs/>
        </w:rPr>
        <w:t>SedLine</w:t>
      </w:r>
      <w:r w:rsidRPr="00453597">
        <w:rPr>
          <w:rFonts w:ascii="Arial" w:hAnsi="Arial" w:cs="Arial"/>
          <w:b/>
          <w:bCs/>
        </w:rPr>
        <w:t xml:space="preserve"> brand name or equal for the </w:t>
      </w:r>
      <w:r w:rsidRPr="00F400F8" w:rsidR="00430B96">
        <w:rPr>
          <w:rFonts w:ascii="Arial" w:hAnsi="Arial" w:cs="Arial"/>
          <w:color w:val="000000" w:themeColor="text1"/>
          <w:sz w:val="24"/>
          <w:szCs w:val="24"/>
        </w:rPr>
        <w:t xml:space="preserve">SedLine® </w:t>
      </w:r>
      <w:r w:rsidRPr="00F400F8" w:rsidR="00430B96">
        <w:rPr>
          <w:rStyle w:val="s2"/>
          <w:rFonts w:ascii="Arial" w:hAnsi="Arial" w:cs="Arial"/>
          <w:color w:val="000000" w:themeColor="text1"/>
          <w:sz w:val="24"/>
          <w:szCs w:val="24"/>
        </w:rPr>
        <w:t>Electroencephalogram (EEG) based sedation monitor</w:t>
      </w:r>
      <w:r w:rsidRPr="00453597" w:rsidR="00430B96">
        <w:rPr>
          <w:rFonts w:ascii="Arial" w:hAnsi="Arial" w:cs="Arial"/>
          <w:b/>
          <w:bCs/>
        </w:rPr>
        <w:t xml:space="preserve"> </w:t>
      </w:r>
      <w:r w:rsidRPr="008620BA">
        <w:rPr>
          <w:rFonts w:ascii="Arial" w:hAnsi="Arial" w:cs="Arial"/>
        </w:rPr>
        <w:t xml:space="preserve">on an agency wide basis. VA intends to award a Requirements Contract with Firm-Fixed Price (FFP) orders IAW FAR 16.503, Requirements Contract to a supplier of this equipment. Vendors will be required to deliver the </w:t>
      </w:r>
      <w:r w:rsidRPr="00F400F8" w:rsidR="00430B96">
        <w:rPr>
          <w:rFonts w:ascii="Arial" w:hAnsi="Arial" w:cs="Arial"/>
          <w:color w:val="000000" w:themeColor="text1"/>
          <w:sz w:val="24"/>
          <w:szCs w:val="24"/>
        </w:rPr>
        <w:t xml:space="preserve">SedLine® </w:t>
      </w:r>
      <w:r w:rsidRPr="00F400F8" w:rsidR="00430B96">
        <w:rPr>
          <w:rStyle w:val="s2"/>
          <w:rFonts w:ascii="Arial" w:hAnsi="Arial" w:cs="Arial"/>
          <w:color w:val="000000" w:themeColor="text1"/>
          <w:sz w:val="24"/>
          <w:szCs w:val="24"/>
        </w:rPr>
        <w:t>Electroencephalogram (EEG) based sedation monitor</w:t>
      </w:r>
      <w:r w:rsidRPr="008620BA" w:rsidR="00430B96">
        <w:rPr>
          <w:rFonts w:ascii="Arial" w:hAnsi="Arial" w:cs="Arial"/>
        </w:rPr>
        <w:t xml:space="preserve"> </w:t>
      </w:r>
      <w:r w:rsidRPr="008620BA">
        <w:rPr>
          <w:rFonts w:ascii="Arial" w:hAnsi="Arial" w:cs="Arial"/>
        </w:rPr>
        <w:t xml:space="preserve">to VA medical centers and facilities throughout the United States and its territories. </w:t>
      </w:r>
    </w:p>
    <w:p w:rsidR="00C80E06" w:rsidRPr="008620BA" w:rsidP="00C80E06">
      <w:pPr>
        <w:rPr>
          <w:rFonts w:ascii="Arial" w:hAnsi="Arial" w:cs="Arial"/>
        </w:rPr>
      </w:pPr>
      <w:r w:rsidRPr="008620BA">
        <w:rPr>
          <w:rFonts w:ascii="Arial" w:hAnsi="Arial" w:cs="Arial"/>
        </w:rPr>
        <w:t>The anticipated period of performance is for one</w:t>
      </w:r>
      <w:r>
        <w:rPr>
          <w:rFonts w:ascii="Arial" w:hAnsi="Arial" w:cs="Arial"/>
        </w:rPr>
        <w:t xml:space="preserve"> (1)</w:t>
      </w:r>
      <w:r w:rsidRPr="008620BA">
        <w:rPr>
          <w:rFonts w:ascii="Arial" w:hAnsi="Arial" w:cs="Arial"/>
        </w:rPr>
        <w:t xml:space="preserve"> 12-month base period with four</w:t>
      </w:r>
      <w:r>
        <w:rPr>
          <w:rFonts w:ascii="Arial" w:hAnsi="Arial" w:cs="Arial"/>
        </w:rPr>
        <w:t xml:space="preserve"> (4)</w:t>
      </w:r>
      <w:r w:rsidRPr="008620BA">
        <w:rPr>
          <w:rFonts w:ascii="Arial" w:hAnsi="Arial" w:cs="Arial"/>
        </w:rPr>
        <w:t xml:space="preserve"> 12-month option periods from the date of award. However, the Government's decision as to whether to continue with the contract, upon annual review, will be based upon successful performance during each previous year and continued need. </w:t>
      </w:r>
    </w:p>
    <w:p w:rsidR="00C80E06" w:rsidRPr="008620BA" w:rsidP="00C80E06">
      <w:pPr>
        <w:rPr>
          <w:rFonts w:ascii="Arial" w:hAnsi="Arial" w:cs="Arial"/>
        </w:rPr>
      </w:pPr>
      <w:r w:rsidRPr="008620BA">
        <w:rPr>
          <w:rFonts w:ascii="Arial" w:hAnsi="Arial" w:cs="Arial"/>
        </w:rPr>
        <w:t xml:space="preserve">The associated North American Industrial Classification System (NAICS) code for this procurement is </w:t>
      </w:r>
      <w:r w:rsidRPr="008620BA">
        <w:rPr>
          <w:rFonts w:ascii="Arial" w:hAnsi="Arial" w:cs="Arial"/>
          <w:lang w:bidi="en-US"/>
        </w:rPr>
        <w:t>339112 -</w:t>
      </w:r>
      <w:r w:rsidRPr="008620BA">
        <w:rPr>
          <w:rFonts w:ascii="Arial" w:hAnsi="Arial" w:cs="Arial"/>
        </w:rPr>
        <w:t xml:space="preserve"> Surgical Appliance and Supplies Manufacturing, Product Service Code: 6515 – Medical and Surgical Instruments, Equipment, and Supplies and the associated size standard is </w:t>
      </w:r>
      <w:r>
        <w:rPr>
          <w:rFonts w:ascii="Arial" w:hAnsi="Arial" w:cs="Arial"/>
        </w:rPr>
        <w:t>1,0</w:t>
      </w:r>
      <w:r w:rsidRPr="008620BA">
        <w:rPr>
          <w:rFonts w:ascii="Arial" w:hAnsi="Arial" w:cs="Arial"/>
        </w:rPr>
        <w:t xml:space="preserve">00 employees. The FAR Provision found at 52.204-7(b)(1) requires that “All interested Offerors must be registered in SAM.gov prior to submitting an offer or quotation.” You may access the website at </w:t>
      </w:r>
      <w:r>
        <w:fldChar w:fldCharType="begin"/>
      </w:r>
      <w:r>
        <w:instrText xml:space="preserve"> HYPERLINK "https://sam.gov/content/home" </w:instrText>
      </w:r>
      <w:r>
        <w:fldChar w:fldCharType="separate"/>
      </w:r>
      <w:r w:rsidRPr="008620BA">
        <w:rPr>
          <w:rStyle w:val="Hyperlink"/>
          <w:rFonts w:ascii="Arial" w:hAnsi="Arial" w:cs="Arial"/>
        </w:rPr>
        <w:t>SAM.gov | Home</w:t>
      </w:r>
      <w:r>
        <w:fldChar w:fldCharType="end"/>
      </w:r>
      <w:r w:rsidRPr="008620BA">
        <w:rPr>
          <w:rFonts w:ascii="Arial" w:hAnsi="Arial" w:cs="Arial"/>
        </w:rPr>
        <w:t xml:space="preserve">. All offerors must be certified with the appropriate NAICS code on the SAM website. All SDVOSB/VOSB offerors must be verified in the SBA database at: </w:t>
      </w:r>
      <w:r>
        <w:fldChar w:fldCharType="begin"/>
      </w:r>
      <w:r>
        <w:instrText xml:space="preserve"> HYPERLINK "https://veterans.certify.sba.gov/" \l "search" </w:instrText>
      </w:r>
      <w:r>
        <w:fldChar w:fldCharType="separate"/>
      </w:r>
      <w:r w:rsidRPr="008620BA">
        <w:rPr>
          <w:rStyle w:val="Hyperlink"/>
          <w:rFonts w:ascii="Arial" w:hAnsi="Arial" w:cs="Arial"/>
        </w:rPr>
        <w:t>https://veterans.certify.sba.gov/#search</w:t>
      </w:r>
      <w:r>
        <w:fldChar w:fldCharType="end"/>
      </w:r>
      <w:r w:rsidRPr="008620BA">
        <w:rPr>
          <w:rFonts w:ascii="Arial" w:hAnsi="Arial" w:cs="Arial"/>
        </w:rPr>
        <w:t xml:space="preserve"> at the time of quote submission.</w:t>
      </w:r>
    </w:p>
    <w:p w:rsidR="00977AC2" w:rsidP="00C80E06">
      <w:pPr>
        <w:rPr>
          <w:rFonts w:ascii="Arial" w:hAnsi="Arial" w:cs="Arial"/>
        </w:rPr>
      </w:pPr>
      <w:r w:rsidRPr="00753823">
        <w:rPr>
          <w:rFonts w:ascii="Arial" w:hAnsi="Arial" w:cs="Arial"/>
          <w:b/>
          <w:bCs/>
        </w:rPr>
        <w:t>This notice is for planning purposes only and does not constitute a commitment on the part of the Government to award a contract, nor does the Government intend to pay for any information submitted as a result of this notice</w:t>
      </w:r>
      <w:r w:rsidRPr="008620BA">
        <w:rPr>
          <w:rFonts w:ascii="Arial" w:hAnsi="Arial" w:cs="Arial"/>
        </w:rPr>
        <w:t>. This Sources Sought Notice is part of a continuous process for obtaining the latest information on the commercial status of the industry with respect to their current and near-term abilities. The information provided herein is subject to change and in no way binds the Government to solicit for, or award, a competitive contract. It is emphasized that this is a notice solely for planning and informational purposes.</w:t>
      </w:r>
    </w:p>
    <w:p w:rsidR="00430B96" w:rsidRPr="00E87CA1" w:rsidP="00430B96">
      <w:pPr>
        <w:rPr>
          <w:rFonts w:ascii="Arial" w:hAnsi="Arial" w:cs="Arial"/>
          <w:b/>
          <w:bCs/>
        </w:rPr>
      </w:pPr>
      <w:r>
        <w:rPr>
          <w:rFonts w:ascii="Arial" w:hAnsi="Arial" w:cs="Arial"/>
          <w:b/>
          <w:bCs/>
        </w:rPr>
        <w:t xml:space="preserve">2. </w:t>
      </w:r>
      <w:r w:rsidRPr="008620BA">
        <w:rPr>
          <w:rFonts w:ascii="Arial" w:hAnsi="Arial" w:cs="Arial"/>
          <w:b/>
          <w:bCs/>
        </w:rPr>
        <w:t xml:space="preserve">SCOPE OF WORK:  </w:t>
      </w:r>
    </w:p>
    <w:p w:rsidR="00430B96" w:rsidRPr="008620BA" w:rsidP="00430B96">
      <w:pPr>
        <w:rPr>
          <w:rFonts w:ascii="Arial" w:hAnsi="Arial" w:cs="Arial"/>
        </w:rPr>
      </w:pPr>
      <w:r w:rsidRPr="008620BA">
        <w:rPr>
          <w:rFonts w:ascii="Arial" w:hAnsi="Arial" w:cs="Arial"/>
        </w:rPr>
        <w:t xml:space="preserve">The Veterans Health Administration (VHA) Non-Expendable Equipment National Program has identified the </w:t>
      </w:r>
      <w:r w:rsidRPr="00F400F8">
        <w:rPr>
          <w:rFonts w:ascii="Arial" w:hAnsi="Arial" w:cs="Arial"/>
          <w:color w:val="000000" w:themeColor="text1"/>
          <w:sz w:val="24"/>
          <w:szCs w:val="24"/>
        </w:rPr>
        <w:t xml:space="preserve">SedLine® </w:t>
      </w:r>
      <w:r w:rsidRPr="00F400F8">
        <w:rPr>
          <w:rStyle w:val="s2"/>
          <w:rFonts w:ascii="Arial" w:hAnsi="Arial" w:cs="Arial"/>
          <w:color w:val="000000" w:themeColor="text1"/>
          <w:sz w:val="24"/>
          <w:szCs w:val="24"/>
        </w:rPr>
        <w:t>Electroencephalogram (EEG) based sedation monitor</w:t>
      </w:r>
      <w:r w:rsidRPr="008620BA">
        <w:rPr>
          <w:rFonts w:ascii="Arial" w:hAnsi="Arial" w:cs="Arial"/>
        </w:rPr>
        <w:t xml:space="preserve"> </w:t>
      </w:r>
      <w:r>
        <w:rPr>
          <w:rFonts w:ascii="Arial" w:hAnsi="Arial" w:cs="Arial"/>
        </w:rPr>
        <w:t xml:space="preserve">product </w:t>
      </w:r>
      <w:r w:rsidRPr="008620BA">
        <w:rPr>
          <w:rFonts w:ascii="Arial" w:hAnsi="Arial" w:cs="Arial"/>
        </w:rPr>
        <w:t xml:space="preserve">line as a candidate for a VA-wide (otherwise referred to as “national”) Requirements contract.  </w:t>
      </w:r>
    </w:p>
    <w:p w:rsidR="00430B96" w:rsidRPr="008620BA" w:rsidP="00430B96">
      <w:pPr>
        <w:rPr>
          <w:rFonts w:ascii="Arial" w:hAnsi="Arial" w:cs="Arial"/>
        </w:rPr>
      </w:pPr>
      <w:r w:rsidRPr="00F400F8">
        <w:rPr>
          <w:rStyle w:val="s2"/>
          <w:rFonts w:ascii="Arial" w:hAnsi="Arial" w:cs="Arial"/>
          <w:color w:val="000000" w:themeColor="text1"/>
          <w:sz w:val="24"/>
          <w:szCs w:val="24"/>
        </w:rPr>
        <w:t xml:space="preserve">In </w:t>
      </w:r>
      <w:r>
        <w:rPr>
          <w:rStyle w:val="s2"/>
          <w:rFonts w:ascii="Arial" w:hAnsi="Arial" w:cs="Arial"/>
          <w:color w:val="000000" w:themeColor="text1"/>
          <w:sz w:val="24"/>
          <w:szCs w:val="24"/>
        </w:rPr>
        <w:t>Veterans Affairs Medical Data Needs System (</w:t>
      </w:r>
      <w:r w:rsidRPr="00F400F8">
        <w:rPr>
          <w:rStyle w:val="s2"/>
          <w:rFonts w:ascii="Arial" w:hAnsi="Arial" w:cs="Arial"/>
          <w:color w:val="000000" w:themeColor="text1"/>
          <w:sz w:val="24"/>
          <w:szCs w:val="24"/>
        </w:rPr>
        <w:t>VAMDNS</w:t>
      </w:r>
      <w:r>
        <w:rPr>
          <w:rStyle w:val="s2"/>
          <w:rFonts w:ascii="Arial" w:hAnsi="Arial" w:cs="Arial"/>
          <w:color w:val="000000" w:themeColor="text1"/>
          <w:sz w:val="24"/>
          <w:szCs w:val="24"/>
        </w:rPr>
        <w:t>)</w:t>
      </w:r>
      <w:r w:rsidRPr="00F400F8">
        <w:rPr>
          <w:rStyle w:val="s2"/>
          <w:rFonts w:ascii="Arial" w:hAnsi="Arial" w:cs="Arial"/>
          <w:color w:val="000000" w:themeColor="text1"/>
          <w:sz w:val="24"/>
          <w:szCs w:val="24"/>
        </w:rPr>
        <w:t>, this equipment category is defined as follows: modules designed to be used as a component of a physiologic monitor, along with related devices, to acquire, measure, and process information for the purpose of continuously monitoring electrical signals generated by the brain and the associated electroencephalogram (EEG). These modules contain electronic circuits or other technology designed to acquire and/or process a signal from one or more physiologic sensors (e.g., electrodes) and transmit it to the physiologic monitor, which contains the software designed to support the module's intended function(s). Electroencephalography monitor modules must be inserted in a dedicated location (e.g., ""slot"") within a physiologic monitor (e.g., modular or modular/configured bedside or transport monitor) or related device (e.g., module rack) in order to support the desired function(s). Typically, EEG measurements/trends are monitored via electrodes placed on a patient's scalp and/or forehead; intracranial (e.g., subdural, epidural) and nasopharyngeal sites are sometimes used. Electroencephalography module functions include display of numeric values/trends for EEG measurements and associated waveforms and appropriate initiation of visual/audible alarms. Electroencephalography modules may support a variety of signal-processing and display techniques (e.g., compressed spectral array, density spectral array, bispectral analysis), depending on the application (e.g., monitoring of intensive care patients, level-of-consciousness monitoring of anesthetized patients). An example of a specialized technique for level-of-consciousness monitoring is bispectral analysis, a signal-processing technique that quantifies the degree of phase coupling between the sinusoidal components of the EEG signal and produces an index from EEG data to correlate with the degree of awareness of anesthetized patients.</w:t>
      </w:r>
    </w:p>
    <w:p w:rsidR="00430B96" w:rsidRPr="00E87CA1" w:rsidP="00430B96">
      <w:pPr>
        <w:rPr>
          <w:rFonts w:ascii="Arial" w:hAnsi="Arial" w:cs="Arial"/>
          <w:b/>
          <w:bCs/>
        </w:rPr>
      </w:pPr>
      <w:r>
        <w:rPr>
          <w:rFonts w:ascii="Arial" w:hAnsi="Arial" w:cs="Arial"/>
          <w:b/>
          <w:bCs/>
        </w:rPr>
        <w:t>3</w:t>
      </w:r>
      <w:r w:rsidRPr="008620BA">
        <w:rPr>
          <w:rFonts w:ascii="Arial" w:hAnsi="Arial" w:cs="Arial"/>
          <w:b/>
          <w:bCs/>
        </w:rPr>
        <w:t>.   REQUIREMENT</w:t>
      </w:r>
    </w:p>
    <w:p w:rsidR="005B6153" w:rsidP="00430B96">
      <w:r w:rsidRPr="008620BA">
        <w:rPr>
          <w:rFonts w:ascii="Arial" w:hAnsi="Arial" w:cs="Arial"/>
        </w:rPr>
        <w:t xml:space="preserve">This requirement will be solicited and awarded as a “Brand Name or Equal” which requires the quoter indicate that each product being offered as an “equal” product to the </w:t>
      </w:r>
      <w:r w:rsidRPr="00F400F8">
        <w:rPr>
          <w:rFonts w:ascii="Arial" w:hAnsi="Arial" w:cs="Arial"/>
          <w:color w:val="000000" w:themeColor="text1"/>
          <w:sz w:val="24"/>
          <w:szCs w:val="24"/>
        </w:rPr>
        <w:t>SedLine®</w:t>
      </w:r>
      <w:r w:rsidRPr="00453597">
        <w:rPr>
          <w:rFonts w:ascii="Arial" w:hAnsi="Arial" w:cs="Arial"/>
          <w:b/>
          <w:bCs/>
        </w:rPr>
        <w:t xml:space="preserve"> brand name or equal for the </w:t>
      </w:r>
      <w:r w:rsidRPr="00F400F8">
        <w:rPr>
          <w:rFonts w:ascii="Arial" w:hAnsi="Arial" w:cs="Arial"/>
          <w:color w:val="000000" w:themeColor="text1"/>
          <w:sz w:val="24"/>
          <w:szCs w:val="24"/>
        </w:rPr>
        <w:t xml:space="preserve">SedLine® </w:t>
      </w:r>
      <w:r w:rsidRPr="00F400F8">
        <w:rPr>
          <w:rStyle w:val="s2"/>
          <w:rFonts w:ascii="Arial" w:hAnsi="Arial" w:cs="Arial"/>
          <w:color w:val="000000" w:themeColor="text1"/>
          <w:sz w:val="24"/>
          <w:szCs w:val="24"/>
        </w:rPr>
        <w:t>Electroencephalogram (EEG) based sedation monitor</w:t>
      </w:r>
      <w:r w:rsidRPr="00453597">
        <w:rPr>
          <w:rFonts w:ascii="Arial" w:hAnsi="Arial" w:cs="Arial"/>
          <w:b/>
          <w:bCs/>
        </w:rPr>
        <w:t xml:space="preserve"> </w:t>
      </w:r>
      <w:r w:rsidRPr="008620BA">
        <w:rPr>
          <w:rFonts w:ascii="Arial" w:hAnsi="Arial" w:cs="Arial"/>
        </w:rPr>
        <w:t xml:space="preserve">For each equal product, the offeror must include a description reflecting the salient characteristics (SC) and level of quality that will satisfy the salient physical, functional, or performance characteristics of the equal product(s) specified in the solicitation. The </w:t>
      </w:r>
      <w:r>
        <w:rPr>
          <w:rFonts w:ascii="Arial" w:hAnsi="Arial" w:cs="Arial"/>
        </w:rPr>
        <w:t>vendor</w:t>
      </w:r>
      <w:r w:rsidRPr="008620BA">
        <w:rPr>
          <w:rFonts w:ascii="Arial" w:hAnsi="Arial" w:cs="Arial"/>
        </w:rPr>
        <w:t xml:space="preserve"> must also clearly identify the item by brand name (if any) and make/model number. Finally, the </w:t>
      </w:r>
      <w:r>
        <w:rPr>
          <w:rFonts w:ascii="Arial" w:hAnsi="Arial" w:cs="Arial"/>
        </w:rPr>
        <w:t>vendo</w:t>
      </w:r>
      <w:r w:rsidRPr="008620BA">
        <w:rPr>
          <w:rFonts w:ascii="Arial" w:hAnsi="Arial" w:cs="Arial"/>
        </w:rPr>
        <w:t>r must include descriptive literature, such as illustrations, drawings, or a clear reference to previously furnished descriptive data or information available to the Contracting Officer and clearly describe any modifications it plans to make to a product to make it conform to the solicitation requirements.</w:t>
      </w:r>
    </w:p>
    <w:tbl>
      <w:tblPr>
        <w:tblStyle w:val="TableGrid"/>
        <w:tblW w:w="9468" w:type="dxa"/>
        <w:tblLook w:val="04A0"/>
      </w:tblPr>
      <w:tblGrid>
        <w:gridCol w:w="1290"/>
        <w:gridCol w:w="1610"/>
        <w:gridCol w:w="2079"/>
        <w:gridCol w:w="4489"/>
      </w:tblGrid>
      <w:tr w:rsidTr="003958D0">
        <w:tblPrEx>
          <w:tblW w:w="9468" w:type="dxa"/>
          <w:tblLook w:val="04A0"/>
        </w:tblPrEx>
        <w:trPr>
          <w:trHeight w:val="341"/>
        </w:trPr>
        <w:tc>
          <w:tcPr>
            <w:tcW w:w="1290" w:type="dxa"/>
            <w:shd w:val="clear" w:color="auto" w:fill="D9D9D9" w:themeFill="background1" w:themeFillShade="D9"/>
            <w:vAlign w:val="center"/>
            <w:hideMark/>
          </w:tcPr>
          <w:p w:rsidR="00F0690C" w:rsidRPr="008A5B9E" w:rsidP="003958D0">
            <w:pPr>
              <w:pStyle w:val="PlainText"/>
              <w:jc w:val="center"/>
              <w:rPr>
                <w:rFonts w:ascii="Arial" w:hAnsi="Arial" w:cs="Arial"/>
                <w:b/>
                <w:color w:val="000000" w:themeColor="text1"/>
              </w:rPr>
            </w:pPr>
            <w:r w:rsidRPr="008A5B9E">
              <w:rPr>
                <w:rFonts w:ascii="Arial" w:hAnsi="Arial" w:cs="Arial"/>
                <w:b/>
                <w:color w:val="000000" w:themeColor="text1"/>
              </w:rPr>
              <w:t>Contract Line Items</w:t>
            </w:r>
          </w:p>
        </w:tc>
        <w:tc>
          <w:tcPr>
            <w:tcW w:w="1560" w:type="dxa"/>
            <w:shd w:val="clear" w:color="auto" w:fill="D9D9D9" w:themeFill="background1" w:themeFillShade="D9"/>
            <w:vAlign w:val="center"/>
          </w:tcPr>
          <w:p w:rsidR="00F0690C" w:rsidRPr="008A5B9E" w:rsidP="003958D0">
            <w:pPr>
              <w:pStyle w:val="PlainText"/>
              <w:jc w:val="center"/>
              <w:rPr>
                <w:rFonts w:ascii="Arial" w:hAnsi="Arial" w:cs="Arial"/>
                <w:b/>
                <w:bCs/>
                <w:color w:val="000000" w:themeColor="text1"/>
              </w:rPr>
            </w:pPr>
            <w:r w:rsidRPr="008A5B9E">
              <w:rPr>
                <w:rFonts w:ascii="Arial" w:hAnsi="Arial" w:cs="Arial"/>
                <w:b/>
                <w:bCs/>
                <w:color w:val="000000" w:themeColor="text1"/>
              </w:rPr>
              <w:t>Manufacturer</w:t>
            </w:r>
          </w:p>
        </w:tc>
        <w:tc>
          <w:tcPr>
            <w:tcW w:w="2092" w:type="dxa"/>
            <w:shd w:val="clear" w:color="auto" w:fill="D9D9D9" w:themeFill="background1" w:themeFillShade="D9"/>
            <w:vAlign w:val="center"/>
          </w:tcPr>
          <w:p w:rsidR="00F0690C" w:rsidRPr="008A5B9E" w:rsidP="003958D0">
            <w:pPr>
              <w:pStyle w:val="PlainText"/>
              <w:jc w:val="center"/>
              <w:rPr>
                <w:rFonts w:ascii="Arial" w:hAnsi="Arial" w:cs="Arial"/>
                <w:b/>
                <w:bCs/>
                <w:color w:val="000000" w:themeColor="text1"/>
              </w:rPr>
            </w:pPr>
            <w:r w:rsidRPr="008A5B9E">
              <w:rPr>
                <w:rFonts w:ascii="Arial" w:hAnsi="Arial" w:cs="Arial"/>
                <w:b/>
                <w:bCs/>
                <w:color w:val="000000" w:themeColor="text1"/>
              </w:rPr>
              <w:t>Part Number</w:t>
            </w:r>
          </w:p>
        </w:tc>
        <w:tc>
          <w:tcPr>
            <w:tcW w:w="4526" w:type="dxa"/>
            <w:shd w:val="clear" w:color="auto" w:fill="D9D9D9" w:themeFill="background1" w:themeFillShade="D9"/>
            <w:vAlign w:val="center"/>
          </w:tcPr>
          <w:p w:rsidR="00F0690C" w:rsidRPr="008A5B9E" w:rsidP="003958D0">
            <w:pPr>
              <w:pStyle w:val="PlainText"/>
              <w:jc w:val="center"/>
              <w:rPr>
                <w:rFonts w:ascii="Arial" w:hAnsi="Arial" w:cs="Arial"/>
                <w:b/>
                <w:bCs/>
                <w:color w:val="000000" w:themeColor="text1"/>
              </w:rPr>
            </w:pPr>
            <w:r w:rsidRPr="008A5B9E">
              <w:rPr>
                <w:rFonts w:ascii="Arial" w:hAnsi="Arial" w:cs="Arial"/>
                <w:b/>
                <w:bCs/>
                <w:color w:val="000000" w:themeColor="text1"/>
              </w:rPr>
              <w:t>Description</w:t>
            </w:r>
          </w:p>
        </w:tc>
      </w:tr>
      <w:tr w:rsidTr="003958D0">
        <w:tblPrEx>
          <w:tblW w:w="9468" w:type="dxa"/>
          <w:tblLook w:val="04A0"/>
        </w:tblPrEx>
        <w:trPr>
          <w:trHeight w:val="312"/>
        </w:trPr>
        <w:tc>
          <w:tcPr>
            <w:tcW w:w="1290" w:type="dxa"/>
            <w:noWrap/>
          </w:tcPr>
          <w:p w:rsidR="00F0690C" w:rsidRPr="008A5B9E" w:rsidP="003958D0">
            <w:pPr>
              <w:pStyle w:val="PlainText"/>
              <w:rPr>
                <w:rFonts w:ascii="Arial" w:hAnsi="Arial" w:cs="Arial"/>
                <w:color w:val="000000" w:themeColor="text1"/>
                <w:szCs w:val="22"/>
              </w:rPr>
            </w:pPr>
            <w:r w:rsidRPr="008A5B9E">
              <w:rPr>
                <w:rFonts w:ascii="Arial" w:hAnsi="Arial" w:cs="Arial"/>
                <w:color w:val="000000" w:themeColor="text1"/>
                <w:szCs w:val="22"/>
              </w:rPr>
              <w:t>0001</w:t>
            </w:r>
          </w:p>
        </w:tc>
        <w:tc>
          <w:tcPr>
            <w:tcW w:w="1560" w:type="dxa"/>
          </w:tcPr>
          <w:p w:rsidR="00F0690C" w:rsidRPr="008A5B9E" w:rsidP="003958D0">
            <w:pPr>
              <w:pStyle w:val="PlainText"/>
              <w:rPr>
                <w:rFonts w:ascii="Arial" w:hAnsi="Arial" w:cs="Arial"/>
                <w:color w:val="000000" w:themeColor="text1"/>
                <w:szCs w:val="22"/>
              </w:rPr>
            </w:pPr>
            <w:r w:rsidRPr="008A5B9E">
              <w:rPr>
                <w:rFonts w:ascii="Arial" w:hAnsi="Arial" w:cs="Arial"/>
                <w:color w:val="000000" w:themeColor="text1"/>
                <w:szCs w:val="22"/>
              </w:rPr>
              <w:t>Masimo</w:t>
            </w:r>
          </w:p>
        </w:tc>
        <w:tc>
          <w:tcPr>
            <w:tcW w:w="2092" w:type="dxa"/>
          </w:tcPr>
          <w:p w:rsidR="00F0690C" w:rsidRPr="008A5B9E" w:rsidP="003958D0">
            <w:pPr>
              <w:pStyle w:val="PlainText"/>
              <w:rPr>
                <w:rFonts w:ascii="Arial" w:hAnsi="Arial" w:cs="Arial"/>
                <w:bCs/>
                <w:color w:val="000000" w:themeColor="text1"/>
                <w:szCs w:val="22"/>
              </w:rPr>
            </w:pPr>
            <w:r w:rsidRPr="008A5B9E">
              <w:rPr>
                <w:rFonts w:ascii="Arial" w:hAnsi="Arial" w:cs="Arial"/>
                <w:color w:val="000000" w:themeColor="text1"/>
              </w:rPr>
              <w:t>9515</w:t>
            </w:r>
          </w:p>
        </w:tc>
        <w:tc>
          <w:tcPr>
            <w:tcW w:w="4526" w:type="dxa"/>
          </w:tcPr>
          <w:p w:rsidR="00F0690C" w:rsidRPr="008A5B9E" w:rsidP="003958D0">
            <w:pPr>
              <w:pStyle w:val="PlainText"/>
              <w:rPr>
                <w:rFonts w:ascii="Arial" w:hAnsi="Arial" w:cs="Arial"/>
                <w:color w:val="000000" w:themeColor="text1"/>
                <w:szCs w:val="22"/>
              </w:rPr>
            </w:pPr>
            <w:r w:rsidRPr="008A5B9E">
              <w:rPr>
                <w:rFonts w:ascii="Arial" w:hAnsi="Arial" w:cs="Arial"/>
                <w:color w:val="000000" w:themeColor="text1"/>
              </w:rPr>
              <w:t>KIT, ROOT, MASIMO, 1/BX</w:t>
            </w:r>
          </w:p>
        </w:tc>
      </w:tr>
      <w:tr w:rsidTr="003958D0">
        <w:tblPrEx>
          <w:tblW w:w="9468" w:type="dxa"/>
          <w:tblLook w:val="04A0"/>
        </w:tblPrEx>
        <w:trPr>
          <w:trHeight w:val="593"/>
        </w:trPr>
        <w:tc>
          <w:tcPr>
            <w:tcW w:w="1290" w:type="dxa"/>
            <w:noWrap/>
          </w:tcPr>
          <w:p w:rsidR="00F0690C" w:rsidRPr="008A5B9E" w:rsidP="003958D0">
            <w:pPr>
              <w:pStyle w:val="PlainText"/>
              <w:rPr>
                <w:rFonts w:ascii="Arial" w:hAnsi="Arial" w:cs="Arial"/>
                <w:color w:val="000000" w:themeColor="text1"/>
                <w:szCs w:val="22"/>
              </w:rPr>
            </w:pPr>
            <w:r w:rsidRPr="008A5B9E">
              <w:rPr>
                <w:rFonts w:ascii="Arial" w:hAnsi="Arial" w:cs="Arial"/>
                <w:color w:val="000000" w:themeColor="text1"/>
                <w:szCs w:val="22"/>
              </w:rPr>
              <w:t>0002</w:t>
            </w:r>
          </w:p>
        </w:tc>
        <w:tc>
          <w:tcPr>
            <w:tcW w:w="1560" w:type="dxa"/>
          </w:tcPr>
          <w:p w:rsidR="00F0690C" w:rsidRPr="008A5B9E" w:rsidP="003958D0">
            <w:pPr>
              <w:pStyle w:val="PlainText"/>
              <w:rPr>
                <w:rFonts w:ascii="Arial" w:hAnsi="Arial" w:cs="Arial"/>
                <w:color w:val="000000" w:themeColor="text1"/>
                <w:szCs w:val="22"/>
              </w:rPr>
            </w:pPr>
            <w:r w:rsidRPr="008A5B9E">
              <w:rPr>
                <w:rFonts w:ascii="Arial" w:hAnsi="Arial" w:cs="Arial"/>
                <w:color w:val="000000" w:themeColor="text1"/>
              </w:rPr>
              <w:t>Masimo</w:t>
            </w:r>
          </w:p>
        </w:tc>
        <w:tc>
          <w:tcPr>
            <w:tcW w:w="2092" w:type="dxa"/>
          </w:tcPr>
          <w:p w:rsidR="00F0690C" w:rsidRPr="008A5B9E" w:rsidP="003958D0">
            <w:pPr>
              <w:pStyle w:val="PlainText"/>
              <w:rPr>
                <w:rFonts w:ascii="Arial" w:hAnsi="Arial" w:cs="Arial"/>
                <w:bCs/>
                <w:color w:val="000000" w:themeColor="text1"/>
                <w:szCs w:val="22"/>
              </w:rPr>
            </w:pPr>
            <w:r w:rsidRPr="008A5B9E">
              <w:rPr>
                <w:rFonts w:ascii="Arial" w:hAnsi="Arial" w:cs="Arial"/>
                <w:color w:val="000000" w:themeColor="text1"/>
              </w:rPr>
              <w:t>4248</w:t>
            </w:r>
          </w:p>
        </w:tc>
        <w:tc>
          <w:tcPr>
            <w:tcW w:w="4526" w:type="dxa"/>
          </w:tcPr>
          <w:p w:rsidR="00F0690C" w:rsidRPr="008A5B9E" w:rsidP="003958D0">
            <w:pPr>
              <w:pStyle w:val="PlainText"/>
              <w:rPr>
                <w:rFonts w:ascii="Arial" w:hAnsi="Arial" w:cs="Arial"/>
                <w:color w:val="000000" w:themeColor="text1"/>
                <w:szCs w:val="22"/>
              </w:rPr>
            </w:pPr>
            <w:r w:rsidRPr="008A5B9E">
              <w:rPr>
                <w:rFonts w:ascii="Arial" w:hAnsi="Arial" w:cs="Arial"/>
                <w:color w:val="000000" w:themeColor="text1"/>
              </w:rPr>
              <w:t>RD SEDLINE EEG SENSOR, 25/BX</w:t>
            </w:r>
          </w:p>
        </w:tc>
      </w:tr>
      <w:tr w:rsidTr="003958D0">
        <w:tblPrEx>
          <w:tblW w:w="9468" w:type="dxa"/>
          <w:tblLook w:val="04A0"/>
        </w:tblPrEx>
        <w:trPr>
          <w:trHeight w:val="449"/>
        </w:trPr>
        <w:tc>
          <w:tcPr>
            <w:tcW w:w="1290" w:type="dxa"/>
            <w:noWrap/>
          </w:tcPr>
          <w:p w:rsidR="00F0690C" w:rsidRPr="008A5B9E" w:rsidP="003958D0">
            <w:pPr>
              <w:pStyle w:val="PlainText"/>
              <w:rPr>
                <w:rFonts w:ascii="Arial" w:hAnsi="Arial" w:cs="Arial"/>
                <w:color w:val="000000" w:themeColor="text1"/>
                <w:szCs w:val="22"/>
              </w:rPr>
            </w:pPr>
            <w:r w:rsidRPr="008A5B9E">
              <w:rPr>
                <w:rFonts w:ascii="Arial" w:hAnsi="Arial" w:cs="Arial"/>
                <w:color w:val="000000" w:themeColor="text1"/>
                <w:szCs w:val="22"/>
              </w:rPr>
              <w:t>0003</w:t>
            </w:r>
          </w:p>
        </w:tc>
        <w:tc>
          <w:tcPr>
            <w:tcW w:w="1560" w:type="dxa"/>
          </w:tcPr>
          <w:p w:rsidR="00F0690C" w:rsidRPr="008A5B9E" w:rsidP="003958D0">
            <w:pPr>
              <w:pStyle w:val="PlainText"/>
              <w:rPr>
                <w:rFonts w:ascii="Arial" w:hAnsi="Arial" w:cs="Arial"/>
                <w:color w:val="000000" w:themeColor="text1"/>
                <w:szCs w:val="22"/>
              </w:rPr>
            </w:pPr>
            <w:r w:rsidRPr="008A5B9E">
              <w:rPr>
                <w:rFonts w:ascii="Arial" w:hAnsi="Arial" w:cs="Arial"/>
                <w:color w:val="000000" w:themeColor="text1"/>
              </w:rPr>
              <w:t>Masimo</w:t>
            </w:r>
          </w:p>
        </w:tc>
        <w:tc>
          <w:tcPr>
            <w:tcW w:w="2092" w:type="dxa"/>
          </w:tcPr>
          <w:p w:rsidR="00F0690C" w:rsidRPr="008A5B9E" w:rsidP="003958D0">
            <w:pPr>
              <w:pStyle w:val="PlainText"/>
              <w:rPr>
                <w:rFonts w:ascii="Arial" w:hAnsi="Arial" w:cs="Arial"/>
                <w:color w:val="000000" w:themeColor="text1"/>
                <w:szCs w:val="22"/>
              </w:rPr>
            </w:pPr>
            <w:r w:rsidRPr="008A5B9E">
              <w:rPr>
                <w:rFonts w:ascii="Arial" w:hAnsi="Arial" w:cs="Arial"/>
                <w:color w:val="000000" w:themeColor="text1"/>
              </w:rPr>
              <w:t>9513</w:t>
            </w:r>
          </w:p>
        </w:tc>
        <w:tc>
          <w:tcPr>
            <w:tcW w:w="4526" w:type="dxa"/>
          </w:tcPr>
          <w:p w:rsidR="00F0690C" w:rsidRPr="008A5B9E" w:rsidP="003958D0">
            <w:pPr>
              <w:pStyle w:val="PlainText"/>
              <w:rPr>
                <w:rFonts w:ascii="Arial" w:hAnsi="Arial" w:cs="Arial"/>
                <w:color w:val="000000" w:themeColor="text1"/>
                <w:szCs w:val="22"/>
              </w:rPr>
            </w:pPr>
            <w:r w:rsidRPr="008A5B9E">
              <w:rPr>
                <w:rFonts w:ascii="Arial" w:hAnsi="Arial" w:cs="Arial"/>
                <w:color w:val="000000" w:themeColor="text1"/>
              </w:rPr>
              <w:t>SEDLINE KIT (MOC-9 MODULE AND PATIENT CABLE), 1/BX</w:t>
            </w:r>
          </w:p>
        </w:tc>
      </w:tr>
    </w:tbl>
    <w:p w:rsidR="00F0690C" w:rsidP="00430B96">
      <w:pPr>
        <w:rPr>
          <w:rFonts w:ascii="Arial" w:hAnsi="Arial" w:cs="Arial"/>
        </w:rPr>
      </w:pPr>
    </w:p>
    <w:p w:rsidR="00F0690C" w:rsidP="00430B96">
      <w:r w:rsidRPr="00701E13">
        <w:rPr>
          <w:rFonts w:ascii="Arial" w:hAnsi="Arial" w:cs="Arial"/>
        </w:rPr>
        <w:t xml:space="preserve">The Department of Veterans Affairs (VA) is seeking vendors who can provide </w:t>
      </w:r>
      <w:r>
        <w:rPr>
          <w:rFonts w:ascii="Arial" w:hAnsi="Arial" w:cs="Arial"/>
        </w:rPr>
        <w:t xml:space="preserve">Masimo </w:t>
      </w:r>
      <w:r w:rsidRPr="00F400F8">
        <w:rPr>
          <w:rFonts w:ascii="Arial" w:hAnsi="Arial" w:cs="Arial"/>
          <w:color w:val="000000" w:themeColor="text1"/>
          <w:sz w:val="24"/>
          <w:szCs w:val="24"/>
        </w:rPr>
        <w:t>SedLine®</w:t>
      </w:r>
      <w:r>
        <w:rPr>
          <w:rFonts w:ascii="Arial" w:hAnsi="Arial" w:cs="Arial"/>
          <w:color w:val="000000" w:themeColor="text1"/>
          <w:sz w:val="24"/>
          <w:szCs w:val="24"/>
        </w:rPr>
        <w:t xml:space="preserve"> as</w:t>
      </w:r>
      <w:r w:rsidRPr="00701E13">
        <w:rPr>
          <w:rFonts w:ascii="Arial" w:hAnsi="Arial" w:cs="Arial"/>
        </w:rPr>
        <w:t xml:space="preserve"> listed below which meet all the following </w:t>
      </w:r>
      <w:r>
        <w:rPr>
          <w:rFonts w:ascii="Arial" w:hAnsi="Arial" w:cs="Arial"/>
        </w:rPr>
        <w:t>S</w:t>
      </w:r>
      <w:r w:rsidRPr="00701E13">
        <w:rPr>
          <w:rFonts w:ascii="Arial" w:hAnsi="Arial" w:cs="Arial"/>
        </w:rPr>
        <w:t xml:space="preserve">alient </w:t>
      </w:r>
      <w:r>
        <w:rPr>
          <w:rFonts w:ascii="Arial" w:hAnsi="Arial" w:cs="Arial"/>
        </w:rPr>
        <w:t>C</w:t>
      </w:r>
      <w:r w:rsidRPr="00701E13">
        <w:rPr>
          <w:rFonts w:ascii="Arial" w:hAnsi="Arial" w:cs="Arial"/>
        </w:rPr>
        <w:t>haracteristics</w:t>
      </w:r>
      <w:r>
        <w:rPr>
          <w:rFonts w:ascii="Arial" w:hAnsi="Arial" w:cs="Arial"/>
        </w:rPr>
        <w:t xml:space="preserve"> (SC).  CLINs 0001 – 0003 apply to the following:  </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38"/>
        <w:gridCol w:w="4131"/>
        <w:gridCol w:w="1877"/>
        <w:gridCol w:w="2718"/>
      </w:tblGrid>
      <w:tr w:rsidTr="00F0690C">
        <w:tblPrEx>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647"/>
        </w:trPr>
        <w:tc>
          <w:tcPr>
            <w:tcW w:w="738" w:type="dxa"/>
            <w:vAlign w:val="center"/>
            <w:hideMark/>
          </w:tcPr>
          <w:p w:rsidR="00F0690C" w:rsidRPr="005A672E" w:rsidP="003958D0">
            <w:pPr>
              <w:jc w:val="center"/>
              <w:rPr>
                <w:rFonts w:ascii="Aptos" w:eastAsia="Times New Roman" w:hAnsi="Aptos" w:cs="Times New Roman"/>
                <w:color w:val="000000"/>
              </w:rPr>
            </w:pPr>
            <w:r>
              <w:rPr>
                <w:rFonts w:ascii="Aptos" w:eastAsia="Times New Roman" w:hAnsi="Aptos" w:cs="Times New Roman"/>
                <w:color w:val="000000"/>
              </w:rPr>
              <w:t>SC#</w:t>
            </w:r>
          </w:p>
        </w:tc>
        <w:tc>
          <w:tcPr>
            <w:tcW w:w="4131" w:type="dxa"/>
            <w:vAlign w:val="center"/>
            <w:hideMark/>
          </w:tcPr>
          <w:p w:rsidR="00F0690C" w:rsidRPr="005A672E" w:rsidP="003958D0">
            <w:pPr>
              <w:jc w:val="center"/>
              <w:rPr>
                <w:rFonts w:ascii="Aptos" w:eastAsia="Times New Roman" w:hAnsi="Aptos" w:cs="Times New Roman"/>
                <w:b/>
                <w:bCs/>
                <w:color w:val="000000"/>
              </w:rPr>
            </w:pPr>
            <w:r w:rsidRPr="005A672E">
              <w:rPr>
                <w:rFonts w:ascii="Aptos" w:eastAsia="Times New Roman" w:hAnsi="Aptos" w:cs="Times New Roman"/>
                <w:b/>
                <w:bCs/>
                <w:color w:val="000000"/>
              </w:rPr>
              <w:t>Salient Characteristics</w:t>
            </w:r>
          </w:p>
        </w:tc>
        <w:tc>
          <w:tcPr>
            <w:tcW w:w="1877" w:type="dxa"/>
            <w:noWrap/>
            <w:vAlign w:val="center"/>
            <w:hideMark/>
          </w:tcPr>
          <w:p w:rsidR="00F0690C" w:rsidRPr="005A672E" w:rsidP="003958D0">
            <w:pPr>
              <w:jc w:val="center"/>
              <w:rPr>
                <w:rFonts w:ascii="Aptos" w:eastAsia="Times New Roman" w:hAnsi="Aptos" w:cs="Times New Roman"/>
                <w:b/>
                <w:bCs/>
                <w:color w:val="000000"/>
              </w:rPr>
            </w:pPr>
            <w:r w:rsidRPr="005A672E">
              <w:rPr>
                <w:rFonts w:ascii="Aptos" w:eastAsia="Times New Roman" w:hAnsi="Aptos" w:cs="Times New Roman"/>
                <w:b/>
                <w:bCs/>
                <w:color w:val="000000"/>
              </w:rPr>
              <w:t>Method of Evaluation</w:t>
            </w:r>
          </w:p>
        </w:tc>
        <w:tc>
          <w:tcPr>
            <w:tcW w:w="2718" w:type="dxa"/>
            <w:noWrap/>
            <w:vAlign w:val="center"/>
            <w:hideMark/>
          </w:tcPr>
          <w:p w:rsidR="00F0690C" w:rsidRPr="005A672E" w:rsidP="003958D0">
            <w:pPr>
              <w:jc w:val="center"/>
              <w:rPr>
                <w:rFonts w:ascii="Aptos" w:eastAsia="Times New Roman" w:hAnsi="Aptos" w:cs="Times New Roman"/>
                <w:b/>
                <w:bCs/>
                <w:color w:val="000000"/>
              </w:rPr>
            </w:pPr>
            <w:r w:rsidRPr="005A672E">
              <w:rPr>
                <w:rFonts w:ascii="Aptos" w:eastAsia="Times New Roman" w:hAnsi="Aptos" w:cs="Times New Roman"/>
                <w:b/>
                <w:bCs/>
                <w:color w:val="000000"/>
              </w:rPr>
              <w:t>Literature Mapping</w:t>
            </w:r>
          </w:p>
        </w:tc>
      </w:tr>
      <w:tr w:rsidTr="00F0690C">
        <w:tblPrEx>
          <w:tblW w:w="9464" w:type="dxa"/>
          <w:tblLook w:val="04A0"/>
        </w:tblPrEx>
        <w:trPr>
          <w:trHeight w:val="1013"/>
        </w:trPr>
        <w:tc>
          <w:tcPr>
            <w:tcW w:w="738" w:type="dxa"/>
            <w:vAlign w:val="center"/>
            <w:hideMark/>
          </w:tcPr>
          <w:p w:rsidR="00F0690C" w:rsidRPr="005A672E" w:rsidP="003958D0">
            <w:pPr>
              <w:jc w:val="center"/>
              <w:rPr>
                <w:rFonts w:ascii="Aptos" w:eastAsia="Times New Roman" w:hAnsi="Aptos" w:cs="Times New Roman"/>
                <w:color w:val="000000"/>
              </w:rPr>
            </w:pPr>
            <w:r>
              <w:rPr>
                <w:rFonts w:ascii="Aptos" w:eastAsia="Times New Roman" w:hAnsi="Aptos" w:cs="Times New Roman"/>
                <w:color w:val="000000"/>
              </w:rPr>
              <w:t xml:space="preserve">SC </w:t>
            </w:r>
            <w:r w:rsidRPr="005A672E">
              <w:rPr>
                <w:rFonts w:ascii="Aptos" w:eastAsia="Times New Roman" w:hAnsi="Aptos" w:cs="Times New Roman"/>
                <w:color w:val="000000"/>
              </w:rPr>
              <w:t>1</w:t>
            </w:r>
          </w:p>
        </w:tc>
        <w:tc>
          <w:tcPr>
            <w:tcW w:w="4131" w:type="dxa"/>
            <w:vAlign w:val="center"/>
            <w:hideMark/>
          </w:tcPr>
          <w:p w:rsidR="00F0690C" w:rsidRPr="005A672E" w:rsidP="003958D0">
            <w:pPr>
              <w:jc w:val="center"/>
              <w:rPr>
                <w:rFonts w:ascii="Aptos" w:eastAsia="Times New Roman" w:hAnsi="Aptos" w:cs="Times New Roman"/>
                <w:color w:val="000000"/>
              </w:rPr>
            </w:pPr>
            <w:r w:rsidRPr="005A672E">
              <w:rPr>
                <w:rFonts w:ascii="Aptos" w:eastAsia="Times New Roman" w:hAnsi="Aptos" w:cs="Times New Roman"/>
                <w:color w:val="000000"/>
              </w:rPr>
              <w:t>System must provide processed Electroencephalogram (EEG) Index</w:t>
            </w:r>
          </w:p>
        </w:tc>
        <w:tc>
          <w:tcPr>
            <w:tcW w:w="1877" w:type="dxa"/>
            <w:noWrap/>
            <w:vAlign w:val="center"/>
            <w:hideMark/>
          </w:tcPr>
          <w:p w:rsidR="00F0690C" w:rsidRPr="005A672E" w:rsidP="003958D0">
            <w:pPr>
              <w:jc w:val="center"/>
              <w:rPr>
                <w:rFonts w:ascii="Aptos" w:eastAsia="Times New Roman" w:hAnsi="Aptos" w:cs="Times New Roman"/>
                <w:color w:val="000000"/>
              </w:rPr>
            </w:pPr>
            <w:r w:rsidRPr="005A672E">
              <w:rPr>
                <w:rFonts w:ascii="Aptos" w:eastAsia="Times New Roman" w:hAnsi="Aptos" w:cs="Times New Roman"/>
                <w:color w:val="000000"/>
              </w:rPr>
              <w:t>Literature</w:t>
            </w:r>
          </w:p>
        </w:tc>
        <w:tc>
          <w:tcPr>
            <w:tcW w:w="2718" w:type="dxa"/>
            <w:vAlign w:val="center"/>
            <w:hideMark/>
          </w:tcPr>
          <w:p w:rsidR="00F0690C" w:rsidRPr="005A672E" w:rsidP="003958D0">
            <w:pPr>
              <w:jc w:val="center"/>
              <w:rPr>
                <w:rFonts w:ascii="Aptos" w:eastAsia="Times New Roman" w:hAnsi="Aptos" w:cs="Times New Roman"/>
                <w:color w:val="000000"/>
              </w:rPr>
            </w:pPr>
            <w:r w:rsidRPr="005A672E">
              <w:rPr>
                <w:rFonts w:ascii="Aptos" w:eastAsia="Times New Roman" w:hAnsi="Aptos" w:cs="Times New Roman"/>
                <w:color w:val="000000"/>
              </w:rPr>
              <w:t>Brochure, Brain Monitoring Differentiation, US (PLM-11917C ) (2)” Page 3</w:t>
            </w:r>
          </w:p>
        </w:tc>
      </w:tr>
      <w:tr w:rsidTr="00F0690C">
        <w:tblPrEx>
          <w:tblW w:w="9464" w:type="dxa"/>
          <w:tblLook w:val="04A0"/>
        </w:tblPrEx>
        <w:trPr>
          <w:trHeight w:val="1078"/>
        </w:trPr>
        <w:tc>
          <w:tcPr>
            <w:tcW w:w="738" w:type="dxa"/>
            <w:vAlign w:val="center"/>
            <w:hideMark/>
          </w:tcPr>
          <w:p w:rsidR="00F0690C" w:rsidRPr="005A672E" w:rsidP="003958D0">
            <w:pPr>
              <w:jc w:val="center"/>
              <w:rPr>
                <w:rFonts w:ascii="Aptos" w:eastAsia="Times New Roman" w:hAnsi="Aptos" w:cs="Times New Roman"/>
                <w:color w:val="000000"/>
              </w:rPr>
            </w:pPr>
            <w:r>
              <w:rPr>
                <w:rFonts w:ascii="Aptos" w:eastAsia="Times New Roman" w:hAnsi="Aptos" w:cs="Times New Roman"/>
                <w:color w:val="000000"/>
              </w:rPr>
              <w:t xml:space="preserve">SC </w:t>
            </w:r>
            <w:r w:rsidRPr="005A672E">
              <w:rPr>
                <w:rFonts w:ascii="Aptos" w:eastAsia="Times New Roman" w:hAnsi="Aptos" w:cs="Times New Roman"/>
                <w:color w:val="000000"/>
              </w:rPr>
              <w:t>2</w:t>
            </w:r>
          </w:p>
        </w:tc>
        <w:tc>
          <w:tcPr>
            <w:tcW w:w="4131" w:type="dxa"/>
            <w:vAlign w:val="center"/>
            <w:hideMark/>
          </w:tcPr>
          <w:p w:rsidR="00F0690C" w:rsidRPr="005A672E" w:rsidP="003958D0">
            <w:pPr>
              <w:jc w:val="center"/>
              <w:rPr>
                <w:rFonts w:ascii="Aptos" w:eastAsia="Times New Roman" w:hAnsi="Aptos" w:cs="Times New Roman"/>
                <w:color w:val="000000"/>
              </w:rPr>
            </w:pPr>
            <w:r w:rsidRPr="005A672E">
              <w:rPr>
                <w:rFonts w:ascii="Aptos" w:eastAsia="Times New Roman" w:hAnsi="Aptos" w:cs="Times New Roman"/>
                <w:color w:val="000000"/>
              </w:rPr>
              <w:t>System must provide four channels of continuous raw EEG</w:t>
            </w:r>
          </w:p>
        </w:tc>
        <w:tc>
          <w:tcPr>
            <w:tcW w:w="1877" w:type="dxa"/>
            <w:noWrap/>
            <w:vAlign w:val="center"/>
            <w:hideMark/>
          </w:tcPr>
          <w:p w:rsidR="00F0690C" w:rsidRPr="005A672E" w:rsidP="003958D0">
            <w:pPr>
              <w:jc w:val="center"/>
              <w:rPr>
                <w:rFonts w:ascii="Aptos" w:eastAsia="Times New Roman" w:hAnsi="Aptos" w:cs="Times New Roman"/>
                <w:color w:val="000000"/>
              </w:rPr>
            </w:pPr>
            <w:r w:rsidRPr="005A672E">
              <w:rPr>
                <w:rFonts w:ascii="Aptos" w:eastAsia="Times New Roman" w:hAnsi="Aptos" w:cs="Times New Roman"/>
                <w:color w:val="000000"/>
              </w:rPr>
              <w:t>Literature</w:t>
            </w:r>
          </w:p>
        </w:tc>
        <w:tc>
          <w:tcPr>
            <w:tcW w:w="2718" w:type="dxa"/>
            <w:vAlign w:val="center"/>
            <w:hideMark/>
          </w:tcPr>
          <w:p w:rsidR="00F0690C" w:rsidRPr="005A672E" w:rsidP="003958D0">
            <w:pPr>
              <w:jc w:val="center"/>
              <w:rPr>
                <w:rFonts w:ascii="Aptos" w:eastAsia="Times New Roman" w:hAnsi="Aptos" w:cs="Times New Roman"/>
                <w:color w:val="000000"/>
              </w:rPr>
            </w:pPr>
            <w:r w:rsidRPr="005A672E">
              <w:rPr>
                <w:rFonts w:ascii="Aptos" w:eastAsia="Times New Roman" w:hAnsi="Aptos" w:cs="Times New Roman"/>
                <w:color w:val="000000"/>
              </w:rPr>
              <w:t>Brochure, Next Generation SedLine (PS-60586) (PLM-11107B) (2) Page 4</w:t>
            </w:r>
          </w:p>
        </w:tc>
      </w:tr>
      <w:tr w:rsidTr="00F0690C">
        <w:tblPrEx>
          <w:tblW w:w="9464" w:type="dxa"/>
          <w:tblLook w:val="04A0"/>
        </w:tblPrEx>
        <w:trPr>
          <w:trHeight w:val="1313"/>
        </w:trPr>
        <w:tc>
          <w:tcPr>
            <w:tcW w:w="738" w:type="dxa"/>
            <w:vAlign w:val="center"/>
            <w:hideMark/>
          </w:tcPr>
          <w:p w:rsidR="00F0690C" w:rsidRPr="005A672E" w:rsidP="003958D0">
            <w:pPr>
              <w:jc w:val="center"/>
              <w:rPr>
                <w:rFonts w:ascii="Aptos" w:eastAsia="Times New Roman" w:hAnsi="Aptos" w:cs="Times New Roman"/>
                <w:color w:val="000000"/>
              </w:rPr>
            </w:pPr>
            <w:r>
              <w:rPr>
                <w:rFonts w:ascii="Aptos" w:eastAsia="Times New Roman" w:hAnsi="Aptos" w:cs="Times New Roman"/>
                <w:color w:val="000000"/>
              </w:rPr>
              <w:t xml:space="preserve">SC </w:t>
            </w:r>
            <w:r w:rsidRPr="005A672E">
              <w:rPr>
                <w:rFonts w:ascii="Aptos" w:eastAsia="Times New Roman" w:hAnsi="Aptos" w:cs="Times New Roman"/>
                <w:color w:val="000000"/>
              </w:rPr>
              <w:t>3</w:t>
            </w:r>
          </w:p>
        </w:tc>
        <w:tc>
          <w:tcPr>
            <w:tcW w:w="4131" w:type="dxa"/>
            <w:vAlign w:val="center"/>
            <w:hideMark/>
          </w:tcPr>
          <w:p w:rsidR="00F0690C" w:rsidRPr="005A672E" w:rsidP="003958D0">
            <w:pPr>
              <w:jc w:val="center"/>
              <w:rPr>
                <w:rFonts w:ascii="Aptos" w:eastAsia="Times New Roman" w:hAnsi="Aptos" w:cs="Times New Roman"/>
                <w:color w:val="000000"/>
              </w:rPr>
            </w:pPr>
            <w:r w:rsidRPr="005A672E">
              <w:rPr>
                <w:rFonts w:ascii="Aptos" w:eastAsia="Times New Roman" w:hAnsi="Aptos" w:cs="Times New Roman"/>
                <w:color w:val="000000"/>
              </w:rPr>
              <w:t>System must provide bilateral Density Spectral Array (DSA)</w:t>
            </w:r>
          </w:p>
        </w:tc>
        <w:tc>
          <w:tcPr>
            <w:tcW w:w="1877" w:type="dxa"/>
            <w:noWrap/>
            <w:vAlign w:val="center"/>
            <w:hideMark/>
          </w:tcPr>
          <w:p w:rsidR="00F0690C" w:rsidRPr="005A672E" w:rsidP="003958D0">
            <w:pPr>
              <w:jc w:val="center"/>
              <w:rPr>
                <w:rFonts w:ascii="Aptos" w:eastAsia="Times New Roman" w:hAnsi="Aptos" w:cs="Times New Roman"/>
                <w:color w:val="000000"/>
              </w:rPr>
            </w:pPr>
            <w:r w:rsidRPr="005A672E">
              <w:rPr>
                <w:rFonts w:ascii="Aptos" w:eastAsia="Times New Roman" w:hAnsi="Aptos" w:cs="Times New Roman"/>
                <w:color w:val="000000"/>
              </w:rPr>
              <w:t>Literature</w:t>
            </w:r>
          </w:p>
        </w:tc>
        <w:tc>
          <w:tcPr>
            <w:tcW w:w="2718" w:type="dxa"/>
            <w:vAlign w:val="center"/>
            <w:hideMark/>
          </w:tcPr>
          <w:p w:rsidR="00F0690C" w:rsidRPr="005A672E" w:rsidP="003958D0">
            <w:pPr>
              <w:jc w:val="center"/>
              <w:rPr>
                <w:rFonts w:ascii="Aptos" w:eastAsia="Times New Roman" w:hAnsi="Aptos" w:cs="Times New Roman"/>
                <w:color w:val="000000"/>
              </w:rPr>
            </w:pPr>
            <w:r w:rsidRPr="005A672E">
              <w:rPr>
                <w:rFonts w:ascii="Aptos" w:eastAsia="Times New Roman" w:hAnsi="Aptos" w:cs="Times New Roman"/>
                <w:color w:val="000000"/>
              </w:rPr>
              <w:t>Brochure, Next Generation SedLine (PS-60586) (PLM-11107B) (2) Page 1</w:t>
            </w:r>
          </w:p>
        </w:tc>
      </w:tr>
      <w:tr w:rsidTr="00F0690C">
        <w:tblPrEx>
          <w:tblW w:w="9464" w:type="dxa"/>
          <w:tblLook w:val="04A0"/>
        </w:tblPrEx>
        <w:trPr>
          <w:trHeight w:val="1360"/>
        </w:trPr>
        <w:tc>
          <w:tcPr>
            <w:tcW w:w="738" w:type="dxa"/>
            <w:vAlign w:val="center"/>
            <w:hideMark/>
          </w:tcPr>
          <w:p w:rsidR="00F0690C" w:rsidRPr="005A672E" w:rsidP="003958D0">
            <w:pPr>
              <w:jc w:val="center"/>
              <w:rPr>
                <w:rFonts w:ascii="Aptos" w:eastAsia="Times New Roman" w:hAnsi="Aptos" w:cs="Times New Roman"/>
                <w:color w:val="000000"/>
              </w:rPr>
            </w:pPr>
            <w:r>
              <w:rPr>
                <w:rFonts w:ascii="Aptos" w:eastAsia="Times New Roman" w:hAnsi="Aptos" w:cs="Times New Roman"/>
                <w:color w:val="000000"/>
              </w:rPr>
              <w:t xml:space="preserve">SC </w:t>
            </w:r>
            <w:r w:rsidRPr="005A672E">
              <w:rPr>
                <w:rFonts w:ascii="Aptos" w:eastAsia="Times New Roman" w:hAnsi="Aptos" w:cs="Times New Roman"/>
                <w:color w:val="000000"/>
              </w:rPr>
              <w:t>4</w:t>
            </w:r>
          </w:p>
        </w:tc>
        <w:tc>
          <w:tcPr>
            <w:tcW w:w="4131" w:type="dxa"/>
            <w:vAlign w:val="center"/>
            <w:hideMark/>
          </w:tcPr>
          <w:p w:rsidR="00F0690C" w:rsidRPr="005A672E" w:rsidP="003958D0">
            <w:pPr>
              <w:jc w:val="center"/>
              <w:rPr>
                <w:rFonts w:ascii="Aptos" w:eastAsia="Times New Roman" w:hAnsi="Aptos" w:cs="Times New Roman"/>
                <w:color w:val="000000"/>
              </w:rPr>
            </w:pPr>
            <w:r w:rsidRPr="005A672E">
              <w:rPr>
                <w:rFonts w:ascii="Aptos" w:eastAsia="Times New Roman" w:hAnsi="Aptos" w:cs="Times New Roman"/>
                <w:color w:val="000000"/>
              </w:rPr>
              <w:t>The system must provide and display the following monitoring parameters on a single platform: SC#1 processed EEG index, SC#2 raw EEG, and SC#3 bilateral DSA</w:t>
            </w:r>
          </w:p>
        </w:tc>
        <w:tc>
          <w:tcPr>
            <w:tcW w:w="1877" w:type="dxa"/>
            <w:noWrap/>
            <w:vAlign w:val="center"/>
            <w:hideMark/>
          </w:tcPr>
          <w:p w:rsidR="00F0690C" w:rsidRPr="005A672E" w:rsidP="003958D0">
            <w:pPr>
              <w:jc w:val="center"/>
              <w:rPr>
                <w:rFonts w:ascii="Aptos" w:eastAsia="Times New Roman" w:hAnsi="Aptos" w:cs="Times New Roman"/>
                <w:color w:val="000000"/>
              </w:rPr>
            </w:pPr>
            <w:r w:rsidRPr="005A672E">
              <w:rPr>
                <w:rFonts w:ascii="Aptos" w:eastAsia="Times New Roman" w:hAnsi="Aptos" w:cs="Times New Roman"/>
                <w:color w:val="000000"/>
              </w:rPr>
              <w:t>Literature</w:t>
            </w:r>
          </w:p>
        </w:tc>
        <w:tc>
          <w:tcPr>
            <w:tcW w:w="2718" w:type="dxa"/>
            <w:vAlign w:val="center"/>
            <w:hideMark/>
          </w:tcPr>
          <w:p w:rsidR="00F0690C" w:rsidRPr="005A672E" w:rsidP="003958D0">
            <w:pPr>
              <w:jc w:val="center"/>
              <w:rPr>
                <w:rFonts w:ascii="Aptos" w:eastAsia="Times New Roman" w:hAnsi="Aptos" w:cs="Times New Roman"/>
                <w:color w:val="000000"/>
              </w:rPr>
            </w:pPr>
            <w:r w:rsidRPr="005A672E">
              <w:rPr>
                <w:rFonts w:ascii="Aptos" w:eastAsia="Times New Roman" w:hAnsi="Aptos" w:cs="Times New Roman"/>
                <w:color w:val="000000"/>
              </w:rPr>
              <w:t>Brochure, Next Generation SedLine (PS-60586) (PLM-11107B) (2) Page 1</w:t>
            </w:r>
          </w:p>
        </w:tc>
      </w:tr>
    </w:tbl>
    <w:p w:rsidR="00F0690C" w:rsidP="00430B96"/>
    <w:tbl>
      <w:tblPr>
        <w:tblW w:w="10788" w:type="dxa"/>
        <w:tblInd w:w="-776" w:type="dxa"/>
        <w:tblLook w:val="04A0"/>
      </w:tblPr>
      <w:tblGrid>
        <w:gridCol w:w="814"/>
        <w:gridCol w:w="1862"/>
        <w:gridCol w:w="1362"/>
        <w:gridCol w:w="1530"/>
        <w:gridCol w:w="900"/>
        <w:gridCol w:w="1080"/>
        <w:gridCol w:w="990"/>
        <w:gridCol w:w="1170"/>
        <w:gridCol w:w="1080"/>
      </w:tblGrid>
      <w:tr w:rsidTr="003958D0">
        <w:tblPrEx>
          <w:tblW w:w="10788" w:type="dxa"/>
          <w:tblInd w:w="-776" w:type="dxa"/>
          <w:tblLook w:val="04A0"/>
        </w:tblPrEx>
        <w:trPr>
          <w:trHeight w:val="612"/>
        </w:trPr>
        <w:tc>
          <w:tcPr>
            <w:tcW w:w="814" w:type="dxa"/>
            <w:tcBorders>
              <w:top w:val="single" w:sz="4" w:space="0" w:color="auto"/>
              <w:left w:val="single" w:sz="4" w:space="0" w:color="auto"/>
              <w:bottom w:val="single" w:sz="4" w:space="0" w:color="auto"/>
              <w:right w:val="single" w:sz="4" w:space="0" w:color="auto"/>
            </w:tcBorders>
            <w:noWrap/>
            <w:vAlign w:val="bottom"/>
            <w:hideMark/>
          </w:tcPr>
          <w:p w:rsidR="00F0690C" w:rsidRPr="00701E13" w:rsidP="003958D0">
            <w:pPr>
              <w:jc w:val="center"/>
              <w:rPr>
                <w:rFonts w:ascii="Aptos Narrow" w:eastAsia="Times New Roman" w:hAnsi="Aptos Narrow" w:cs="Times New Roman"/>
                <w:b/>
                <w:bCs/>
                <w:color w:val="000000"/>
                <w14:ligatures w14:val="none"/>
              </w:rPr>
            </w:pPr>
            <w:r w:rsidRPr="00701E13">
              <w:rPr>
                <w:rFonts w:ascii="Aptos Narrow" w:eastAsia="Times New Roman" w:hAnsi="Aptos Narrow" w:cs="Times New Roman"/>
                <w:b/>
                <w:bCs/>
                <w:color w:val="000000"/>
                <w14:ligatures w14:val="none"/>
              </w:rPr>
              <w:t>CLINs</w:t>
            </w:r>
          </w:p>
        </w:tc>
        <w:tc>
          <w:tcPr>
            <w:tcW w:w="1862" w:type="dxa"/>
            <w:tcBorders>
              <w:top w:val="single" w:sz="4" w:space="0" w:color="auto"/>
              <w:left w:val="nil"/>
              <w:bottom w:val="single" w:sz="4" w:space="0" w:color="auto"/>
              <w:right w:val="single" w:sz="4" w:space="0" w:color="auto"/>
            </w:tcBorders>
            <w:noWrap/>
            <w:vAlign w:val="bottom"/>
            <w:hideMark/>
          </w:tcPr>
          <w:p w:rsidR="00F0690C" w:rsidRPr="00701E13" w:rsidP="003958D0">
            <w:pPr>
              <w:rPr>
                <w:rFonts w:ascii="Aptos Narrow" w:eastAsia="Times New Roman" w:hAnsi="Aptos Narrow" w:cs="Times New Roman"/>
                <w:b/>
                <w:bCs/>
                <w:color w:val="000000"/>
                <w14:ligatures w14:val="none"/>
              </w:rPr>
            </w:pPr>
            <w:r w:rsidRPr="00701E13">
              <w:rPr>
                <w:rFonts w:ascii="Aptos Narrow" w:eastAsia="Times New Roman" w:hAnsi="Aptos Narrow" w:cs="Times New Roman"/>
                <w:b/>
                <w:bCs/>
                <w:color w:val="000000"/>
                <w14:ligatures w14:val="none"/>
              </w:rPr>
              <w:t>MANUFACTURERS</w:t>
            </w:r>
          </w:p>
        </w:tc>
        <w:tc>
          <w:tcPr>
            <w:tcW w:w="1362" w:type="dxa"/>
            <w:tcBorders>
              <w:top w:val="single" w:sz="4" w:space="0" w:color="auto"/>
              <w:left w:val="nil"/>
              <w:bottom w:val="single" w:sz="4" w:space="0" w:color="auto"/>
              <w:right w:val="single" w:sz="4" w:space="0" w:color="auto"/>
            </w:tcBorders>
            <w:noWrap/>
            <w:vAlign w:val="bottom"/>
            <w:hideMark/>
          </w:tcPr>
          <w:p w:rsidR="00F0690C" w:rsidRPr="00701E13" w:rsidP="003958D0">
            <w:pPr>
              <w:rPr>
                <w:rFonts w:ascii="Aptos Narrow" w:eastAsia="Times New Roman" w:hAnsi="Aptos Narrow" w:cs="Times New Roman"/>
                <w:b/>
                <w:bCs/>
                <w:color w:val="000000"/>
                <w14:ligatures w14:val="none"/>
              </w:rPr>
            </w:pPr>
            <w:r w:rsidRPr="00701E13">
              <w:rPr>
                <w:rFonts w:ascii="Aptos Narrow" w:eastAsia="Times New Roman" w:hAnsi="Aptos Narrow" w:cs="Times New Roman"/>
                <w:b/>
                <w:bCs/>
                <w:color w:val="000000"/>
                <w14:ligatures w14:val="none"/>
              </w:rPr>
              <w:t>PART NUMBERS</w:t>
            </w:r>
          </w:p>
        </w:tc>
        <w:tc>
          <w:tcPr>
            <w:tcW w:w="1530" w:type="dxa"/>
            <w:tcBorders>
              <w:top w:val="single" w:sz="4" w:space="0" w:color="auto"/>
              <w:left w:val="nil"/>
              <w:bottom w:val="single" w:sz="4" w:space="0" w:color="auto"/>
              <w:right w:val="single" w:sz="4" w:space="0" w:color="auto"/>
            </w:tcBorders>
            <w:noWrap/>
            <w:vAlign w:val="bottom"/>
            <w:hideMark/>
          </w:tcPr>
          <w:p w:rsidR="00F0690C" w:rsidRPr="00701E13" w:rsidP="003958D0">
            <w:pPr>
              <w:rPr>
                <w:rFonts w:ascii="Aptos Narrow" w:eastAsia="Times New Roman" w:hAnsi="Aptos Narrow" w:cs="Times New Roman"/>
                <w:b/>
                <w:bCs/>
                <w:color w:val="000000"/>
                <w14:ligatures w14:val="none"/>
              </w:rPr>
            </w:pPr>
            <w:r w:rsidRPr="00701E13">
              <w:rPr>
                <w:rFonts w:ascii="Aptos Narrow" w:eastAsia="Times New Roman" w:hAnsi="Aptos Narrow" w:cs="Times New Roman"/>
                <w:b/>
                <w:bCs/>
                <w:color w:val="000000"/>
                <w14:ligatures w14:val="none"/>
              </w:rPr>
              <w:t>DESCRIPTION</w:t>
            </w:r>
          </w:p>
        </w:tc>
        <w:tc>
          <w:tcPr>
            <w:tcW w:w="900" w:type="dxa"/>
            <w:tcBorders>
              <w:top w:val="single" w:sz="4" w:space="0" w:color="auto"/>
              <w:left w:val="nil"/>
              <w:bottom w:val="single" w:sz="4" w:space="0" w:color="auto"/>
              <w:right w:val="single" w:sz="4" w:space="0" w:color="auto"/>
            </w:tcBorders>
            <w:vAlign w:val="bottom"/>
            <w:hideMark/>
          </w:tcPr>
          <w:p w:rsidR="00F0690C" w:rsidRPr="00701E13" w:rsidP="003958D0">
            <w:pPr>
              <w:jc w:val="center"/>
              <w:rPr>
                <w:rFonts w:ascii="Aptos Narrow" w:eastAsia="Times New Roman" w:hAnsi="Aptos Narrow" w:cs="Times New Roman"/>
                <w:b/>
                <w:bCs/>
                <w:color w:val="000000"/>
                <w14:ligatures w14:val="none"/>
              </w:rPr>
            </w:pPr>
            <w:r w:rsidRPr="00701E13">
              <w:rPr>
                <w:rFonts w:ascii="Aptos Narrow" w:eastAsia="Times New Roman" w:hAnsi="Aptos Narrow" w:cs="Times New Roman"/>
                <w:b/>
                <w:bCs/>
                <w:color w:val="000000"/>
                <w14:ligatures w14:val="none"/>
              </w:rPr>
              <w:t>BASE YEAR</w:t>
            </w:r>
          </w:p>
        </w:tc>
        <w:tc>
          <w:tcPr>
            <w:tcW w:w="1080" w:type="dxa"/>
            <w:tcBorders>
              <w:top w:val="single" w:sz="4" w:space="0" w:color="auto"/>
              <w:left w:val="nil"/>
              <w:bottom w:val="single" w:sz="4" w:space="0" w:color="auto"/>
              <w:right w:val="single" w:sz="4" w:space="0" w:color="auto"/>
            </w:tcBorders>
            <w:vAlign w:val="bottom"/>
            <w:hideMark/>
          </w:tcPr>
          <w:p w:rsidR="00F0690C" w:rsidRPr="00701E13" w:rsidP="003958D0">
            <w:pPr>
              <w:jc w:val="center"/>
              <w:rPr>
                <w:rFonts w:ascii="Aptos Narrow" w:eastAsia="Times New Roman" w:hAnsi="Aptos Narrow" w:cs="Times New Roman"/>
                <w:b/>
                <w:bCs/>
                <w:color w:val="000000"/>
                <w14:ligatures w14:val="none"/>
              </w:rPr>
            </w:pPr>
            <w:r w:rsidRPr="00701E13">
              <w:rPr>
                <w:rFonts w:ascii="Aptos Narrow" w:eastAsia="Times New Roman" w:hAnsi="Aptos Narrow" w:cs="Times New Roman"/>
                <w:b/>
                <w:bCs/>
                <w:color w:val="000000"/>
                <w14:ligatures w14:val="none"/>
              </w:rPr>
              <w:t>OPTION   YEAR ONE</w:t>
            </w:r>
          </w:p>
        </w:tc>
        <w:tc>
          <w:tcPr>
            <w:tcW w:w="990" w:type="dxa"/>
            <w:tcBorders>
              <w:top w:val="single" w:sz="4" w:space="0" w:color="auto"/>
              <w:left w:val="nil"/>
              <w:bottom w:val="single" w:sz="4" w:space="0" w:color="auto"/>
              <w:right w:val="single" w:sz="4" w:space="0" w:color="auto"/>
            </w:tcBorders>
            <w:vAlign w:val="bottom"/>
            <w:hideMark/>
          </w:tcPr>
          <w:p w:rsidR="00F0690C" w:rsidRPr="00701E13" w:rsidP="003958D0">
            <w:pPr>
              <w:jc w:val="center"/>
              <w:rPr>
                <w:rFonts w:ascii="Aptos Narrow" w:eastAsia="Times New Roman" w:hAnsi="Aptos Narrow" w:cs="Times New Roman"/>
                <w:b/>
                <w:bCs/>
                <w:color w:val="000000"/>
                <w14:ligatures w14:val="none"/>
              </w:rPr>
            </w:pPr>
            <w:r w:rsidRPr="00701E13">
              <w:rPr>
                <w:rFonts w:ascii="Aptos Narrow" w:eastAsia="Times New Roman" w:hAnsi="Aptos Narrow" w:cs="Times New Roman"/>
                <w:b/>
                <w:bCs/>
                <w:color w:val="000000"/>
                <w14:ligatures w14:val="none"/>
              </w:rPr>
              <w:t>OPTION   YEAR TWO</w:t>
            </w:r>
          </w:p>
        </w:tc>
        <w:tc>
          <w:tcPr>
            <w:tcW w:w="1170" w:type="dxa"/>
            <w:tcBorders>
              <w:top w:val="single" w:sz="4" w:space="0" w:color="auto"/>
              <w:left w:val="nil"/>
              <w:bottom w:val="single" w:sz="4" w:space="0" w:color="auto"/>
              <w:right w:val="single" w:sz="4" w:space="0" w:color="auto"/>
            </w:tcBorders>
            <w:vAlign w:val="bottom"/>
            <w:hideMark/>
          </w:tcPr>
          <w:p w:rsidR="00F0690C" w:rsidRPr="00701E13" w:rsidP="003958D0">
            <w:pPr>
              <w:jc w:val="center"/>
              <w:rPr>
                <w:rFonts w:ascii="Aptos Narrow" w:eastAsia="Times New Roman" w:hAnsi="Aptos Narrow" w:cs="Times New Roman"/>
                <w:b/>
                <w:bCs/>
                <w:color w:val="000000"/>
                <w14:ligatures w14:val="none"/>
              </w:rPr>
            </w:pPr>
            <w:r w:rsidRPr="00701E13">
              <w:rPr>
                <w:rFonts w:ascii="Aptos Narrow" w:eastAsia="Times New Roman" w:hAnsi="Aptos Narrow" w:cs="Times New Roman"/>
                <w:b/>
                <w:bCs/>
                <w:color w:val="000000"/>
                <w14:ligatures w14:val="none"/>
              </w:rPr>
              <w:t>OPTION   YEAR THREE</w:t>
            </w:r>
          </w:p>
        </w:tc>
        <w:tc>
          <w:tcPr>
            <w:tcW w:w="1080" w:type="dxa"/>
            <w:tcBorders>
              <w:top w:val="single" w:sz="4" w:space="0" w:color="auto"/>
              <w:left w:val="nil"/>
              <w:bottom w:val="single" w:sz="4" w:space="0" w:color="auto"/>
              <w:right w:val="single" w:sz="4" w:space="0" w:color="auto"/>
            </w:tcBorders>
            <w:vAlign w:val="bottom"/>
            <w:hideMark/>
          </w:tcPr>
          <w:p w:rsidR="00F0690C" w:rsidRPr="00701E13" w:rsidP="003958D0">
            <w:pPr>
              <w:jc w:val="center"/>
              <w:rPr>
                <w:rFonts w:ascii="Aptos Narrow" w:eastAsia="Times New Roman" w:hAnsi="Aptos Narrow" w:cs="Times New Roman"/>
                <w:b/>
                <w:bCs/>
                <w:color w:val="000000"/>
                <w14:ligatures w14:val="none"/>
              </w:rPr>
            </w:pPr>
            <w:r w:rsidRPr="00701E13">
              <w:rPr>
                <w:rFonts w:ascii="Aptos Narrow" w:eastAsia="Times New Roman" w:hAnsi="Aptos Narrow" w:cs="Times New Roman"/>
                <w:b/>
                <w:bCs/>
                <w:color w:val="000000"/>
                <w14:ligatures w14:val="none"/>
              </w:rPr>
              <w:t>OPTION   YEAR FOUR</w:t>
            </w:r>
          </w:p>
        </w:tc>
      </w:tr>
      <w:tr w:rsidTr="003958D0">
        <w:tblPrEx>
          <w:tblW w:w="10788" w:type="dxa"/>
          <w:tblInd w:w="-776" w:type="dxa"/>
          <w:tblLook w:val="04A0"/>
        </w:tblPrEx>
        <w:trPr>
          <w:trHeight w:val="301"/>
        </w:trPr>
        <w:tc>
          <w:tcPr>
            <w:tcW w:w="814" w:type="dxa"/>
            <w:tcBorders>
              <w:top w:val="nil"/>
              <w:left w:val="single" w:sz="4" w:space="0" w:color="auto"/>
              <w:bottom w:val="single" w:sz="4" w:space="0" w:color="auto"/>
              <w:right w:val="single" w:sz="4" w:space="0" w:color="auto"/>
            </w:tcBorders>
            <w:noWrap/>
            <w:hideMark/>
          </w:tcPr>
          <w:p w:rsidR="00F0690C" w:rsidRPr="00701E13" w:rsidP="003958D0">
            <w:pPr>
              <w:jc w:val="center"/>
              <w:rPr>
                <w:rFonts w:ascii="Arial" w:eastAsia="Times New Roman" w:hAnsi="Arial" w:cs="Arial"/>
                <w14:ligatures w14:val="none"/>
              </w:rPr>
            </w:pPr>
            <w:r w:rsidRPr="00701E13">
              <w:rPr>
                <w:rFonts w:ascii="Arial" w:eastAsia="Times New Roman" w:hAnsi="Arial" w:cs="Arial"/>
                <w14:ligatures w14:val="none"/>
              </w:rPr>
              <w:t>0001</w:t>
            </w:r>
          </w:p>
        </w:tc>
        <w:tc>
          <w:tcPr>
            <w:tcW w:w="1862" w:type="dxa"/>
            <w:tcBorders>
              <w:top w:val="nil"/>
              <w:left w:val="nil"/>
              <w:bottom w:val="single" w:sz="4" w:space="0" w:color="auto"/>
              <w:right w:val="single" w:sz="4" w:space="0" w:color="auto"/>
            </w:tcBorders>
            <w:shd w:val="clear" w:color="auto" w:fill="FFFF00"/>
            <w:noWrap/>
            <w:vAlign w:val="bottom"/>
            <w:hideMark/>
          </w:tcPr>
          <w:p w:rsidR="00F0690C" w:rsidRPr="00701E13" w:rsidP="003958D0">
            <w:pPr>
              <w:rPr>
                <w:rFonts w:ascii="Aptos Narrow" w:eastAsia="Times New Roman" w:hAnsi="Aptos Narrow" w:cs="Times New Roman"/>
                <w:color w:val="000000"/>
                <w14:ligatures w14:val="none"/>
              </w:rPr>
            </w:pPr>
            <w:r w:rsidRPr="00701E13">
              <w:rPr>
                <w:rFonts w:ascii="Aptos Narrow" w:eastAsia="Times New Roman" w:hAnsi="Aptos Narrow" w:cs="Times New Roman"/>
                <w:color w:val="000000"/>
                <w14:ligatures w14:val="none"/>
              </w:rPr>
              <w:t> </w:t>
            </w:r>
          </w:p>
        </w:tc>
        <w:tc>
          <w:tcPr>
            <w:tcW w:w="1362" w:type="dxa"/>
            <w:tcBorders>
              <w:top w:val="nil"/>
              <w:left w:val="nil"/>
              <w:bottom w:val="single" w:sz="4" w:space="0" w:color="auto"/>
              <w:right w:val="single" w:sz="4" w:space="0" w:color="auto"/>
            </w:tcBorders>
            <w:shd w:val="clear" w:color="auto" w:fill="FFFF00"/>
            <w:noWrap/>
            <w:vAlign w:val="bottom"/>
            <w:hideMark/>
          </w:tcPr>
          <w:p w:rsidR="00F0690C" w:rsidRPr="00701E13" w:rsidP="003958D0">
            <w:pPr>
              <w:rPr>
                <w:rFonts w:ascii="Aptos Narrow" w:eastAsia="Times New Roman" w:hAnsi="Aptos Narrow" w:cs="Times New Roman"/>
                <w:color w:val="000000"/>
                <w14:ligatures w14:val="none"/>
              </w:rPr>
            </w:pPr>
            <w:r w:rsidRPr="00701E13">
              <w:rPr>
                <w:rFonts w:ascii="Aptos Narrow" w:eastAsia="Times New Roman" w:hAnsi="Aptos Narrow" w:cs="Times New Roman"/>
                <w:color w:val="000000"/>
                <w14:ligatures w14:val="none"/>
              </w:rPr>
              <w:t> </w:t>
            </w:r>
          </w:p>
        </w:tc>
        <w:tc>
          <w:tcPr>
            <w:tcW w:w="1530" w:type="dxa"/>
            <w:tcBorders>
              <w:top w:val="nil"/>
              <w:left w:val="nil"/>
              <w:bottom w:val="single" w:sz="4" w:space="0" w:color="auto"/>
              <w:right w:val="single" w:sz="4" w:space="0" w:color="auto"/>
            </w:tcBorders>
            <w:shd w:val="clear" w:color="auto" w:fill="FFFF00"/>
            <w:noWrap/>
            <w:vAlign w:val="bottom"/>
            <w:hideMark/>
          </w:tcPr>
          <w:p w:rsidR="00F0690C" w:rsidRPr="00701E13" w:rsidP="003958D0">
            <w:pPr>
              <w:rPr>
                <w:rFonts w:ascii="Aptos Narrow" w:eastAsia="Times New Roman" w:hAnsi="Aptos Narrow" w:cs="Times New Roman"/>
                <w:color w:val="000000"/>
                <w14:ligatures w14:val="none"/>
              </w:rPr>
            </w:pPr>
            <w:r w:rsidRPr="00701E13">
              <w:rPr>
                <w:rFonts w:ascii="Aptos Narrow" w:eastAsia="Times New Roman" w:hAnsi="Aptos Narrow" w:cs="Times New Roman"/>
                <w:color w:val="000000"/>
                <w14:ligatures w14:val="none"/>
              </w:rPr>
              <w:t> </w:t>
            </w:r>
          </w:p>
        </w:tc>
        <w:tc>
          <w:tcPr>
            <w:tcW w:w="900" w:type="dxa"/>
            <w:tcBorders>
              <w:top w:val="nil"/>
              <w:left w:val="nil"/>
              <w:bottom w:val="single" w:sz="4" w:space="0" w:color="auto"/>
              <w:right w:val="single" w:sz="4" w:space="0" w:color="auto"/>
            </w:tcBorders>
            <w:noWrap/>
            <w:vAlign w:val="bottom"/>
            <w:hideMark/>
          </w:tcPr>
          <w:p w:rsidR="00F0690C" w:rsidRPr="00701E13" w:rsidP="003958D0">
            <w:pPr>
              <w:jc w:val="center"/>
              <w:rPr>
                <w:rFonts w:ascii="Arial" w:eastAsia="Times New Roman" w:hAnsi="Arial" w:cs="Arial"/>
                <w14:ligatures w14:val="none"/>
              </w:rPr>
            </w:pPr>
            <w:r w:rsidRPr="00701E13">
              <w:rPr>
                <w:rFonts w:ascii="Arial" w:eastAsia="Times New Roman" w:hAnsi="Arial" w:cs="Arial"/>
                <w14:ligatures w14:val="none"/>
              </w:rPr>
              <w:t>3</w:t>
            </w:r>
            <w:r>
              <w:rPr>
                <w:rFonts w:ascii="Arial" w:eastAsia="Times New Roman" w:hAnsi="Arial" w:cs="Arial"/>
                <w14:ligatures w14:val="none"/>
              </w:rPr>
              <w:t>0</w:t>
            </w:r>
          </w:p>
        </w:tc>
        <w:tc>
          <w:tcPr>
            <w:tcW w:w="1080" w:type="dxa"/>
            <w:tcBorders>
              <w:top w:val="nil"/>
              <w:left w:val="nil"/>
              <w:bottom w:val="single" w:sz="4" w:space="0" w:color="auto"/>
              <w:right w:val="single" w:sz="4" w:space="0" w:color="auto"/>
            </w:tcBorders>
            <w:noWrap/>
            <w:vAlign w:val="bottom"/>
            <w:hideMark/>
          </w:tcPr>
          <w:p w:rsidR="00F0690C" w:rsidRPr="00701E13" w:rsidP="003958D0">
            <w:pPr>
              <w:jc w:val="center"/>
              <w:rPr>
                <w:rFonts w:ascii="Arial" w:eastAsia="Times New Roman" w:hAnsi="Arial" w:cs="Arial"/>
                <w14:ligatures w14:val="none"/>
              </w:rPr>
            </w:pPr>
            <w:r>
              <w:rPr>
                <w:rFonts w:ascii="Arial" w:eastAsia="Times New Roman" w:hAnsi="Arial" w:cs="Arial"/>
                <w14:ligatures w14:val="none"/>
              </w:rPr>
              <w:t>30</w:t>
            </w:r>
          </w:p>
        </w:tc>
        <w:tc>
          <w:tcPr>
            <w:tcW w:w="990" w:type="dxa"/>
            <w:tcBorders>
              <w:top w:val="nil"/>
              <w:left w:val="nil"/>
              <w:bottom w:val="single" w:sz="4" w:space="0" w:color="auto"/>
              <w:right w:val="single" w:sz="4" w:space="0" w:color="auto"/>
            </w:tcBorders>
            <w:noWrap/>
            <w:vAlign w:val="bottom"/>
            <w:hideMark/>
          </w:tcPr>
          <w:p w:rsidR="00F0690C" w:rsidRPr="00701E13" w:rsidP="003958D0">
            <w:pPr>
              <w:jc w:val="center"/>
              <w:rPr>
                <w:rFonts w:ascii="Arial" w:eastAsia="Times New Roman" w:hAnsi="Arial" w:cs="Arial"/>
                <w14:ligatures w14:val="none"/>
              </w:rPr>
            </w:pPr>
            <w:r>
              <w:rPr>
                <w:rFonts w:ascii="Arial" w:eastAsia="Times New Roman" w:hAnsi="Arial" w:cs="Arial"/>
                <w14:ligatures w14:val="none"/>
              </w:rPr>
              <w:t>30</w:t>
            </w:r>
          </w:p>
        </w:tc>
        <w:tc>
          <w:tcPr>
            <w:tcW w:w="1170" w:type="dxa"/>
            <w:tcBorders>
              <w:top w:val="nil"/>
              <w:left w:val="nil"/>
              <w:bottom w:val="single" w:sz="4" w:space="0" w:color="auto"/>
              <w:right w:val="single" w:sz="4" w:space="0" w:color="auto"/>
            </w:tcBorders>
            <w:noWrap/>
            <w:vAlign w:val="bottom"/>
            <w:hideMark/>
          </w:tcPr>
          <w:p w:rsidR="00F0690C" w:rsidRPr="00701E13" w:rsidP="003958D0">
            <w:pPr>
              <w:jc w:val="center"/>
              <w:rPr>
                <w:rFonts w:ascii="Arial" w:eastAsia="Times New Roman" w:hAnsi="Arial" w:cs="Arial"/>
                <w14:ligatures w14:val="none"/>
              </w:rPr>
            </w:pPr>
            <w:r>
              <w:rPr>
                <w:rFonts w:ascii="Arial" w:eastAsia="Times New Roman" w:hAnsi="Arial" w:cs="Arial"/>
                <w14:ligatures w14:val="none"/>
              </w:rPr>
              <w:t>30</w:t>
            </w:r>
          </w:p>
        </w:tc>
        <w:tc>
          <w:tcPr>
            <w:tcW w:w="1080" w:type="dxa"/>
            <w:tcBorders>
              <w:top w:val="nil"/>
              <w:left w:val="nil"/>
              <w:bottom w:val="single" w:sz="4" w:space="0" w:color="auto"/>
              <w:right w:val="single" w:sz="4" w:space="0" w:color="auto"/>
            </w:tcBorders>
            <w:noWrap/>
            <w:vAlign w:val="bottom"/>
            <w:hideMark/>
          </w:tcPr>
          <w:p w:rsidR="00F0690C" w:rsidRPr="00701E13" w:rsidP="003958D0">
            <w:pPr>
              <w:jc w:val="center"/>
              <w:rPr>
                <w:rFonts w:ascii="Arial" w:eastAsia="Times New Roman" w:hAnsi="Arial" w:cs="Arial"/>
                <w14:ligatures w14:val="none"/>
              </w:rPr>
            </w:pPr>
            <w:r>
              <w:rPr>
                <w:rFonts w:ascii="Arial" w:eastAsia="Times New Roman" w:hAnsi="Arial" w:cs="Arial"/>
                <w14:ligatures w14:val="none"/>
              </w:rPr>
              <w:t>30</w:t>
            </w:r>
          </w:p>
        </w:tc>
      </w:tr>
      <w:tr w:rsidTr="003958D0">
        <w:tblPrEx>
          <w:tblW w:w="10788" w:type="dxa"/>
          <w:tblInd w:w="-776" w:type="dxa"/>
          <w:tblLook w:val="04A0"/>
        </w:tblPrEx>
        <w:trPr>
          <w:trHeight w:val="301"/>
        </w:trPr>
        <w:tc>
          <w:tcPr>
            <w:tcW w:w="814" w:type="dxa"/>
            <w:tcBorders>
              <w:top w:val="nil"/>
              <w:left w:val="single" w:sz="4" w:space="0" w:color="auto"/>
              <w:bottom w:val="single" w:sz="4" w:space="0" w:color="auto"/>
              <w:right w:val="single" w:sz="4" w:space="0" w:color="auto"/>
            </w:tcBorders>
            <w:noWrap/>
            <w:hideMark/>
          </w:tcPr>
          <w:p w:rsidR="00F0690C" w:rsidRPr="00701E13" w:rsidP="003958D0">
            <w:pPr>
              <w:jc w:val="center"/>
              <w:rPr>
                <w:rFonts w:ascii="Arial" w:eastAsia="Times New Roman" w:hAnsi="Arial" w:cs="Arial"/>
                <w14:ligatures w14:val="none"/>
              </w:rPr>
            </w:pPr>
            <w:r w:rsidRPr="00701E13">
              <w:rPr>
                <w:rFonts w:ascii="Arial" w:eastAsia="Times New Roman" w:hAnsi="Arial" w:cs="Arial"/>
                <w14:ligatures w14:val="none"/>
              </w:rPr>
              <w:t>0002</w:t>
            </w:r>
          </w:p>
        </w:tc>
        <w:tc>
          <w:tcPr>
            <w:tcW w:w="1862" w:type="dxa"/>
            <w:tcBorders>
              <w:top w:val="nil"/>
              <w:left w:val="nil"/>
              <w:bottom w:val="single" w:sz="4" w:space="0" w:color="auto"/>
              <w:right w:val="single" w:sz="4" w:space="0" w:color="auto"/>
            </w:tcBorders>
            <w:shd w:val="clear" w:color="auto" w:fill="FFFF00"/>
            <w:noWrap/>
            <w:vAlign w:val="bottom"/>
            <w:hideMark/>
          </w:tcPr>
          <w:p w:rsidR="00F0690C" w:rsidRPr="00701E13" w:rsidP="003958D0">
            <w:pPr>
              <w:rPr>
                <w:rFonts w:ascii="Aptos Narrow" w:eastAsia="Times New Roman" w:hAnsi="Aptos Narrow" w:cs="Times New Roman"/>
                <w:color w:val="000000"/>
                <w14:ligatures w14:val="none"/>
              </w:rPr>
            </w:pPr>
            <w:r w:rsidRPr="00701E13">
              <w:rPr>
                <w:rFonts w:ascii="Aptos Narrow" w:eastAsia="Times New Roman" w:hAnsi="Aptos Narrow" w:cs="Times New Roman"/>
                <w:color w:val="000000"/>
                <w14:ligatures w14:val="none"/>
              </w:rPr>
              <w:t> </w:t>
            </w:r>
          </w:p>
        </w:tc>
        <w:tc>
          <w:tcPr>
            <w:tcW w:w="1362" w:type="dxa"/>
            <w:tcBorders>
              <w:top w:val="nil"/>
              <w:left w:val="nil"/>
              <w:bottom w:val="single" w:sz="4" w:space="0" w:color="auto"/>
              <w:right w:val="single" w:sz="4" w:space="0" w:color="auto"/>
            </w:tcBorders>
            <w:shd w:val="clear" w:color="auto" w:fill="FFFF00"/>
            <w:noWrap/>
            <w:vAlign w:val="bottom"/>
            <w:hideMark/>
          </w:tcPr>
          <w:p w:rsidR="00F0690C" w:rsidRPr="00701E13" w:rsidP="003958D0">
            <w:pPr>
              <w:rPr>
                <w:rFonts w:ascii="Aptos Narrow" w:eastAsia="Times New Roman" w:hAnsi="Aptos Narrow" w:cs="Times New Roman"/>
                <w:color w:val="000000"/>
                <w14:ligatures w14:val="none"/>
              </w:rPr>
            </w:pPr>
            <w:r w:rsidRPr="00701E13">
              <w:rPr>
                <w:rFonts w:ascii="Aptos Narrow" w:eastAsia="Times New Roman" w:hAnsi="Aptos Narrow" w:cs="Times New Roman"/>
                <w:color w:val="000000"/>
                <w14:ligatures w14:val="none"/>
              </w:rPr>
              <w:t> </w:t>
            </w:r>
          </w:p>
        </w:tc>
        <w:tc>
          <w:tcPr>
            <w:tcW w:w="1530" w:type="dxa"/>
            <w:tcBorders>
              <w:top w:val="nil"/>
              <w:left w:val="nil"/>
              <w:bottom w:val="single" w:sz="4" w:space="0" w:color="auto"/>
              <w:right w:val="single" w:sz="4" w:space="0" w:color="auto"/>
            </w:tcBorders>
            <w:shd w:val="clear" w:color="auto" w:fill="FFFF00"/>
            <w:noWrap/>
            <w:vAlign w:val="bottom"/>
            <w:hideMark/>
          </w:tcPr>
          <w:p w:rsidR="00F0690C" w:rsidRPr="00701E13" w:rsidP="003958D0">
            <w:pPr>
              <w:rPr>
                <w:rFonts w:ascii="Aptos Narrow" w:eastAsia="Times New Roman" w:hAnsi="Aptos Narrow" w:cs="Times New Roman"/>
                <w:color w:val="000000"/>
                <w14:ligatures w14:val="none"/>
              </w:rPr>
            </w:pPr>
            <w:r w:rsidRPr="00701E13">
              <w:rPr>
                <w:rFonts w:ascii="Aptos Narrow" w:eastAsia="Times New Roman" w:hAnsi="Aptos Narrow" w:cs="Times New Roman"/>
                <w:color w:val="000000"/>
                <w14:ligatures w14:val="none"/>
              </w:rPr>
              <w:t> </w:t>
            </w:r>
          </w:p>
        </w:tc>
        <w:tc>
          <w:tcPr>
            <w:tcW w:w="900" w:type="dxa"/>
            <w:tcBorders>
              <w:top w:val="nil"/>
              <w:left w:val="nil"/>
              <w:bottom w:val="single" w:sz="4" w:space="0" w:color="auto"/>
              <w:right w:val="single" w:sz="4" w:space="0" w:color="auto"/>
            </w:tcBorders>
            <w:noWrap/>
            <w:vAlign w:val="bottom"/>
            <w:hideMark/>
          </w:tcPr>
          <w:p w:rsidR="00F0690C" w:rsidRPr="00701E13" w:rsidP="003958D0">
            <w:pPr>
              <w:jc w:val="center"/>
              <w:rPr>
                <w:rFonts w:ascii="Arial" w:eastAsia="Times New Roman" w:hAnsi="Arial" w:cs="Arial"/>
                <w14:ligatures w14:val="none"/>
              </w:rPr>
            </w:pPr>
            <w:r>
              <w:rPr>
                <w:rFonts w:ascii="Arial" w:eastAsia="Times New Roman" w:hAnsi="Arial" w:cs="Arial"/>
                <w14:ligatures w14:val="none"/>
              </w:rPr>
              <w:t>30</w:t>
            </w:r>
          </w:p>
        </w:tc>
        <w:tc>
          <w:tcPr>
            <w:tcW w:w="1080" w:type="dxa"/>
            <w:tcBorders>
              <w:top w:val="nil"/>
              <w:left w:val="nil"/>
              <w:bottom w:val="single" w:sz="4" w:space="0" w:color="auto"/>
              <w:right w:val="single" w:sz="4" w:space="0" w:color="auto"/>
            </w:tcBorders>
            <w:noWrap/>
            <w:vAlign w:val="bottom"/>
            <w:hideMark/>
          </w:tcPr>
          <w:p w:rsidR="00F0690C" w:rsidRPr="00701E13" w:rsidP="003958D0">
            <w:pPr>
              <w:jc w:val="center"/>
              <w:rPr>
                <w:rFonts w:ascii="Arial" w:eastAsia="Times New Roman" w:hAnsi="Arial" w:cs="Arial"/>
                <w14:ligatures w14:val="none"/>
              </w:rPr>
            </w:pPr>
            <w:r>
              <w:rPr>
                <w:rFonts w:ascii="Arial" w:eastAsia="Times New Roman" w:hAnsi="Arial" w:cs="Arial"/>
                <w14:ligatures w14:val="none"/>
              </w:rPr>
              <w:t>30</w:t>
            </w:r>
          </w:p>
        </w:tc>
        <w:tc>
          <w:tcPr>
            <w:tcW w:w="990" w:type="dxa"/>
            <w:tcBorders>
              <w:top w:val="nil"/>
              <w:left w:val="nil"/>
              <w:bottom w:val="single" w:sz="4" w:space="0" w:color="auto"/>
              <w:right w:val="single" w:sz="4" w:space="0" w:color="auto"/>
            </w:tcBorders>
            <w:noWrap/>
            <w:vAlign w:val="bottom"/>
            <w:hideMark/>
          </w:tcPr>
          <w:p w:rsidR="00F0690C" w:rsidRPr="00701E13" w:rsidP="003958D0">
            <w:pPr>
              <w:jc w:val="center"/>
              <w:rPr>
                <w:rFonts w:ascii="Arial" w:eastAsia="Times New Roman" w:hAnsi="Arial" w:cs="Arial"/>
                <w14:ligatures w14:val="none"/>
              </w:rPr>
            </w:pPr>
            <w:r>
              <w:rPr>
                <w:rFonts w:ascii="Arial" w:eastAsia="Times New Roman" w:hAnsi="Arial" w:cs="Arial"/>
                <w14:ligatures w14:val="none"/>
              </w:rPr>
              <w:t>30</w:t>
            </w:r>
          </w:p>
        </w:tc>
        <w:tc>
          <w:tcPr>
            <w:tcW w:w="1170" w:type="dxa"/>
            <w:tcBorders>
              <w:top w:val="nil"/>
              <w:left w:val="nil"/>
              <w:bottom w:val="single" w:sz="4" w:space="0" w:color="auto"/>
              <w:right w:val="single" w:sz="4" w:space="0" w:color="auto"/>
            </w:tcBorders>
            <w:noWrap/>
            <w:vAlign w:val="bottom"/>
            <w:hideMark/>
          </w:tcPr>
          <w:p w:rsidR="00F0690C" w:rsidRPr="00701E13" w:rsidP="003958D0">
            <w:pPr>
              <w:jc w:val="center"/>
              <w:rPr>
                <w:rFonts w:ascii="Arial" w:eastAsia="Times New Roman" w:hAnsi="Arial" w:cs="Arial"/>
                <w14:ligatures w14:val="none"/>
              </w:rPr>
            </w:pPr>
            <w:r>
              <w:rPr>
                <w:rFonts w:ascii="Arial" w:eastAsia="Times New Roman" w:hAnsi="Arial" w:cs="Arial"/>
                <w14:ligatures w14:val="none"/>
              </w:rPr>
              <w:t>30</w:t>
            </w:r>
          </w:p>
        </w:tc>
        <w:tc>
          <w:tcPr>
            <w:tcW w:w="1080" w:type="dxa"/>
            <w:tcBorders>
              <w:top w:val="nil"/>
              <w:left w:val="nil"/>
              <w:bottom w:val="single" w:sz="4" w:space="0" w:color="auto"/>
              <w:right w:val="single" w:sz="4" w:space="0" w:color="auto"/>
            </w:tcBorders>
            <w:noWrap/>
            <w:vAlign w:val="bottom"/>
            <w:hideMark/>
          </w:tcPr>
          <w:p w:rsidR="00F0690C" w:rsidRPr="00701E13" w:rsidP="003958D0">
            <w:pPr>
              <w:jc w:val="center"/>
              <w:rPr>
                <w:rFonts w:ascii="Arial" w:eastAsia="Times New Roman" w:hAnsi="Arial" w:cs="Arial"/>
                <w14:ligatures w14:val="none"/>
              </w:rPr>
            </w:pPr>
            <w:r>
              <w:rPr>
                <w:rFonts w:ascii="Arial" w:eastAsia="Times New Roman" w:hAnsi="Arial" w:cs="Arial"/>
                <w14:ligatures w14:val="none"/>
              </w:rPr>
              <w:t>30</w:t>
            </w:r>
          </w:p>
        </w:tc>
      </w:tr>
      <w:tr w:rsidTr="003958D0">
        <w:tblPrEx>
          <w:tblW w:w="10788" w:type="dxa"/>
          <w:tblInd w:w="-776" w:type="dxa"/>
          <w:tblLook w:val="04A0"/>
        </w:tblPrEx>
        <w:trPr>
          <w:trHeight w:val="301"/>
        </w:trPr>
        <w:tc>
          <w:tcPr>
            <w:tcW w:w="814" w:type="dxa"/>
            <w:tcBorders>
              <w:top w:val="nil"/>
              <w:left w:val="single" w:sz="4" w:space="0" w:color="auto"/>
              <w:bottom w:val="single" w:sz="4" w:space="0" w:color="auto"/>
              <w:right w:val="single" w:sz="4" w:space="0" w:color="auto"/>
            </w:tcBorders>
            <w:noWrap/>
            <w:hideMark/>
          </w:tcPr>
          <w:p w:rsidR="00F0690C" w:rsidRPr="00701E13" w:rsidP="003958D0">
            <w:pPr>
              <w:jc w:val="center"/>
              <w:rPr>
                <w:rFonts w:ascii="Arial" w:eastAsia="Times New Roman" w:hAnsi="Arial" w:cs="Arial"/>
                <w14:ligatures w14:val="none"/>
              </w:rPr>
            </w:pPr>
            <w:r w:rsidRPr="00701E13">
              <w:rPr>
                <w:rFonts w:ascii="Arial" w:eastAsia="Times New Roman" w:hAnsi="Arial" w:cs="Arial"/>
                <w14:ligatures w14:val="none"/>
              </w:rPr>
              <w:t>0003</w:t>
            </w:r>
          </w:p>
        </w:tc>
        <w:tc>
          <w:tcPr>
            <w:tcW w:w="1862" w:type="dxa"/>
            <w:tcBorders>
              <w:top w:val="nil"/>
              <w:left w:val="nil"/>
              <w:bottom w:val="single" w:sz="4" w:space="0" w:color="auto"/>
              <w:right w:val="single" w:sz="4" w:space="0" w:color="auto"/>
            </w:tcBorders>
            <w:shd w:val="clear" w:color="auto" w:fill="FFFF00"/>
            <w:noWrap/>
            <w:vAlign w:val="bottom"/>
            <w:hideMark/>
          </w:tcPr>
          <w:p w:rsidR="00F0690C" w:rsidRPr="00701E13" w:rsidP="003958D0">
            <w:pPr>
              <w:rPr>
                <w:rFonts w:ascii="Aptos Narrow" w:eastAsia="Times New Roman" w:hAnsi="Aptos Narrow" w:cs="Times New Roman"/>
                <w:color w:val="000000"/>
                <w14:ligatures w14:val="none"/>
              </w:rPr>
            </w:pPr>
            <w:r w:rsidRPr="00701E13">
              <w:rPr>
                <w:rFonts w:ascii="Aptos Narrow" w:eastAsia="Times New Roman" w:hAnsi="Aptos Narrow" w:cs="Times New Roman"/>
                <w:color w:val="000000"/>
                <w14:ligatures w14:val="none"/>
              </w:rPr>
              <w:t> </w:t>
            </w:r>
          </w:p>
        </w:tc>
        <w:tc>
          <w:tcPr>
            <w:tcW w:w="1362" w:type="dxa"/>
            <w:tcBorders>
              <w:top w:val="nil"/>
              <w:left w:val="nil"/>
              <w:bottom w:val="single" w:sz="4" w:space="0" w:color="auto"/>
              <w:right w:val="single" w:sz="4" w:space="0" w:color="auto"/>
            </w:tcBorders>
            <w:shd w:val="clear" w:color="auto" w:fill="FFFF00"/>
            <w:noWrap/>
            <w:vAlign w:val="bottom"/>
            <w:hideMark/>
          </w:tcPr>
          <w:p w:rsidR="00F0690C" w:rsidRPr="00701E13" w:rsidP="003958D0">
            <w:pPr>
              <w:rPr>
                <w:rFonts w:ascii="Aptos Narrow" w:eastAsia="Times New Roman" w:hAnsi="Aptos Narrow" w:cs="Times New Roman"/>
                <w:color w:val="000000"/>
                <w14:ligatures w14:val="none"/>
              </w:rPr>
            </w:pPr>
            <w:r w:rsidRPr="00701E13">
              <w:rPr>
                <w:rFonts w:ascii="Aptos Narrow" w:eastAsia="Times New Roman" w:hAnsi="Aptos Narrow" w:cs="Times New Roman"/>
                <w:color w:val="000000"/>
                <w14:ligatures w14:val="none"/>
              </w:rPr>
              <w:t> </w:t>
            </w:r>
          </w:p>
        </w:tc>
        <w:tc>
          <w:tcPr>
            <w:tcW w:w="1530" w:type="dxa"/>
            <w:tcBorders>
              <w:top w:val="nil"/>
              <w:left w:val="nil"/>
              <w:bottom w:val="single" w:sz="4" w:space="0" w:color="auto"/>
              <w:right w:val="single" w:sz="4" w:space="0" w:color="auto"/>
            </w:tcBorders>
            <w:shd w:val="clear" w:color="auto" w:fill="FFFF00"/>
            <w:noWrap/>
            <w:vAlign w:val="bottom"/>
            <w:hideMark/>
          </w:tcPr>
          <w:p w:rsidR="00F0690C" w:rsidRPr="00701E13" w:rsidP="003958D0">
            <w:pPr>
              <w:rPr>
                <w:rFonts w:ascii="Aptos Narrow" w:eastAsia="Times New Roman" w:hAnsi="Aptos Narrow" w:cs="Times New Roman"/>
                <w:color w:val="000000"/>
                <w14:ligatures w14:val="none"/>
              </w:rPr>
            </w:pPr>
            <w:r w:rsidRPr="00701E13">
              <w:rPr>
                <w:rFonts w:ascii="Aptos Narrow" w:eastAsia="Times New Roman" w:hAnsi="Aptos Narrow" w:cs="Times New Roman"/>
                <w:color w:val="000000"/>
                <w14:ligatures w14:val="none"/>
              </w:rPr>
              <w:t> </w:t>
            </w:r>
          </w:p>
        </w:tc>
        <w:tc>
          <w:tcPr>
            <w:tcW w:w="900" w:type="dxa"/>
            <w:tcBorders>
              <w:top w:val="nil"/>
              <w:left w:val="nil"/>
              <w:bottom w:val="single" w:sz="4" w:space="0" w:color="auto"/>
              <w:right w:val="single" w:sz="4" w:space="0" w:color="auto"/>
            </w:tcBorders>
            <w:noWrap/>
            <w:vAlign w:val="bottom"/>
            <w:hideMark/>
          </w:tcPr>
          <w:p w:rsidR="00F0690C" w:rsidRPr="00701E13" w:rsidP="003958D0">
            <w:pPr>
              <w:jc w:val="center"/>
              <w:rPr>
                <w:rFonts w:ascii="Arial" w:eastAsia="Times New Roman" w:hAnsi="Arial" w:cs="Arial"/>
                <w14:ligatures w14:val="none"/>
              </w:rPr>
            </w:pPr>
            <w:r>
              <w:rPr>
                <w:rFonts w:ascii="Arial" w:eastAsia="Times New Roman" w:hAnsi="Arial" w:cs="Arial"/>
                <w14:ligatures w14:val="none"/>
              </w:rPr>
              <w:t>30</w:t>
            </w:r>
          </w:p>
        </w:tc>
        <w:tc>
          <w:tcPr>
            <w:tcW w:w="1080" w:type="dxa"/>
            <w:tcBorders>
              <w:top w:val="nil"/>
              <w:left w:val="nil"/>
              <w:bottom w:val="single" w:sz="4" w:space="0" w:color="auto"/>
              <w:right w:val="single" w:sz="4" w:space="0" w:color="auto"/>
            </w:tcBorders>
            <w:noWrap/>
            <w:vAlign w:val="bottom"/>
            <w:hideMark/>
          </w:tcPr>
          <w:p w:rsidR="00F0690C" w:rsidRPr="00701E13" w:rsidP="003958D0">
            <w:pPr>
              <w:jc w:val="center"/>
              <w:rPr>
                <w:rFonts w:ascii="Arial" w:eastAsia="Times New Roman" w:hAnsi="Arial" w:cs="Arial"/>
                <w14:ligatures w14:val="none"/>
              </w:rPr>
            </w:pPr>
            <w:r>
              <w:rPr>
                <w:rFonts w:ascii="Arial" w:eastAsia="Times New Roman" w:hAnsi="Arial" w:cs="Arial"/>
                <w14:ligatures w14:val="none"/>
              </w:rPr>
              <w:t>30</w:t>
            </w:r>
          </w:p>
        </w:tc>
        <w:tc>
          <w:tcPr>
            <w:tcW w:w="990" w:type="dxa"/>
            <w:tcBorders>
              <w:top w:val="nil"/>
              <w:left w:val="nil"/>
              <w:bottom w:val="single" w:sz="4" w:space="0" w:color="auto"/>
              <w:right w:val="single" w:sz="4" w:space="0" w:color="auto"/>
            </w:tcBorders>
            <w:noWrap/>
            <w:vAlign w:val="bottom"/>
            <w:hideMark/>
          </w:tcPr>
          <w:p w:rsidR="00F0690C" w:rsidRPr="00701E13" w:rsidP="003958D0">
            <w:pPr>
              <w:jc w:val="center"/>
              <w:rPr>
                <w:rFonts w:ascii="Arial" w:eastAsia="Times New Roman" w:hAnsi="Arial" w:cs="Arial"/>
                <w14:ligatures w14:val="none"/>
              </w:rPr>
            </w:pPr>
            <w:r>
              <w:rPr>
                <w:rFonts w:ascii="Arial" w:eastAsia="Times New Roman" w:hAnsi="Arial" w:cs="Arial"/>
                <w14:ligatures w14:val="none"/>
              </w:rPr>
              <w:t>30</w:t>
            </w:r>
          </w:p>
        </w:tc>
        <w:tc>
          <w:tcPr>
            <w:tcW w:w="1170" w:type="dxa"/>
            <w:tcBorders>
              <w:top w:val="nil"/>
              <w:left w:val="nil"/>
              <w:bottom w:val="single" w:sz="4" w:space="0" w:color="auto"/>
              <w:right w:val="single" w:sz="4" w:space="0" w:color="auto"/>
            </w:tcBorders>
            <w:noWrap/>
            <w:vAlign w:val="bottom"/>
            <w:hideMark/>
          </w:tcPr>
          <w:p w:rsidR="00F0690C" w:rsidRPr="00701E13" w:rsidP="003958D0">
            <w:pPr>
              <w:jc w:val="center"/>
              <w:rPr>
                <w:rFonts w:ascii="Arial" w:eastAsia="Times New Roman" w:hAnsi="Arial" w:cs="Arial"/>
                <w14:ligatures w14:val="none"/>
              </w:rPr>
            </w:pPr>
            <w:r>
              <w:rPr>
                <w:rFonts w:ascii="Arial" w:eastAsia="Times New Roman" w:hAnsi="Arial" w:cs="Arial"/>
                <w14:ligatures w14:val="none"/>
              </w:rPr>
              <w:t>30</w:t>
            </w:r>
          </w:p>
        </w:tc>
        <w:tc>
          <w:tcPr>
            <w:tcW w:w="1080" w:type="dxa"/>
            <w:tcBorders>
              <w:top w:val="nil"/>
              <w:left w:val="nil"/>
              <w:bottom w:val="single" w:sz="4" w:space="0" w:color="auto"/>
              <w:right w:val="single" w:sz="4" w:space="0" w:color="auto"/>
            </w:tcBorders>
            <w:noWrap/>
            <w:vAlign w:val="bottom"/>
            <w:hideMark/>
          </w:tcPr>
          <w:p w:rsidR="00F0690C" w:rsidRPr="00701E13" w:rsidP="003958D0">
            <w:pPr>
              <w:jc w:val="center"/>
              <w:rPr>
                <w:rFonts w:ascii="Arial" w:eastAsia="Times New Roman" w:hAnsi="Arial" w:cs="Arial"/>
                <w14:ligatures w14:val="none"/>
              </w:rPr>
            </w:pPr>
            <w:r>
              <w:rPr>
                <w:rFonts w:ascii="Arial" w:eastAsia="Times New Roman" w:hAnsi="Arial" w:cs="Arial"/>
                <w14:ligatures w14:val="none"/>
              </w:rPr>
              <w:t>30</w:t>
            </w:r>
          </w:p>
        </w:tc>
      </w:tr>
    </w:tbl>
    <w:p w:rsidR="00F0690C" w:rsidP="00430B96"/>
    <w:p w:rsidR="00F0690C" w:rsidRPr="00E87CA1" w:rsidP="00F0690C">
      <w:pPr>
        <w:rPr>
          <w:rFonts w:ascii="Arial" w:hAnsi="Arial" w:cs="Arial"/>
          <w:b/>
          <w:bCs/>
        </w:rPr>
      </w:pPr>
      <w:r w:rsidRPr="00E87CA1">
        <w:rPr>
          <w:rFonts w:ascii="Arial" w:hAnsi="Arial" w:cs="Arial"/>
          <w:b/>
          <w:bCs/>
        </w:rPr>
        <w:t xml:space="preserve">Design </w:t>
      </w:r>
    </w:p>
    <w:p w:rsidR="00F0690C" w:rsidRPr="008620BA" w:rsidP="00F0690C">
      <w:pPr>
        <w:rPr>
          <w:rFonts w:ascii="Arial" w:hAnsi="Arial" w:cs="Arial"/>
        </w:rPr>
      </w:pPr>
      <w:r w:rsidRPr="008620BA">
        <w:rPr>
          <w:rFonts w:ascii="Arial" w:hAnsi="Arial" w:cs="Arial"/>
        </w:rPr>
        <w:t xml:space="preserve">Design features and functions of the offered device will be evaluated for its ability to aid in the performance of its intended function. Areas include but are not limited to the following: </w:t>
      </w:r>
    </w:p>
    <w:p w:rsidR="00F0690C" w:rsidRPr="008620BA" w:rsidP="00F0690C">
      <w:pPr>
        <w:numPr>
          <w:ilvl w:val="0"/>
          <w:numId w:val="1"/>
        </w:numPr>
        <w:spacing w:after="0"/>
        <w:rPr>
          <w:rFonts w:ascii="Arial" w:hAnsi="Arial" w:cs="Arial"/>
        </w:rPr>
      </w:pPr>
      <w:r w:rsidRPr="008620BA">
        <w:rPr>
          <w:rFonts w:ascii="Arial" w:hAnsi="Arial" w:cs="Arial"/>
        </w:rPr>
        <w:t xml:space="preserve">Ability to integrate with other Surgical Equipment </w:t>
      </w:r>
    </w:p>
    <w:p w:rsidR="00F0690C" w:rsidRPr="008620BA" w:rsidP="00F0690C">
      <w:pPr>
        <w:numPr>
          <w:ilvl w:val="0"/>
          <w:numId w:val="1"/>
        </w:numPr>
        <w:spacing w:after="0"/>
        <w:rPr>
          <w:rFonts w:ascii="Arial" w:hAnsi="Arial" w:cs="Arial"/>
        </w:rPr>
      </w:pPr>
      <w:r w:rsidRPr="008620BA">
        <w:rPr>
          <w:rFonts w:ascii="Arial" w:hAnsi="Arial" w:cs="Arial"/>
        </w:rPr>
        <w:t>Probe functions/versatility</w:t>
      </w:r>
    </w:p>
    <w:p w:rsidR="00F0690C" w:rsidRPr="008620BA" w:rsidP="00F0690C">
      <w:pPr>
        <w:numPr>
          <w:ilvl w:val="0"/>
          <w:numId w:val="1"/>
        </w:numPr>
        <w:spacing w:after="0"/>
        <w:rPr>
          <w:rFonts w:ascii="Arial" w:hAnsi="Arial" w:cs="Arial"/>
        </w:rPr>
      </w:pPr>
      <w:r w:rsidRPr="008620BA">
        <w:rPr>
          <w:rFonts w:ascii="Arial" w:hAnsi="Arial" w:cs="Arial"/>
        </w:rPr>
        <w:t>Customization for various procedures (options)</w:t>
      </w:r>
    </w:p>
    <w:p w:rsidR="00F0690C" w:rsidRPr="008620BA" w:rsidP="00F0690C">
      <w:pPr>
        <w:numPr>
          <w:ilvl w:val="0"/>
          <w:numId w:val="1"/>
        </w:numPr>
        <w:spacing w:after="0"/>
        <w:rPr>
          <w:rFonts w:ascii="Arial" w:hAnsi="Arial" w:cs="Arial"/>
        </w:rPr>
      </w:pPr>
      <w:r w:rsidRPr="008620BA">
        <w:rPr>
          <w:rFonts w:ascii="Arial" w:hAnsi="Arial" w:cs="Arial"/>
        </w:rPr>
        <w:t>Irrigation options/availability</w:t>
      </w:r>
    </w:p>
    <w:p w:rsidR="00F0690C" w:rsidRPr="008620BA" w:rsidP="00F0690C">
      <w:pPr>
        <w:numPr>
          <w:ilvl w:val="0"/>
          <w:numId w:val="1"/>
        </w:numPr>
        <w:spacing w:after="0"/>
        <w:rPr>
          <w:rFonts w:ascii="Arial" w:hAnsi="Arial" w:cs="Arial"/>
        </w:rPr>
      </w:pPr>
      <w:r w:rsidRPr="008620BA">
        <w:rPr>
          <w:rFonts w:ascii="Arial" w:hAnsi="Arial" w:cs="Arial"/>
        </w:rPr>
        <w:t>Number and variety of input/outputs connection/ports for peripheral devices</w:t>
      </w:r>
    </w:p>
    <w:p w:rsidR="00F0690C" w:rsidRPr="008620BA" w:rsidP="00F0690C">
      <w:pPr>
        <w:numPr>
          <w:ilvl w:val="0"/>
          <w:numId w:val="1"/>
        </w:numPr>
        <w:spacing w:after="0"/>
        <w:rPr>
          <w:rFonts w:ascii="Arial" w:hAnsi="Arial" w:cs="Arial"/>
        </w:rPr>
      </w:pPr>
      <w:r w:rsidRPr="008620BA">
        <w:rPr>
          <w:rFonts w:ascii="Arial" w:hAnsi="Arial" w:cs="Arial"/>
        </w:rPr>
        <w:t xml:space="preserve">Types of procedures supported </w:t>
      </w:r>
    </w:p>
    <w:p w:rsidR="00F0690C" w:rsidRPr="008620BA" w:rsidP="00F0690C">
      <w:pPr>
        <w:spacing w:after="0"/>
        <w:rPr>
          <w:rFonts w:ascii="Arial" w:hAnsi="Arial" w:cs="Arial"/>
        </w:rPr>
      </w:pPr>
    </w:p>
    <w:p w:rsidR="00F0690C" w:rsidRPr="00E87CA1" w:rsidP="00F0690C">
      <w:pPr>
        <w:rPr>
          <w:rFonts w:ascii="Arial" w:hAnsi="Arial" w:cs="Arial"/>
          <w:b/>
          <w:bCs/>
        </w:rPr>
      </w:pPr>
      <w:r w:rsidRPr="00E87CA1">
        <w:rPr>
          <w:rFonts w:ascii="Arial" w:hAnsi="Arial" w:cs="Arial"/>
          <w:b/>
          <w:bCs/>
        </w:rPr>
        <w:t xml:space="preserve">Performance </w:t>
      </w:r>
    </w:p>
    <w:p w:rsidR="00F0690C" w:rsidRPr="008620BA" w:rsidP="00F0690C">
      <w:pPr>
        <w:rPr>
          <w:rFonts w:ascii="Arial" w:hAnsi="Arial" w:cs="Arial"/>
        </w:rPr>
      </w:pPr>
      <w:r w:rsidRPr="008620BA">
        <w:rPr>
          <w:rFonts w:ascii="Arial" w:hAnsi="Arial" w:cs="Arial"/>
        </w:rPr>
        <w:t xml:space="preserve">The Device will be evaluated for its ability to perform its intended function. Areas included but are not limited to: </w:t>
      </w:r>
    </w:p>
    <w:p w:rsidR="00F0690C" w:rsidRPr="008620BA" w:rsidP="00F0690C">
      <w:pPr>
        <w:numPr>
          <w:ilvl w:val="0"/>
          <w:numId w:val="2"/>
        </w:numPr>
        <w:spacing w:after="0"/>
        <w:rPr>
          <w:rFonts w:ascii="Arial" w:hAnsi="Arial" w:cs="Arial"/>
        </w:rPr>
      </w:pPr>
      <w:r w:rsidRPr="008620BA">
        <w:rPr>
          <w:rFonts w:ascii="Arial" w:hAnsi="Arial" w:cs="Arial"/>
        </w:rPr>
        <w:t>Touch Screen features and ease of use</w:t>
      </w:r>
    </w:p>
    <w:p w:rsidR="00F0690C" w:rsidRPr="008620BA" w:rsidP="00F0690C">
      <w:pPr>
        <w:numPr>
          <w:ilvl w:val="0"/>
          <w:numId w:val="2"/>
        </w:numPr>
        <w:spacing w:after="0"/>
        <w:rPr>
          <w:rFonts w:ascii="Arial" w:hAnsi="Arial" w:cs="Arial"/>
        </w:rPr>
      </w:pPr>
      <w:r w:rsidRPr="008620BA">
        <w:rPr>
          <w:rFonts w:ascii="Arial" w:hAnsi="Arial" w:cs="Arial"/>
        </w:rPr>
        <w:t xml:space="preserve">Workflow performance of complete system </w:t>
      </w:r>
    </w:p>
    <w:p w:rsidR="00F0690C" w:rsidRPr="008620BA" w:rsidP="00F0690C">
      <w:pPr>
        <w:numPr>
          <w:ilvl w:val="0"/>
          <w:numId w:val="2"/>
        </w:numPr>
        <w:spacing w:after="0"/>
        <w:rPr>
          <w:rFonts w:ascii="Arial" w:hAnsi="Arial" w:cs="Arial"/>
        </w:rPr>
      </w:pPr>
      <w:r w:rsidRPr="008620BA">
        <w:rPr>
          <w:rFonts w:ascii="Arial" w:hAnsi="Arial" w:cs="Arial"/>
        </w:rPr>
        <w:t>Types/modes of energy (above and beyond what is in the SCs)</w:t>
      </w:r>
    </w:p>
    <w:p w:rsidR="00F0690C" w:rsidRPr="00E87CA1" w:rsidP="00F0690C">
      <w:pPr>
        <w:numPr>
          <w:ilvl w:val="0"/>
          <w:numId w:val="2"/>
        </w:numPr>
        <w:spacing w:after="0"/>
        <w:rPr>
          <w:rFonts w:ascii="Arial" w:hAnsi="Arial" w:cs="Arial"/>
        </w:rPr>
      </w:pPr>
      <w:r w:rsidRPr="008620BA">
        <w:rPr>
          <w:rFonts w:ascii="Arial" w:hAnsi="Arial" w:cs="Arial"/>
        </w:rPr>
        <w:t>Power adjustability</w:t>
      </w:r>
    </w:p>
    <w:p w:rsidR="00F0690C" w:rsidRPr="008620BA" w:rsidP="00F0690C">
      <w:pPr>
        <w:rPr>
          <w:rFonts w:ascii="Arial" w:hAnsi="Arial" w:cs="Arial"/>
        </w:rPr>
      </w:pPr>
    </w:p>
    <w:p w:rsidR="00F0690C" w:rsidRPr="00E87CA1" w:rsidP="00F0690C">
      <w:pPr>
        <w:rPr>
          <w:rFonts w:ascii="Arial" w:hAnsi="Arial" w:cs="Arial"/>
          <w:b/>
          <w:bCs/>
        </w:rPr>
      </w:pPr>
      <w:r w:rsidRPr="00E87CA1">
        <w:rPr>
          <w:rFonts w:ascii="Arial" w:hAnsi="Arial" w:cs="Arial"/>
          <w:b/>
          <w:bCs/>
        </w:rPr>
        <w:t>Safety</w:t>
      </w:r>
    </w:p>
    <w:p w:rsidR="00F0690C" w:rsidRPr="008620BA" w:rsidP="00F0690C">
      <w:pPr>
        <w:rPr>
          <w:rFonts w:ascii="Arial" w:hAnsi="Arial" w:cs="Arial"/>
        </w:rPr>
      </w:pPr>
      <w:r w:rsidRPr="008620BA">
        <w:rPr>
          <w:rFonts w:ascii="Arial" w:hAnsi="Arial" w:cs="Arial"/>
        </w:rPr>
        <w:t xml:space="preserve">The device will be assessed for patient safety features, including, but not limited to, the following areas: </w:t>
      </w:r>
    </w:p>
    <w:p w:rsidR="00F0690C" w:rsidRPr="008620BA" w:rsidP="00F0690C">
      <w:pPr>
        <w:numPr>
          <w:ilvl w:val="0"/>
          <w:numId w:val="3"/>
        </w:numPr>
        <w:spacing w:after="0"/>
        <w:rPr>
          <w:rFonts w:ascii="Arial" w:hAnsi="Arial" w:cs="Arial"/>
        </w:rPr>
      </w:pPr>
      <w:r w:rsidRPr="008620BA">
        <w:rPr>
          <w:rFonts w:ascii="Arial" w:hAnsi="Arial" w:cs="Arial"/>
        </w:rPr>
        <w:t xml:space="preserve">Audible tones and visual alarms </w:t>
      </w:r>
    </w:p>
    <w:p w:rsidR="00F0690C" w:rsidRPr="008620BA" w:rsidP="00F0690C">
      <w:pPr>
        <w:numPr>
          <w:ilvl w:val="0"/>
          <w:numId w:val="3"/>
        </w:numPr>
        <w:spacing w:after="0"/>
        <w:rPr>
          <w:rFonts w:ascii="Arial" w:hAnsi="Arial" w:cs="Arial"/>
        </w:rPr>
      </w:pPr>
      <w:r w:rsidRPr="008620BA">
        <w:rPr>
          <w:rFonts w:ascii="Arial" w:hAnsi="Arial" w:cs="Arial"/>
        </w:rPr>
        <w:t>Contact monitoring data display</w:t>
      </w:r>
    </w:p>
    <w:p w:rsidR="00F0690C" w:rsidRPr="008620BA" w:rsidP="00F0690C">
      <w:pPr>
        <w:rPr>
          <w:rFonts w:ascii="Arial" w:hAnsi="Arial" w:cs="Arial"/>
        </w:rPr>
      </w:pPr>
    </w:p>
    <w:p w:rsidR="00F0690C" w:rsidRPr="00E87CA1" w:rsidP="00F0690C">
      <w:pPr>
        <w:rPr>
          <w:rFonts w:ascii="Arial" w:hAnsi="Arial" w:cs="Arial"/>
          <w:b/>
          <w:bCs/>
        </w:rPr>
      </w:pPr>
      <w:r w:rsidRPr="00E87CA1">
        <w:rPr>
          <w:rFonts w:ascii="Arial" w:hAnsi="Arial" w:cs="Arial"/>
          <w:b/>
          <w:bCs/>
        </w:rPr>
        <w:t xml:space="preserve">Quality/Service /Training </w:t>
      </w:r>
    </w:p>
    <w:p w:rsidR="00F0690C" w:rsidRPr="008620BA" w:rsidP="00F0690C">
      <w:pPr>
        <w:numPr>
          <w:ilvl w:val="0"/>
          <w:numId w:val="4"/>
        </w:numPr>
        <w:spacing w:after="0"/>
        <w:rPr>
          <w:rFonts w:ascii="Arial" w:hAnsi="Arial" w:cs="Arial"/>
        </w:rPr>
      </w:pPr>
      <w:r w:rsidRPr="008620BA">
        <w:rPr>
          <w:rFonts w:ascii="Arial" w:hAnsi="Arial" w:cs="Arial"/>
        </w:rPr>
        <w:t>Training - Availability and options</w:t>
      </w:r>
    </w:p>
    <w:p w:rsidR="00F0690C" w:rsidRPr="008620BA" w:rsidP="00F0690C">
      <w:pPr>
        <w:numPr>
          <w:ilvl w:val="0"/>
          <w:numId w:val="4"/>
        </w:numPr>
        <w:spacing w:after="0"/>
        <w:rPr>
          <w:rFonts w:ascii="Arial" w:hAnsi="Arial" w:cs="Arial"/>
        </w:rPr>
      </w:pPr>
      <w:r w:rsidRPr="008620BA">
        <w:rPr>
          <w:rFonts w:ascii="Arial" w:hAnsi="Arial" w:cs="Arial"/>
        </w:rPr>
        <w:t>Service - Terms and conditions</w:t>
      </w:r>
    </w:p>
    <w:p w:rsidR="00F0690C" w:rsidRPr="008620BA" w:rsidP="00F0690C">
      <w:pPr>
        <w:numPr>
          <w:ilvl w:val="0"/>
          <w:numId w:val="3"/>
        </w:numPr>
        <w:spacing w:after="0"/>
        <w:rPr>
          <w:rFonts w:ascii="Arial" w:hAnsi="Arial" w:cs="Arial"/>
        </w:rPr>
      </w:pPr>
      <w:r w:rsidRPr="008620BA">
        <w:rPr>
          <w:rFonts w:ascii="Arial" w:hAnsi="Arial" w:cs="Arial"/>
        </w:rPr>
        <w:t xml:space="preserve">Warranty – Terms and conditions  </w:t>
      </w:r>
    </w:p>
    <w:p w:rsidR="00F0690C" w:rsidRPr="008620BA" w:rsidP="00F0690C">
      <w:pPr>
        <w:rPr>
          <w:rFonts w:ascii="Arial" w:hAnsi="Arial" w:cs="Arial"/>
        </w:rPr>
      </w:pPr>
    </w:p>
    <w:p w:rsidR="00F0690C" w:rsidRPr="008620BA" w:rsidP="00F0690C">
      <w:pPr>
        <w:rPr>
          <w:rFonts w:ascii="Arial" w:hAnsi="Arial" w:cs="Arial"/>
        </w:rPr>
      </w:pPr>
      <w:r w:rsidRPr="008620BA">
        <w:rPr>
          <w:rFonts w:ascii="Arial" w:hAnsi="Arial" w:cs="Arial"/>
        </w:rPr>
        <w:t>Again, for each product (brand name and part number), the response must include descriptive literature demonstrating the product meets or exceeds the salient characteristics specified above.</w:t>
      </w:r>
    </w:p>
    <w:p w:rsidR="00F0690C" w:rsidRPr="008620BA" w:rsidP="00F0690C">
      <w:pPr>
        <w:rPr>
          <w:rFonts w:ascii="Arial" w:hAnsi="Arial" w:cs="Arial"/>
        </w:rPr>
      </w:pPr>
      <w:r w:rsidRPr="008620BA">
        <w:rPr>
          <w:rFonts w:ascii="Arial" w:hAnsi="Arial" w:cs="Arial"/>
        </w:rPr>
        <w:t xml:space="preserve">The Government's intent is to include all ancillary items to ensure the equipment can function as designed by the Original Equipment Manufacturer (OEM) and as clinically required. Vendors are encouraged to provide any product solution or configuration so long as they meet the salient </w:t>
      </w:r>
      <w:r w:rsidRPr="008620BA">
        <w:rPr>
          <w:rFonts w:ascii="Arial" w:hAnsi="Arial" w:cs="Arial"/>
        </w:rPr>
        <w:t>characteristics. Additionally, responses can include any additional product that may be beneficial. These items must be clearly identified by brand name and part number.</w:t>
      </w:r>
    </w:p>
    <w:p w:rsidR="004938BA" w:rsidP="004938BA">
      <w:pPr>
        <w:spacing w:after="120"/>
        <w:rPr>
          <w:rFonts w:ascii="Arial" w:hAnsi="Arial" w:cs="Arial"/>
        </w:rPr>
      </w:pPr>
      <w:r w:rsidRPr="008620BA">
        <w:rPr>
          <w:rFonts w:ascii="Arial" w:hAnsi="Arial" w:cs="Arial"/>
        </w:rPr>
        <w:t>Responses to this Sources Sought Notice shall include the following:</w:t>
      </w:r>
    </w:p>
    <w:p w:rsidR="00107A93" w:rsidRPr="00051C38" w:rsidP="00051C38">
      <w:pPr>
        <w:spacing w:after="120"/>
        <w:rPr>
          <w:rFonts w:ascii="Arial" w:hAnsi="Arial" w:cs="Arial"/>
        </w:rPr>
      </w:pPr>
      <w:r>
        <w:rPr>
          <w:rFonts w:ascii="Arial" w:hAnsi="Arial" w:cs="Arial"/>
        </w:rPr>
        <w:t xml:space="preserve">     </w:t>
      </w:r>
      <w:r w:rsidRPr="00051C38">
        <w:rPr>
          <w:rFonts w:ascii="Arial" w:hAnsi="Arial" w:cs="Arial"/>
        </w:rPr>
        <w:t>1.</w:t>
      </w:r>
      <w:r>
        <w:rPr>
          <w:rFonts w:ascii="Arial" w:hAnsi="Arial" w:cs="Arial"/>
        </w:rPr>
        <w:t xml:space="preserve">  </w:t>
      </w:r>
      <w:r w:rsidRPr="00051C38">
        <w:rPr>
          <w:rFonts w:ascii="Arial" w:hAnsi="Arial" w:cs="Arial"/>
        </w:rPr>
        <w:t>Please provide a yes or no, with a brief point-by-point explanation of how your product can or cannot meet each draft salient characteristic, in a chart/table format. </w:t>
      </w:r>
    </w:p>
    <w:p w:rsidR="00107A93" w:rsidP="00E93087">
      <w:pPr>
        <w:spacing w:after="120"/>
        <w:rPr>
          <w:rFonts w:ascii="Arial" w:hAnsi="Arial" w:cs="Arial"/>
        </w:rPr>
      </w:pPr>
      <w:r>
        <w:rPr>
          <w:rFonts w:ascii="Arial" w:hAnsi="Arial" w:cs="Arial"/>
        </w:rPr>
        <w:t xml:space="preserve">     2.  </w:t>
      </w:r>
      <w:r w:rsidRPr="00107A93">
        <w:rPr>
          <w:rFonts w:ascii="Arial" w:hAnsi="Arial" w:cs="Arial"/>
        </w:rPr>
        <w:t>Please provide OEM technical literature that clearly shows how your product meets each salient characteristic.  Please ensure the OEM technical literature is properly mapped with respective page numbers so it is easy to reference and connect to the draft salient characteristics.</w:t>
      </w:r>
    </w:p>
    <w:p w:rsidR="00F0690C" w:rsidRPr="0099752B" w:rsidP="00E93087">
      <w:pPr>
        <w:spacing w:after="120"/>
        <w:rPr>
          <w:rFonts w:ascii="Arial" w:hAnsi="Arial" w:cs="Arial"/>
        </w:rPr>
      </w:pPr>
      <w:r w:rsidRPr="0099752B">
        <w:rPr>
          <w:rFonts w:ascii="Arial" w:hAnsi="Arial" w:cs="Arial"/>
        </w:rPr>
        <w:t>Does vendor offer an annual service plan, Yes or No?</w:t>
      </w:r>
    </w:p>
    <w:p w:rsidR="00F0690C" w:rsidRPr="008620BA" w:rsidP="00A87E8B">
      <w:pPr>
        <w:spacing w:after="120"/>
        <w:ind w:left="360"/>
        <w:rPr>
          <w:rFonts w:ascii="Arial" w:hAnsi="Arial" w:cs="Arial"/>
        </w:rPr>
      </w:pPr>
      <w:r>
        <w:rPr>
          <w:rFonts w:ascii="Arial" w:hAnsi="Arial" w:cs="Arial"/>
        </w:rPr>
        <w:t xml:space="preserve">3.  </w:t>
      </w:r>
      <w:r w:rsidRPr="008620BA">
        <w:rPr>
          <w:rFonts w:ascii="Arial" w:hAnsi="Arial" w:cs="Arial"/>
        </w:rPr>
        <w:t>If Yes:</w:t>
      </w:r>
    </w:p>
    <w:p w:rsidR="00F0690C" w:rsidRPr="008620BA" w:rsidP="00F0690C">
      <w:pPr>
        <w:numPr>
          <w:ilvl w:val="1"/>
          <w:numId w:val="5"/>
        </w:numPr>
        <w:spacing w:after="120"/>
        <w:rPr>
          <w:rFonts w:ascii="Arial" w:hAnsi="Arial" w:cs="Arial"/>
        </w:rPr>
      </w:pPr>
      <w:r w:rsidRPr="008620BA">
        <w:rPr>
          <w:rFonts w:ascii="Arial" w:hAnsi="Arial" w:cs="Arial"/>
        </w:rPr>
        <w:t>What does the plan cover?</w:t>
      </w:r>
    </w:p>
    <w:p w:rsidR="00F0690C" w:rsidRPr="008620BA" w:rsidP="00F0690C">
      <w:pPr>
        <w:numPr>
          <w:ilvl w:val="1"/>
          <w:numId w:val="5"/>
        </w:numPr>
        <w:spacing w:after="120"/>
        <w:rPr>
          <w:rFonts w:ascii="Arial" w:hAnsi="Arial" w:cs="Arial"/>
        </w:rPr>
      </w:pPr>
      <w:r w:rsidRPr="008620BA">
        <w:rPr>
          <w:rFonts w:ascii="Arial" w:hAnsi="Arial" w:cs="Arial"/>
        </w:rPr>
        <w:t>Does plan cover software updates only?</w:t>
      </w:r>
    </w:p>
    <w:p w:rsidR="00F0690C" w:rsidRPr="008620BA" w:rsidP="00F0690C">
      <w:pPr>
        <w:numPr>
          <w:ilvl w:val="1"/>
          <w:numId w:val="5"/>
        </w:numPr>
        <w:spacing w:after="120"/>
        <w:rPr>
          <w:rFonts w:ascii="Arial" w:hAnsi="Arial" w:cs="Arial"/>
        </w:rPr>
      </w:pPr>
      <w:r w:rsidRPr="008620BA">
        <w:rPr>
          <w:rFonts w:ascii="Arial" w:hAnsi="Arial" w:cs="Arial"/>
        </w:rPr>
        <w:t>Does the plan cover parts repair or replacement only?</w:t>
      </w:r>
    </w:p>
    <w:p w:rsidR="00F0690C" w:rsidRPr="0099752B" w:rsidP="00F0690C">
      <w:pPr>
        <w:numPr>
          <w:ilvl w:val="1"/>
          <w:numId w:val="5"/>
        </w:numPr>
        <w:spacing w:after="120"/>
        <w:rPr>
          <w:rFonts w:ascii="Arial" w:hAnsi="Arial" w:cs="Arial"/>
        </w:rPr>
      </w:pPr>
      <w:r w:rsidRPr="0099752B">
        <w:rPr>
          <w:rFonts w:ascii="Arial" w:hAnsi="Arial" w:cs="Arial"/>
        </w:rPr>
        <w:t>Does the plan cover both software and parts?</w:t>
      </w:r>
    </w:p>
    <w:p w:rsidR="00F0690C" w:rsidRPr="0099752B" w:rsidP="00C52415">
      <w:pPr>
        <w:spacing w:after="120"/>
        <w:ind w:left="360"/>
        <w:rPr>
          <w:rFonts w:ascii="Arial" w:hAnsi="Arial" w:cs="Arial"/>
        </w:rPr>
      </w:pPr>
      <w:r>
        <w:rPr>
          <w:rFonts w:ascii="Arial" w:hAnsi="Arial" w:cs="Arial"/>
        </w:rPr>
        <w:t xml:space="preserve">4.  </w:t>
      </w:r>
      <w:r w:rsidRPr="0099752B">
        <w:rPr>
          <w:rFonts w:ascii="Arial" w:hAnsi="Arial" w:cs="Arial"/>
        </w:rPr>
        <w:t>Vendors are requested to provide documentation that shows information on their service plan.</w:t>
      </w:r>
    </w:p>
    <w:p w:rsidR="00C52415" w:rsidP="00C52415">
      <w:pPr>
        <w:spacing w:after="120"/>
        <w:ind w:left="360"/>
        <w:rPr>
          <w:rFonts w:ascii="Arial" w:hAnsi="Arial" w:cs="Arial"/>
        </w:rPr>
      </w:pPr>
      <w:r>
        <w:rPr>
          <w:rFonts w:ascii="Arial" w:hAnsi="Arial" w:cs="Arial"/>
        </w:rPr>
        <w:t xml:space="preserve">5.   </w:t>
      </w:r>
      <w:r w:rsidRPr="0099752B" w:rsidR="00F0690C">
        <w:rPr>
          <w:rFonts w:ascii="Arial" w:hAnsi="Arial" w:cs="Arial"/>
        </w:rPr>
        <w:t>Is the service provided by the OEM or a subcontractor?</w:t>
      </w:r>
    </w:p>
    <w:p w:rsidR="0034515A" w:rsidP="0034515A">
      <w:pPr>
        <w:spacing w:after="120"/>
        <w:ind w:left="360"/>
        <w:rPr>
          <w:rFonts w:ascii="Arial" w:hAnsi="Arial" w:cs="Arial"/>
        </w:rPr>
      </w:pPr>
      <w:r>
        <w:rPr>
          <w:rFonts w:ascii="Arial" w:hAnsi="Arial" w:cs="Arial"/>
        </w:rPr>
        <w:t xml:space="preserve">6.   </w:t>
      </w:r>
      <w:r w:rsidRPr="008620BA" w:rsidR="00F0690C">
        <w:rPr>
          <w:rFonts w:ascii="Arial" w:hAnsi="Arial" w:cs="Arial"/>
        </w:rPr>
        <w:t>Full name and address of company</w:t>
      </w:r>
    </w:p>
    <w:p w:rsidR="00594A16" w:rsidP="0034515A">
      <w:pPr>
        <w:spacing w:after="120"/>
        <w:ind w:left="360"/>
        <w:rPr>
          <w:rFonts w:ascii="Arial" w:hAnsi="Arial" w:cs="Arial"/>
        </w:rPr>
      </w:pPr>
      <w:r>
        <w:rPr>
          <w:rFonts w:ascii="Arial" w:hAnsi="Arial" w:cs="Arial"/>
        </w:rPr>
        <w:t xml:space="preserve">7.   </w:t>
      </w:r>
      <w:r w:rsidRPr="008620BA" w:rsidR="00F0690C">
        <w:rPr>
          <w:rFonts w:ascii="Arial" w:hAnsi="Arial" w:cs="Arial"/>
        </w:rPr>
        <w:t>DUNS number/ CAGE Code/ SAM UIE</w:t>
      </w:r>
    </w:p>
    <w:p w:rsidR="00594A16" w:rsidP="00594A16">
      <w:pPr>
        <w:spacing w:after="120"/>
        <w:ind w:left="360"/>
        <w:rPr>
          <w:rFonts w:ascii="Arial" w:hAnsi="Arial" w:cs="Arial"/>
        </w:rPr>
      </w:pPr>
      <w:r>
        <w:rPr>
          <w:rFonts w:ascii="Arial" w:hAnsi="Arial" w:cs="Arial"/>
        </w:rPr>
        <w:t xml:space="preserve">8.   </w:t>
      </w:r>
      <w:r w:rsidRPr="008620BA" w:rsidR="00F0690C">
        <w:rPr>
          <w:rFonts w:ascii="Arial" w:hAnsi="Arial" w:cs="Arial"/>
        </w:rPr>
        <w:t>Business Size</w:t>
      </w:r>
    </w:p>
    <w:p w:rsidR="00594A16" w:rsidP="00594A16">
      <w:pPr>
        <w:spacing w:after="120"/>
        <w:ind w:left="360"/>
        <w:rPr>
          <w:rFonts w:ascii="Arial" w:hAnsi="Arial" w:cs="Arial"/>
        </w:rPr>
      </w:pPr>
      <w:r>
        <w:rPr>
          <w:rFonts w:ascii="Arial" w:hAnsi="Arial" w:cs="Arial"/>
        </w:rPr>
        <w:t xml:space="preserve">9.   </w:t>
      </w:r>
      <w:r w:rsidRPr="008620BA" w:rsidR="00F0690C">
        <w:rPr>
          <w:rFonts w:ascii="Arial" w:hAnsi="Arial" w:cs="Arial"/>
        </w:rPr>
        <w:t>Manufacturer or Distributor</w:t>
      </w:r>
      <w:r w:rsidR="00F0690C">
        <w:rPr>
          <w:rFonts w:ascii="Arial" w:hAnsi="Arial" w:cs="Arial"/>
        </w:rPr>
        <w:t xml:space="preserve">:  </w:t>
      </w:r>
      <w:r w:rsidRPr="00EE5E1D" w:rsidR="00F0690C">
        <w:rPr>
          <w:rFonts w:ascii="Arial" w:hAnsi="Arial" w:cs="Arial"/>
        </w:rPr>
        <w:t xml:space="preserve">If distributor </w:t>
      </w:r>
      <w:r w:rsidR="00F0690C">
        <w:rPr>
          <w:rFonts w:ascii="Arial" w:hAnsi="Arial" w:cs="Arial"/>
        </w:rPr>
        <w:t xml:space="preserve">- </w:t>
      </w:r>
      <w:r w:rsidRPr="00EE5E1D" w:rsidR="00F0690C">
        <w:rPr>
          <w:rFonts w:ascii="Arial" w:hAnsi="Arial" w:cs="Arial"/>
        </w:rPr>
        <w:t xml:space="preserve">provide full name, business size and address of manufacturer. </w:t>
      </w:r>
    </w:p>
    <w:p w:rsidR="00594A16" w:rsidP="00594A16">
      <w:pPr>
        <w:spacing w:after="120"/>
        <w:ind w:left="360"/>
        <w:rPr>
          <w:rFonts w:ascii="Arial" w:hAnsi="Arial" w:cs="Arial"/>
        </w:rPr>
      </w:pPr>
      <w:r>
        <w:rPr>
          <w:rFonts w:ascii="Arial" w:hAnsi="Arial" w:cs="Arial"/>
        </w:rPr>
        <w:t xml:space="preserve">10. </w:t>
      </w:r>
      <w:r w:rsidRPr="008620BA" w:rsidR="00F0690C">
        <w:rPr>
          <w:rFonts w:ascii="Arial" w:hAnsi="Arial" w:cs="Arial"/>
        </w:rPr>
        <w:t>Country of Origin designation for all products</w:t>
      </w:r>
    </w:p>
    <w:p w:rsidR="00594A16" w:rsidP="00594A16">
      <w:pPr>
        <w:spacing w:after="120"/>
        <w:ind w:left="360"/>
        <w:rPr>
          <w:rFonts w:ascii="Arial" w:hAnsi="Arial" w:cs="Arial"/>
        </w:rPr>
      </w:pPr>
      <w:r>
        <w:rPr>
          <w:rFonts w:ascii="Arial" w:hAnsi="Arial" w:cs="Arial"/>
        </w:rPr>
        <w:t xml:space="preserve">11. </w:t>
      </w:r>
      <w:r w:rsidRPr="008620BA" w:rsidR="00F0690C">
        <w:rPr>
          <w:rFonts w:ascii="Arial" w:hAnsi="Arial" w:cs="Arial"/>
        </w:rPr>
        <w:t>Ability to provide uninterrupted supply of products on a national scale.</w:t>
      </w:r>
    </w:p>
    <w:p w:rsidR="00657B63" w:rsidP="00657B63">
      <w:pPr>
        <w:spacing w:after="120"/>
        <w:ind w:left="360"/>
        <w:rPr>
          <w:rFonts w:ascii="Arial" w:hAnsi="Arial" w:cs="Arial"/>
        </w:rPr>
      </w:pPr>
      <w:r>
        <w:rPr>
          <w:rFonts w:ascii="Arial" w:hAnsi="Arial" w:cs="Arial"/>
        </w:rPr>
        <w:t xml:space="preserve">12. </w:t>
      </w:r>
      <w:r w:rsidRPr="008620BA" w:rsidR="00F0690C">
        <w:rPr>
          <w:rFonts w:ascii="Arial" w:hAnsi="Arial" w:cs="Arial"/>
        </w:rPr>
        <w:t xml:space="preserve">Technical Literature that clearly shows product(s) meets the identified salient characteristics and page numbers where each salient characteristic is met. </w:t>
      </w:r>
    </w:p>
    <w:p w:rsidR="00657B63" w:rsidP="00657B63">
      <w:pPr>
        <w:spacing w:after="120"/>
        <w:ind w:left="360"/>
        <w:rPr>
          <w:rFonts w:ascii="Arial" w:hAnsi="Arial" w:cs="Arial"/>
        </w:rPr>
      </w:pPr>
      <w:r>
        <w:rPr>
          <w:rFonts w:ascii="Arial" w:hAnsi="Arial" w:cs="Arial"/>
        </w:rPr>
        <w:t xml:space="preserve">13. </w:t>
      </w:r>
      <w:r w:rsidRPr="008620BA" w:rsidR="00F0690C">
        <w:rPr>
          <w:rFonts w:ascii="Arial" w:hAnsi="Arial" w:cs="Arial"/>
        </w:rPr>
        <w:t>Any additional product solution or configuration that would be beneficial to the clinical functionality of the product line identified.</w:t>
      </w:r>
    </w:p>
    <w:p w:rsidR="00F0690C" w:rsidRPr="00657B63" w:rsidP="00657B63">
      <w:pPr>
        <w:spacing w:after="120"/>
        <w:ind w:left="360"/>
        <w:rPr>
          <w:rFonts w:ascii="Arial" w:hAnsi="Arial" w:cs="Arial"/>
        </w:rPr>
      </w:pPr>
      <w:r>
        <w:rPr>
          <w:rFonts w:ascii="Arial" w:hAnsi="Arial" w:cs="Arial"/>
        </w:rPr>
        <w:t xml:space="preserve">14. </w:t>
      </w:r>
      <w:r w:rsidRPr="008F7604">
        <w:rPr>
          <w:rFonts w:ascii="Arial" w:hAnsi="Arial" w:cs="Arial"/>
          <w:b/>
          <w:bCs/>
        </w:rPr>
        <w:t xml:space="preserve">Authorized Distributor Letter Certified by OEM with a </w:t>
      </w:r>
      <w:r w:rsidRPr="008F7604">
        <w:rPr>
          <w:rFonts w:ascii="Arial" w:hAnsi="Arial" w:cs="Arial"/>
          <w:b/>
          <w:bCs/>
          <w:u w:val="single"/>
        </w:rPr>
        <w:t>current date.</w:t>
      </w:r>
    </w:p>
    <w:p w:rsidR="00F0690C" w:rsidRPr="008620BA" w:rsidP="00F0690C">
      <w:pPr>
        <w:spacing w:after="120"/>
        <w:rPr>
          <w:rFonts w:ascii="Arial" w:hAnsi="Arial" w:cs="Arial"/>
        </w:rPr>
      </w:pPr>
      <w:r w:rsidRPr="00E87CA1">
        <w:rPr>
          <w:rFonts w:ascii="Arial" w:hAnsi="Arial" w:cs="Arial"/>
          <w:i/>
          <w:iCs/>
          <w:highlight w:val="yellow"/>
        </w:rPr>
        <w:t xml:space="preserve">Although not required, vendors responding to this Sources Sought may also submit a </w:t>
      </w:r>
      <w:r w:rsidRPr="00E87CA1">
        <w:rPr>
          <w:rFonts w:ascii="Arial" w:hAnsi="Arial" w:cs="Arial"/>
          <w:highlight w:val="yellow"/>
        </w:rPr>
        <w:t>Capabilities Statement</w:t>
      </w:r>
      <w:r w:rsidRPr="008620BA">
        <w:rPr>
          <w:rFonts w:ascii="Arial" w:hAnsi="Arial" w:cs="Arial"/>
        </w:rPr>
        <w:t>.</w:t>
      </w:r>
    </w:p>
    <w:p w:rsidR="00F0690C" w:rsidP="00430B96"/>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8D9157C"/>
    <w:multiLevelType w:val="hybridMultilevel"/>
    <w:tmpl w:val="63D2E232"/>
    <w:lvl w:ilvl="0">
      <w:start w:val="1"/>
      <w:numFmt w:val="decimal"/>
      <w:lvlText w:val="%1."/>
      <w:lvlJc w:val="left"/>
      <w:pPr>
        <w:ind w:left="720" w:hanging="360"/>
      </w:pPr>
      <w:rPr>
        <w:b w:val="0"/>
        <w:bCs/>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2097A551"/>
    <w:multiLevelType w:val="hybridMultilevel"/>
    <w:tmpl w:val="9874244E"/>
    <w:lvl w:ilvl="0">
      <w:start w:val="1"/>
      <w:numFmt w:val="decimal"/>
      <w:lvlText w:val="%1."/>
      <w:lvlJc w:val="left"/>
      <w:pPr>
        <w:ind w:left="720" w:hanging="360"/>
      </w:pPr>
      <w:rPr>
        <w:rFonts w:ascii="Arial" w:hAnsi="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285A5F8B"/>
    <w:multiLevelType w:val="hybridMultilevel"/>
    <w:tmpl w:val="59244276"/>
    <w:lvl w:ilvl="0">
      <w:start w:val="1"/>
      <w:numFmt w:val="decimal"/>
      <w:lvlText w:val="%1."/>
      <w:lvlJc w:val="left"/>
      <w:pPr>
        <w:ind w:left="720" w:hanging="360"/>
      </w:pPr>
      <w:rPr>
        <w:rFonts w:ascii="Arial" w:hAnsi="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5F8DD446"/>
    <w:multiLevelType w:val="hybridMultilevel"/>
    <w:tmpl w:val="3B84BDF8"/>
    <w:lvl w:ilvl="0">
      <w:start w:val="1"/>
      <w:numFmt w:val="decimal"/>
      <w:lvlText w:val="%1."/>
      <w:lvlJc w:val="left"/>
      <w:pPr>
        <w:ind w:left="720" w:hanging="360"/>
      </w:pPr>
      <w:rPr>
        <w:rFonts w:ascii="Arial" w:hAnsi="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76765182"/>
    <w:multiLevelType w:val="hybridMultilevel"/>
    <w:tmpl w:val="523E64D0"/>
    <w:lvl w:ilvl="0">
      <w:start w:val="1"/>
      <w:numFmt w:val="decimal"/>
      <w:lvlText w:val="%1."/>
      <w:lvlJc w:val="left"/>
      <w:pPr>
        <w:ind w:left="720" w:hanging="360"/>
      </w:pPr>
      <w:rPr>
        <w:rFonts w:ascii="Arial" w:hAnsi="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3"/>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80E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0E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0E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0E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80E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0E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0E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0E06"/>
    <w:rPr>
      <w:rFonts w:eastAsiaTheme="majorEastAsia" w:cstheme="majorBidi"/>
      <w:color w:val="272727" w:themeColor="text1" w:themeTint="D8"/>
    </w:rPr>
  </w:style>
  <w:style w:type="paragraph" w:styleId="Quote">
    <w:name w:val="Quote"/>
    <w:basedOn w:val="Normal"/>
    <w:next w:val="Normal"/>
    <w:link w:val="QuoteChar"/>
    <w:uiPriority w:val="29"/>
    <w:qFormat/>
    <w:rsid w:val="00C80E06"/>
    <w:pPr>
      <w:spacing w:before="160"/>
      <w:jc w:val="center"/>
    </w:pPr>
    <w:rPr>
      <w:i/>
      <w:iCs/>
      <w:color w:val="404040" w:themeColor="text1" w:themeTint="BF"/>
    </w:rPr>
  </w:style>
  <w:style w:type="character" w:customStyle="1" w:styleId="QuoteChar">
    <w:name w:val="Quote Char"/>
    <w:basedOn w:val="DefaultParagraphFont"/>
    <w:link w:val="Quote"/>
    <w:uiPriority w:val="29"/>
    <w:rsid w:val="00C80E06"/>
    <w:rPr>
      <w:i/>
      <w:iCs/>
      <w:color w:val="404040" w:themeColor="text1" w:themeTint="BF"/>
    </w:rPr>
  </w:style>
  <w:style w:type="paragraph" w:styleId="IntenseQuote">
    <w:name w:val="Intense Quote"/>
    <w:basedOn w:val="Normal"/>
    <w:next w:val="Normal"/>
    <w:link w:val="IntenseQuoteChar"/>
    <w:uiPriority w:val="30"/>
    <w:qFormat/>
    <w:rsid w:val="00C80E06"/>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C80E06"/>
    <w:rPr>
      <w:i/>
      <w:iCs/>
      <w:color w:val="366092" w:themeColor="accent1" w:themeShade="BF"/>
    </w:rPr>
  </w:style>
  <w:style w:type="character" w:styleId="IntenseReference">
    <w:name w:val="Intense Reference"/>
    <w:basedOn w:val="DefaultParagraphFont"/>
    <w:uiPriority w:val="32"/>
    <w:qFormat/>
    <w:rsid w:val="00C80E06"/>
    <w:rPr>
      <w:b/>
      <w:bCs/>
      <w:smallCaps/>
      <w:color w:val="366092" w:themeColor="accent1" w:themeShade="BF"/>
      <w:spacing w:val="5"/>
    </w:rPr>
  </w:style>
  <w:style w:type="character" w:styleId="Hyperlink">
    <w:name w:val="Hyperlink"/>
    <w:basedOn w:val="DefaultParagraphFont"/>
    <w:uiPriority w:val="99"/>
    <w:unhideWhenUsed/>
    <w:rsid w:val="00C80E06"/>
    <w:rPr>
      <w:color w:val="0000FF" w:themeColor="hyperlink"/>
      <w:u w:val="single"/>
    </w:rPr>
  </w:style>
  <w:style w:type="character" w:customStyle="1" w:styleId="s2">
    <w:name w:val="s2"/>
    <w:basedOn w:val="DefaultParagraphFont"/>
    <w:rsid w:val="00C80E06"/>
  </w:style>
  <w:style w:type="paragraph" w:styleId="PlainText">
    <w:name w:val="Plain Text"/>
    <w:basedOn w:val="Normal"/>
    <w:link w:val="PlainTextChar"/>
    <w:uiPriority w:val="99"/>
    <w:unhideWhenUsed/>
    <w:rsid w:val="00F0690C"/>
    <w:pPr>
      <w:spacing w:after="0" w:line="240" w:lineRule="auto"/>
    </w:pPr>
    <w:rPr>
      <w:rFonts w:ascii="Calibri" w:hAnsi="Calibri" w:eastAsiaTheme="minorHAnsi"/>
      <w:szCs w:val="21"/>
    </w:rPr>
  </w:style>
  <w:style w:type="character" w:customStyle="1" w:styleId="PlainTextChar">
    <w:name w:val="Plain Text Char"/>
    <w:basedOn w:val="DefaultParagraphFont"/>
    <w:link w:val="PlainText"/>
    <w:uiPriority w:val="99"/>
    <w:rsid w:val="00F0690C"/>
    <w:rPr>
      <w:rFonts w:ascii="Calibri" w:hAnsi="Calibri"/>
      <w:kern w:val="0"/>
      <w:sz w:val="22"/>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2026-03-19T13:14:51Z</dcterms:created>
  <dcterms:modified xsi:type="dcterms:W3CDTF">2026-03-19T13:14:51Z</dcterms:modified>
</cp:coreProperties>
</file>