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Sheriff Data Network (CLETS) Hardware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04-21-2026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Anette Doan</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RFI 36C26226Q0614 Police CLETS.</w:t>
      </w:r>
    </w:p>
    <w:p w:rsidR="008265E4" w:rsidRPr="007F6F69" w:rsidP="008265E4">
      <w:pPr>
        <w:pageBreakBefore/>
        <w:jc w:val="center"/>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THIS REQUEST FOR INFORMATION (RFI) IS ISSUED SOLELY FOR INFORMATION AND PLANNING PURPOSES ONLY AND DOES NOT CONSTITUTE A SOLICITATION.</w:t>
      </w:r>
    </w:p>
    <w:p w:rsidR="008265E4" w:rsidRPr="007F6F69" w:rsidP="008265E4">
      <w:pPr>
        <w:keepNext/>
        <w:keepLines/>
        <w:spacing w:after="0"/>
        <w:outlineLvl w:val="1"/>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 xml:space="preserve">THE SUBMISSION OF PRICING, CAPABILITIES FOR PLANNING PURPOSES, AND </w:t>
      </w:r>
      <w:r w:rsidRPr="007F6F69">
        <w:rPr>
          <w:rFonts w:eastAsia="Times New Roman" w:asciiTheme="majorHAnsi" w:hAnsiTheme="majorHAnsi" w:cstheme="majorHAnsi"/>
          <w:b/>
          <w:sz w:val="24"/>
          <w:szCs w:val="24"/>
          <w:lang w:val="en"/>
        </w:rPr>
        <w:t>OTHER MARKET INFORMATION</w:t>
      </w:r>
      <w:r w:rsidRPr="007F6F69">
        <w:rPr>
          <w:rFonts w:eastAsia="Times New Roman" w:asciiTheme="majorHAnsi" w:hAnsiTheme="majorHAnsi" w:cstheme="majorHAnsi"/>
          <w:b/>
          <w:sz w:val="24"/>
          <w:szCs w:val="24"/>
        </w:rPr>
        <w:t xml:space="preserve"> IS HIGHLY ENCOURAGED AND ALLOWED UNDER THIS RFI IN ACCORDANCE WITH (IAW) FAR 15.201(e).</w:t>
      </w:r>
    </w:p>
    <w:p w:rsidR="008265E4" w:rsidRPr="007F6F69" w:rsidP="008265E4">
      <w:pPr>
        <w:keepNext/>
        <w:keepLines/>
        <w:spacing w:after="0"/>
        <w:outlineLvl w:val="1"/>
        <w:rPr>
          <w:rFonts w:eastAsia="Times New Roman" w:asciiTheme="majorHAnsi" w:hAnsiTheme="majorHAnsi" w:cstheme="majorHAnsi"/>
          <w:b/>
          <w:sz w:val="24"/>
          <w:szCs w:val="24"/>
        </w:rPr>
      </w:pPr>
    </w:p>
    <w:p w:rsidR="008265E4" w:rsidRPr="007F6F69" w:rsidP="008265E4">
      <w:pPr>
        <w:keepNext/>
        <w:keepLines/>
        <w:spacing w:after="0"/>
        <w:outlineLvl w:val="1"/>
        <w:rPr>
          <w:rFonts w:eastAsia="Times New Roman" w:asciiTheme="majorHAnsi" w:hAnsiTheme="majorHAnsi" w:cstheme="majorHAnsi"/>
          <w:b/>
          <w:bCs/>
          <w:color w:val="4F81BD"/>
          <w:sz w:val="24"/>
          <w:szCs w:val="24"/>
        </w:rPr>
      </w:pPr>
      <w:r w:rsidRPr="007F6F69">
        <w:rPr>
          <w:rFonts w:eastAsia="Times New Roman" w:asciiTheme="majorHAnsi" w:hAnsiTheme="majorHAnsi" w:cstheme="majorHAnsi"/>
          <w:b/>
          <w:bCs/>
          <w:color w:val="4F81BD"/>
          <w:sz w:val="24"/>
          <w:szCs w:val="24"/>
        </w:rPr>
        <w:t xml:space="preserve">DISCLAIMER </w:t>
      </w:r>
    </w:p>
    <w:p w:rsidR="008265E4" w:rsidRPr="007F6F69" w:rsidP="008265E4">
      <w:pPr>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8265E4" w:rsidRPr="007F6F69" w:rsidP="008265E4">
      <w:pPr>
        <w:keepNext/>
        <w:keepLines/>
        <w:spacing w:after="0"/>
        <w:outlineLvl w:val="1"/>
        <w:rPr>
          <w:rFonts w:eastAsia="Times New Roman" w:asciiTheme="majorHAnsi" w:hAnsiTheme="majorHAnsi" w:cstheme="majorHAnsi"/>
          <w:b/>
          <w:bCs/>
          <w:color w:val="4F81BD"/>
          <w:sz w:val="24"/>
          <w:szCs w:val="24"/>
        </w:rPr>
      </w:pPr>
      <w:r w:rsidRPr="007F6F69">
        <w:rPr>
          <w:rFonts w:eastAsia="Times New Roman" w:asciiTheme="majorHAnsi" w:hAnsiTheme="majorHAnsi" w:cstheme="majorHAnsi"/>
          <w:b/>
          <w:bCs/>
          <w:color w:val="4F81BD"/>
          <w:sz w:val="24"/>
          <w:szCs w:val="24"/>
        </w:rPr>
        <w:t>SOURCES SOUGHT DESCRIPTION</w:t>
      </w:r>
    </w:p>
    <w:p w:rsidR="008265E4" w:rsidRPr="007F6F69" w:rsidP="008265E4">
      <w:pPr>
        <w:spacing w:after="0"/>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This is NOT a solicitation announcement.  This is a sources sought/RFI only.  The purpose of </w:t>
      </w:r>
      <w:r w:rsidRPr="007F6F69">
        <w:rPr>
          <w:rFonts w:eastAsia="Times New Roman" w:asciiTheme="majorHAnsi" w:hAnsiTheme="majorHAnsi" w:cstheme="majorHAnsi"/>
          <w:sz w:val="24"/>
          <w:szCs w:val="24"/>
        </w:rPr>
        <w:t>this</w:t>
      </w:r>
      <w:r w:rsidRPr="007F6F69">
        <w:rPr>
          <w:rFonts w:eastAsia="Times New Roman" w:asciiTheme="majorHAnsi" w:hAnsiTheme="majorHAnsi" w:cstheme="majorHAnsi"/>
          <w:sz w:val="24"/>
          <w:szCs w:val="24"/>
        </w:rPr>
        <w:t xml:space="preserve"> sources sought/RFI is to gain knowledge of potential qualified sources and their size classification relative to NAICS </w:t>
      </w:r>
      <w:r w:rsidRPr="007F6F69">
        <w:rPr>
          <w:rFonts w:asciiTheme="majorHAnsi" w:hAnsiTheme="majorHAnsi" w:cstheme="majorHAnsi"/>
          <w:sz w:val="24"/>
          <w:szCs w:val="24"/>
          <w:u w:val="single"/>
        </w:rPr>
        <w:t>513210</w:t>
      </w:r>
      <w:r w:rsidRPr="007F6F69">
        <w:rPr>
          <w:rFonts w:eastAsia="Times New Roman" w:asciiTheme="majorHAnsi" w:hAnsiTheme="majorHAnsi" w:cstheme="majorHAnsi"/>
          <w:sz w:val="24"/>
          <w:szCs w:val="24"/>
        </w:rPr>
        <w:t xml:space="preserve"> (size standard of 47 million). Responses to </w:t>
      </w:r>
      <w:r w:rsidRPr="007F6F69">
        <w:rPr>
          <w:rFonts w:eastAsia="Times New Roman" w:asciiTheme="majorHAnsi" w:hAnsiTheme="majorHAnsi" w:cstheme="majorHAnsi"/>
          <w:sz w:val="24"/>
          <w:szCs w:val="24"/>
        </w:rPr>
        <w:t>this</w:t>
      </w:r>
      <w:r w:rsidRPr="007F6F69">
        <w:rPr>
          <w:rFonts w:eastAsia="Times New Roman" w:asciiTheme="majorHAnsi" w:hAnsiTheme="majorHAnsi" w:cstheme="majorHAnsi"/>
          <w:sz w:val="24"/>
          <w:szCs w:val="24"/>
        </w:rPr>
        <w:t xml:space="preserve"> sources-sought will be used by the Government to make appropriate acquisition decisions. After </w:t>
      </w:r>
      <w:r w:rsidRPr="007F6F69">
        <w:rPr>
          <w:rFonts w:eastAsia="Times New Roman" w:asciiTheme="majorHAnsi" w:hAnsiTheme="majorHAnsi" w:cstheme="majorHAnsi"/>
          <w:sz w:val="24"/>
          <w:szCs w:val="24"/>
        </w:rPr>
        <w:t>review of</w:t>
      </w:r>
      <w:r w:rsidRPr="007F6F69">
        <w:rPr>
          <w:rFonts w:eastAsia="Times New Roman" w:asciiTheme="majorHAnsi" w:hAnsiTheme="majorHAnsi" w:cstheme="majorHAnsi"/>
          <w:sz w:val="24"/>
          <w:szCs w:val="24"/>
        </w:rPr>
        <w:t xml:space="preserve"> the responses to this sources-sought, a solicitation announcement may be published.  Responses to this sources-sought synopsis are not considered adequate responses for a solicitation announcement.  </w:t>
      </w:r>
    </w:p>
    <w:p w:rsidR="008265E4" w:rsidRPr="007F6F69" w:rsidP="008265E4">
      <w:pPr>
        <w:spacing w:after="0"/>
        <w:jc w:val="both"/>
        <w:rPr>
          <w:rFonts w:eastAsia="Times New Roman" w:asciiTheme="majorHAnsi" w:hAnsiTheme="majorHAnsi" w:cstheme="majorHAnsi"/>
          <w:sz w:val="24"/>
          <w:szCs w:val="24"/>
        </w:rPr>
      </w:pPr>
    </w:p>
    <w:p w:rsidR="008265E4" w:rsidRPr="009D738B" w:rsidP="008265E4">
      <w:pPr>
        <w:autoSpaceDE w:val="0"/>
        <w:autoSpaceDN w:val="0"/>
        <w:adjustRightInd w:val="0"/>
        <w:spacing w:after="0" w:line="240" w:lineRule="auto"/>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The Department of Veterans Affairs (VA), VISN 22 Network Contracting Office, is seeking sources that can provide </w:t>
      </w:r>
      <w:r w:rsidRPr="009D738B">
        <w:rPr>
          <w:rFonts w:eastAsia="Times New Roman" w:asciiTheme="majorHAnsi" w:hAnsiTheme="majorHAnsi" w:cstheme="majorHAnsi"/>
          <w:sz w:val="24"/>
          <w:szCs w:val="24"/>
        </w:rPr>
        <w:t xml:space="preserve">the below requested items for Police CLETS. </w:t>
      </w:r>
    </w:p>
    <w:p w:rsidR="008265E4" w:rsidRPr="009D738B" w:rsidP="008265E4">
      <w:pPr>
        <w:autoSpaceDE w:val="0"/>
        <w:autoSpaceDN w:val="0"/>
        <w:adjustRightInd w:val="0"/>
        <w:spacing w:after="0" w:line="240" w:lineRule="auto"/>
        <w:rPr>
          <w:rFonts w:eastAsia="Times New Roman" w:asciiTheme="majorHAnsi" w:hAnsiTheme="majorHAnsi" w:cstheme="majorHAnsi"/>
          <w:sz w:val="24"/>
          <w:szCs w:val="24"/>
        </w:rPr>
      </w:pPr>
    </w:p>
    <w:p w:rsidR="008265E4" w:rsidRPr="009D738B" w:rsidP="008265E4">
      <w:pPr>
        <w:autoSpaceDE w:val="0"/>
        <w:autoSpaceDN w:val="0"/>
        <w:adjustRightInd w:val="0"/>
        <w:spacing w:after="0" w:line="240" w:lineRule="auto"/>
        <w:rPr>
          <w:rFonts w:eastAsia="Times New Roman" w:asciiTheme="majorHAnsi" w:hAnsiTheme="majorHAnsi" w:cstheme="majorHAnsi"/>
          <w:sz w:val="24"/>
          <w:szCs w:val="24"/>
        </w:rPr>
      </w:pPr>
      <w:r w:rsidRPr="009D738B">
        <w:rPr>
          <w:rFonts w:eastAsia="Times New Roman" w:asciiTheme="majorHAnsi" w:hAnsiTheme="majorHAnsi" w:cstheme="majorHAnsi"/>
          <w:sz w:val="24"/>
          <w:szCs w:val="24"/>
        </w:rPr>
        <w:t>The Veterans Affairs Police Service is an armed federal law enforcement and protective service entity that operates in and around the various Veterans Affairs Medical Centers, National Cemeteries, and other VA facilities.  VA Police Officers have full police powers derived from statutory authority to enforce all federal laws, VA rules and regulations, and to make arrests on VA controlled property whether owned or leased in concurrent, exclusive, and/or proprietary jurisdictions.  VA Police within the VA GLA HCS utilize a large assortment of tools to perform their duties, including GSA-leased vehicles, VA-networked software, radios, security cameras, VA-issued mobile devices, and law enforcement report writing and training software.</w:t>
      </w:r>
    </w:p>
    <w:p w:rsidR="008265E4" w:rsidRPr="009D738B" w:rsidP="008265E4">
      <w:pPr>
        <w:autoSpaceDE w:val="0"/>
        <w:autoSpaceDN w:val="0"/>
        <w:adjustRightInd w:val="0"/>
        <w:spacing w:after="0" w:line="240" w:lineRule="auto"/>
        <w:rPr>
          <w:rFonts w:eastAsia="Times New Roman" w:asciiTheme="majorHAnsi" w:hAnsiTheme="majorHAnsi" w:cstheme="majorHAnsi"/>
          <w:sz w:val="24"/>
          <w:szCs w:val="24"/>
        </w:rPr>
      </w:pPr>
    </w:p>
    <w:p w:rsidR="008265E4" w:rsidRPr="009D738B" w:rsidP="008265E4">
      <w:pPr>
        <w:autoSpaceDE w:val="0"/>
        <w:autoSpaceDN w:val="0"/>
        <w:adjustRightInd w:val="0"/>
        <w:spacing w:after="0" w:line="240" w:lineRule="auto"/>
        <w:rPr>
          <w:rFonts w:eastAsia="Times New Roman" w:asciiTheme="majorHAnsi" w:hAnsiTheme="majorHAnsi" w:cstheme="majorHAnsi"/>
          <w:sz w:val="24"/>
          <w:szCs w:val="24"/>
        </w:rPr>
      </w:pPr>
      <w:r w:rsidRPr="009D738B">
        <w:rPr>
          <w:rFonts w:eastAsia="Times New Roman" w:asciiTheme="majorHAnsi" w:hAnsiTheme="majorHAnsi" w:cstheme="majorHAnsi"/>
          <w:sz w:val="24"/>
          <w:szCs w:val="24"/>
        </w:rPr>
        <w:t xml:space="preserve">The VA GLA HCS requires a connection with Los Angeles County Sheriff’s Department to query and make entries into law enforcement databases, process arrests, and meet regulatory requirements.  It accomplished this through an authorized air-gapped system wherein its connections did not support any device connected to the VA network and devices connected to the external source had no connection to the VA network (This included physical connections; wireless, virtual local area networks (VLANS), </w:t>
      </w:r>
      <w:r w:rsidRPr="009D738B">
        <w:rPr>
          <w:rFonts w:eastAsia="Times New Roman" w:asciiTheme="majorHAnsi" w:hAnsiTheme="majorHAnsi" w:cstheme="majorHAnsi"/>
          <w:sz w:val="24"/>
          <w:szCs w:val="24"/>
        </w:rPr>
        <w:t>etc</w:t>
      </w:r>
      <w:r w:rsidRPr="009D738B">
        <w:rPr>
          <w:rFonts w:eastAsia="Times New Roman" w:asciiTheme="majorHAnsi" w:hAnsiTheme="majorHAnsi" w:cstheme="majorHAnsi"/>
          <w:sz w:val="24"/>
          <w:szCs w:val="24"/>
        </w:rPr>
        <w:t>).</w:t>
      </w:r>
    </w:p>
    <w:p w:rsidR="008265E4" w:rsidP="008265E4">
      <w:pPr>
        <w:autoSpaceDE w:val="0"/>
        <w:autoSpaceDN w:val="0"/>
        <w:adjustRightInd w:val="0"/>
        <w:spacing w:after="0" w:line="240" w:lineRule="auto"/>
        <w:rPr>
          <w:rFonts w:asciiTheme="majorHAnsi" w:hAnsiTheme="majorHAnsi" w:cstheme="majorHAnsi"/>
          <w:sz w:val="24"/>
          <w:szCs w:val="24"/>
        </w:rPr>
      </w:pPr>
    </w:p>
    <w:p w:rsidR="008265E4" w:rsidRPr="00124E57" w:rsidP="008265E4">
      <w:pPr>
        <w:autoSpaceDE w:val="0"/>
        <w:autoSpaceDN w:val="0"/>
        <w:adjustRightInd w:val="0"/>
        <w:spacing w:after="0" w:line="240" w:lineRule="auto"/>
        <w:rPr>
          <w:rFonts w:asciiTheme="majorHAnsi" w:hAnsiTheme="majorHAnsi" w:cstheme="majorHAnsi"/>
          <w:sz w:val="24"/>
          <w:szCs w:val="24"/>
        </w:rPr>
      </w:pPr>
      <w:r w:rsidRPr="00124E57">
        <w:rPr>
          <w:sz w:val="24"/>
          <w:szCs w:val="24"/>
        </w:rPr>
        <w:t xml:space="preserve">This contract covers securing the internet service and hardware required to restore the dedicated air-gapped connection from the VA GLA HCS Police Headquarters to the Los Angeles Sheriff Department to restore mission critical systems associated with law enforcement databases and processing arrests. </w:t>
      </w:r>
    </w:p>
    <w:p w:rsidR="008265E4" w:rsidRPr="00E971CD" w:rsidP="008265E4">
      <w:pPr>
        <w:autoSpaceDE w:val="0"/>
        <w:autoSpaceDN w:val="0"/>
        <w:adjustRightInd w:val="0"/>
        <w:spacing w:after="0" w:line="240" w:lineRule="auto"/>
        <w:rPr>
          <w:rFonts w:asciiTheme="majorHAnsi" w:hAnsiTheme="majorHAnsi" w:cstheme="majorHAnsi"/>
          <w:sz w:val="24"/>
          <w:szCs w:val="24"/>
        </w:rPr>
      </w:pPr>
      <w:r>
        <w:rPr>
          <w:sz w:val="24"/>
          <w:szCs w:val="24"/>
        </w:rPr>
        <w:t>Hardware shall be a one-time cost to purchase with recurring services to maintain, update, and/or repair.</w:t>
      </w:r>
    </w:p>
    <w:p w:rsidR="008265E4" w:rsidRPr="007F6F69" w:rsidP="008265E4">
      <w:pPr>
        <w:autoSpaceDE w:val="0"/>
        <w:autoSpaceDN w:val="0"/>
        <w:adjustRightInd w:val="0"/>
        <w:spacing w:after="0" w:line="240" w:lineRule="auto"/>
        <w:rPr>
          <w:rFonts w:eastAsia="Times New Roman" w:asciiTheme="majorHAnsi" w:hAnsiTheme="majorHAnsi" w:cstheme="majorHAnsi"/>
          <w:sz w:val="24"/>
          <w:szCs w:val="24"/>
        </w:rPr>
      </w:pPr>
    </w:p>
    <w:p w:rsidR="008265E4" w:rsidRPr="009D738B" w:rsidP="008265E4">
      <w:pPr>
        <w:contextualSpacing/>
        <w:jc w:val="both"/>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Item Information:</w:t>
      </w:r>
    </w:p>
    <w:tbl>
      <w:tblPr>
        <w:tblStyle w:val="LightListAccent1"/>
        <w:tblW w:w="0" w:type="auto"/>
        <w:tblLook w:val="04A0"/>
      </w:tblPr>
      <w:tblGrid>
        <w:gridCol w:w="1087"/>
        <w:gridCol w:w="2233"/>
        <w:gridCol w:w="1220"/>
        <w:gridCol w:w="690"/>
        <w:gridCol w:w="2055"/>
        <w:gridCol w:w="2055"/>
      </w:tblGrid>
      <w:tr w:rsidTr="00331758">
        <w:tblPrEx>
          <w:tblW w:w="0" w:type="auto"/>
          <w:tblLook w:val="04A0"/>
        </w:tblPrEx>
        <w:tc>
          <w:tcPr>
            <w:tcW w:w="1278" w:type="dxa"/>
            <w:tcBorders>
              <w:top w:val="single" w:sz="8" w:space="0" w:color="156082" w:themeColor="accent1"/>
              <w:left w:val="single" w:sz="8" w:space="0" w:color="156082" w:themeColor="accent1"/>
              <w:bottom w:val="nil"/>
              <w:right w:val="nil"/>
            </w:tcBorders>
            <w:vAlign w:val="bottom"/>
            <w:hideMark/>
          </w:tcPr>
          <w:p w:rsidR="008265E4" w:rsidRPr="007F6F69" w:rsidP="00331758">
            <w:pPr>
              <w:spacing w:before="60" w:after="60"/>
              <w:rPr>
                <w:rFonts w:asciiTheme="majorHAnsi" w:hAnsiTheme="majorHAnsi" w:cstheme="majorHAnsi"/>
                <w:sz w:val="24"/>
                <w:szCs w:val="24"/>
              </w:rPr>
            </w:pPr>
            <w:r w:rsidRPr="007F6F69">
              <w:rPr>
                <w:rFonts w:asciiTheme="majorHAnsi" w:hAnsiTheme="majorHAnsi" w:cstheme="majorHAnsi"/>
                <w:sz w:val="24"/>
                <w:szCs w:val="24"/>
              </w:rPr>
              <w:t>ITEM NUMBER</w:t>
            </w:r>
          </w:p>
        </w:tc>
        <w:tc>
          <w:tcPr>
            <w:tcW w:w="2322" w:type="dxa"/>
            <w:tcBorders>
              <w:top w:val="single" w:sz="8" w:space="0" w:color="156082" w:themeColor="accent1"/>
              <w:left w:val="nil"/>
              <w:bottom w:val="nil"/>
              <w:right w:val="nil"/>
            </w:tcBorders>
            <w:vAlign w:val="bottom"/>
            <w:hideMark/>
          </w:tcPr>
          <w:p w:rsidR="008265E4" w:rsidRPr="007F6F69" w:rsidP="00331758">
            <w:pPr>
              <w:spacing w:before="60" w:after="60"/>
              <w:rPr>
                <w:rFonts w:asciiTheme="majorHAnsi" w:hAnsiTheme="majorHAnsi" w:cstheme="majorHAnsi"/>
                <w:sz w:val="24"/>
                <w:szCs w:val="24"/>
              </w:rPr>
            </w:pPr>
            <w:r w:rsidRPr="007F6F69">
              <w:rPr>
                <w:rFonts w:asciiTheme="majorHAnsi" w:hAnsiTheme="majorHAnsi" w:cstheme="majorHAnsi"/>
                <w:sz w:val="24"/>
                <w:szCs w:val="24"/>
              </w:rPr>
              <w:t>DESCRIPTION OF SUPPLIES/SERVICES</w:t>
            </w:r>
          </w:p>
        </w:tc>
        <w:tc>
          <w:tcPr>
            <w:tcW w:w="1458" w:type="dxa"/>
            <w:tcBorders>
              <w:top w:val="single" w:sz="8" w:space="0" w:color="156082" w:themeColor="accent1"/>
              <w:left w:val="nil"/>
              <w:bottom w:val="nil"/>
              <w:right w:val="nil"/>
            </w:tcBorders>
            <w:vAlign w:val="bottom"/>
            <w:hideMark/>
          </w:tcPr>
          <w:p w:rsidR="008265E4" w:rsidRPr="007F6F69" w:rsidP="00331758">
            <w:pPr>
              <w:spacing w:before="60" w:after="60"/>
              <w:jc w:val="right"/>
              <w:rPr>
                <w:rFonts w:asciiTheme="majorHAnsi" w:hAnsiTheme="majorHAnsi" w:cstheme="majorHAnsi"/>
                <w:sz w:val="24"/>
                <w:szCs w:val="24"/>
              </w:rPr>
            </w:pPr>
            <w:r w:rsidRPr="007F6F69">
              <w:rPr>
                <w:rFonts w:asciiTheme="majorHAnsi" w:hAnsiTheme="majorHAnsi" w:cstheme="majorHAnsi"/>
                <w:sz w:val="24"/>
                <w:szCs w:val="24"/>
              </w:rPr>
              <w:t>QUANTITY</w:t>
            </w:r>
          </w:p>
        </w:tc>
        <w:tc>
          <w:tcPr>
            <w:tcW w:w="763" w:type="dxa"/>
            <w:tcBorders>
              <w:top w:val="single" w:sz="8" w:space="0" w:color="156082" w:themeColor="accent1"/>
              <w:left w:val="nil"/>
              <w:bottom w:val="nil"/>
              <w:right w:val="nil"/>
            </w:tcBorders>
            <w:vAlign w:val="bottom"/>
            <w:hideMark/>
          </w:tcPr>
          <w:p w:rsidR="008265E4" w:rsidRPr="007F6F69" w:rsidP="00331758">
            <w:pPr>
              <w:spacing w:before="60" w:after="60"/>
              <w:jc w:val="right"/>
              <w:rPr>
                <w:rFonts w:asciiTheme="majorHAnsi" w:hAnsiTheme="majorHAnsi" w:cstheme="majorHAnsi"/>
                <w:sz w:val="24"/>
                <w:szCs w:val="24"/>
              </w:rPr>
            </w:pPr>
            <w:r w:rsidRPr="007F6F69">
              <w:rPr>
                <w:rFonts w:asciiTheme="majorHAnsi" w:hAnsiTheme="majorHAnsi" w:cstheme="majorHAnsi"/>
                <w:sz w:val="24"/>
                <w:szCs w:val="24"/>
              </w:rPr>
              <w:t>UNIT</w:t>
            </w:r>
          </w:p>
        </w:tc>
        <w:tc>
          <w:tcPr>
            <w:tcW w:w="1886" w:type="dxa"/>
            <w:tcBorders>
              <w:top w:val="single" w:sz="8" w:space="0" w:color="156082" w:themeColor="accent1"/>
              <w:left w:val="nil"/>
              <w:bottom w:val="nil"/>
              <w:right w:val="nil"/>
            </w:tcBorders>
            <w:vAlign w:val="bottom"/>
            <w:hideMark/>
          </w:tcPr>
          <w:p w:rsidR="008265E4" w:rsidRPr="007F6F69" w:rsidP="00331758">
            <w:pPr>
              <w:spacing w:before="60" w:after="60"/>
              <w:jc w:val="right"/>
              <w:rPr>
                <w:rFonts w:asciiTheme="majorHAnsi" w:hAnsiTheme="majorHAnsi" w:cstheme="majorHAnsi"/>
                <w:sz w:val="24"/>
                <w:szCs w:val="24"/>
              </w:rPr>
            </w:pPr>
            <w:r w:rsidRPr="007F6F69">
              <w:rPr>
                <w:rFonts w:asciiTheme="majorHAnsi" w:hAnsiTheme="majorHAnsi" w:cstheme="majorHAnsi"/>
                <w:sz w:val="24"/>
                <w:szCs w:val="24"/>
              </w:rPr>
              <w:t>UNIT PRICE</w:t>
            </w:r>
          </w:p>
        </w:tc>
        <w:tc>
          <w:tcPr>
            <w:tcW w:w="1869" w:type="dxa"/>
            <w:tcBorders>
              <w:top w:val="single" w:sz="8" w:space="0" w:color="156082" w:themeColor="accent1"/>
              <w:left w:val="nil"/>
              <w:bottom w:val="nil"/>
              <w:right w:val="single" w:sz="8" w:space="0" w:color="156082" w:themeColor="accent1"/>
            </w:tcBorders>
            <w:vAlign w:val="bottom"/>
            <w:hideMark/>
          </w:tcPr>
          <w:p w:rsidR="008265E4" w:rsidRPr="007F6F69" w:rsidP="00331758">
            <w:pPr>
              <w:spacing w:before="60" w:after="60"/>
              <w:jc w:val="right"/>
              <w:rPr>
                <w:rFonts w:asciiTheme="majorHAnsi" w:hAnsiTheme="majorHAnsi" w:cstheme="majorHAnsi"/>
                <w:sz w:val="24"/>
                <w:szCs w:val="24"/>
              </w:rPr>
            </w:pPr>
            <w:r w:rsidRPr="007F6F69">
              <w:rPr>
                <w:rFonts w:asciiTheme="majorHAnsi" w:hAnsiTheme="majorHAnsi" w:cstheme="majorHAnsi"/>
                <w:sz w:val="24"/>
                <w:szCs w:val="24"/>
              </w:rPr>
              <w:t>AMOUNT</w:t>
            </w: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0001</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Catalyst C8200-1N-4T Router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0002</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CX LEVEL 1 8X5XNBD Cisco Catalyst C8200Service Duration: 60 Months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0003</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Catalyst 8200 Edge 8GB memory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0004</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Catalyst 8000 Edge M.2 USB 16GB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0005</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RFID - 1RU for Cisco 8200/8300/8400/8500L Series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0006</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Catalyst 8200 Rack mount kit - 19" 1R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0007</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Network Plug-n-Play Connect for zero-touch device deployment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0008</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Catalyst 8200 Edge NIM Blank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0009</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PIM Blank for Cisco 8200 Series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0010</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TE agent for IOSXE on Enterprise Routing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0011</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DNA subscription for C8200 series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0012</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DNA Advantage Cloud Lic 5Y - </w:t>
            </w:r>
            <w:r w:rsidRPr="007F6F69">
              <w:rPr>
                <w:rFonts w:asciiTheme="majorHAnsi" w:hAnsiTheme="majorHAnsi" w:cstheme="majorHAnsi"/>
                <w:sz w:val="24"/>
                <w:szCs w:val="24"/>
              </w:rPr>
              <w:t>upto</w:t>
            </w:r>
            <w:r w:rsidRPr="007F6F69">
              <w:rPr>
                <w:rFonts w:asciiTheme="majorHAnsi" w:hAnsiTheme="majorHAnsi" w:cstheme="majorHAnsi"/>
                <w:sz w:val="24"/>
                <w:szCs w:val="24"/>
              </w:rPr>
              <w:t xml:space="preserve"> 25M (</w:t>
            </w:r>
            <w:r w:rsidRPr="007F6F69">
              <w:rPr>
                <w:rFonts w:asciiTheme="majorHAnsi" w:hAnsiTheme="majorHAnsi" w:cstheme="majorHAnsi"/>
                <w:sz w:val="24"/>
                <w:szCs w:val="24"/>
              </w:rPr>
              <w:t>Aggr</w:t>
            </w:r>
            <w:r w:rsidRPr="007F6F69">
              <w:rPr>
                <w:rFonts w:asciiTheme="majorHAnsi" w:hAnsiTheme="majorHAnsi" w:cstheme="majorHAnsi"/>
                <w:sz w:val="24"/>
                <w:szCs w:val="24"/>
              </w:rPr>
              <w:t xml:space="preserve">, 50M)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0013</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Support Enhanced - DNA Advantage Cloud Lic, T0, 5Y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0014</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DNA Advantage Stack - </w:t>
            </w:r>
            <w:r w:rsidRPr="007F6F69">
              <w:rPr>
                <w:rFonts w:asciiTheme="majorHAnsi" w:hAnsiTheme="majorHAnsi" w:cstheme="majorHAnsi"/>
                <w:sz w:val="24"/>
                <w:szCs w:val="24"/>
              </w:rPr>
              <w:t>upto</w:t>
            </w:r>
            <w:r w:rsidRPr="007F6F69">
              <w:rPr>
                <w:rFonts w:asciiTheme="majorHAnsi" w:hAnsiTheme="majorHAnsi" w:cstheme="majorHAnsi"/>
                <w:sz w:val="24"/>
                <w:szCs w:val="24"/>
              </w:rPr>
              <w:t xml:space="preserve"> 25M (</w:t>
            </w:r>
            <w:r w:rsidRPr="007F6F69">
              <w:rPr>
                <w:rFonts w:asciiTheme="majorHAnsi" w:hAnsiTheme="majorHAnsi" w:cstheme="majorHAnsi"/>
                <w:sz w:val="24"/>
                <w:szCs w:val="24"/>
              </w:rPr>
              <w:t>Aggr</w:t>
            </w:r>
            <w:r w:rsidRPr="007F6F69">
              <w:rPr>
                <w:rFonts w:asciiTheme="majorHAnsi" w:hAnsiTheme="majorHAnsi" w:cstheme="majorHAnsi"/>
                <w:sz w:val="24"/>
                <w:szCs w:val="24"/>
              </w:rPr>
              <w:t xml:space="preserve">, 50M)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0015</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Network Advantage Stack - </w:t>
            </w:r>
            <w:r w:rsidRPr="007F6F69">
              <w:rPr>
                <w:rFonts w:asciiTheme="majorHAnsi" w:hAnsiTheme="majorHAnsi" w:cstheme="majorHAnsi"/>
                <w:sz w:val="24"/>
                <w:szCs w:val="24"/>
              </w:rPr>
              <w:t>upto</w:t>
            </w:r>
            <w:r w:rsidRPr="007F6F69">
              <w:rPr>
                <w:rFonts w:asciiTheme="majorHAnsi" w:hAnsiTheme="majorHAnsi" w:cstheme="majorHAnsi"/>
                <w:sz w:val="24"/>
                <w:szCs w:val="24"/>
              </w:rPr>
              <w:t xml:space="preserve"> 25M (</w:t>
            </w:r>
            <w:r w:rsidRPr="007F6F69">
              <w:rPr>
                <w:rFonts w:asciiTheme="majorHAnsi" w:hAnsiTheme="majorHAnsi" w:cstheme="majorHAnsi"/>
                <w:sz w:val="24"/>
                <w:szCs w:val="24"/>
              </w:rPr>
              <w:t>Aggr</w:t>
            </w:r>
            <w:r w:rsidRPr="007F6F69">
              <w:rPr>
                <w:rFonts w:asciiTheme="majorHAnsi" w:hAnsiTheme="majorHAnsi" w:cstheme="majorHAnsi"/>
                <w:sz w:val="24"/>
                <w:szCs w:val="24"/>
              </w:rPr>
              <w:t xml:space="preserve">, 50M)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0016</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w:t>
            </w:r>
            <w:r w:rsidRPr="007F6F69">
              <w:rPr>
                <w:rFonts w:asciiTheme="majorHAnsi" w:hAnsiTheme="majorHAnsi" w:cstheme="majorHAnsi"/>
                <w:sz w:val="24"/>
                <w:szCs w:val="24"/>
              </w:rPr>
              <w:t>ThousandEyes</w:t>
            </w:r>
            <w:r w:rsidRPr="007F6F69">
              <w:rPr>
                <w:rFonts w:asciiTheme="majorHAnsi" w:hAnsiTheme="majorHAnsi" w:cstheme="majorHAnsi"/>
                <w:sz w:val="24"/>
                <w:szCs w:val="24"/>
              </w:rPr>
              <w:t xml:space="preserve"> WAN Insights Embedded - License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0017</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Umbrella for DNA Advantage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0018</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SDWAN and SD-Routing Cloud Deployment Option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0019</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Controller Provisioning trigger for SD-Routing under CDCS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0020</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Controller Provisioning for CDCS Service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0021</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C8200-1N-4T Platform Selection for DNA Subscription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0022</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IOS XE Autonomous for Unified image - Each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0023</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AC Power Cord (North America), C13, NEMA 5-15P, 2.1m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0024</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IOS XE Autonomous for Unified image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0025</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U.S. Export Restriction Compliance license for C8000 series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0026</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Catalyst 8200/8200L/8300 Series Edge - UNIVERSAL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0027</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Cisco C8200 1RU AC 150W PoE Power supply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0028</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AC Power Cord (North America), C13, NEMA 5-15P, 2.1m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0029</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Catalyst 9200L 24-port data only, 4 x 1G, Network Essentials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0030</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CX LEVEL 1 8X5XNBD Catalyst 9200L 24-port data, 4 x 1G, </w:t>
            </w:r>
            <w:r w:rsidRPr="007F6F69">
              <w:rPr>
                <w:rFonts w:asciiTheme="majorHAnsi" w:hAnsiTheme="majorHAnsi" w:cstheme="majorHAnsi"/>
                <w:sz w:val="24"/>
                <w:szCs w:val="24"/>
              </w:rPr>
              <w:t>NetwService</w:t>
            </w:r>
            <w:r w:rsidRPr="007F6F69">
              <w:rPr>
                <w:rFonts w:asciiTheme="majorHAnsi" w:hAnsiTheme="majorHAnsi" w:cstheme="majorHAnsi"/>
                <w:sz w:val="24"/>
                <w:szCs w:val="24"/>
              </w:rPr>
              <w:t xml:space="preserv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0031</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C9200L Cisco DNA Essentials, 24-port Term license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0032</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CX LEVEL 1 SW SUB C9200L Cisco DNA </w:t>
            </w:r>
            <w:r w:rsidRPr="007F6F69">
              <w:rPr>
                <w:rFonts w:asciiTheme="majorHAnsi" w:hAnsiTheme="majorHAnsi" w:cstheme="majorHAnsi"/>
                <w:sz w:val="24"/>
                <w:szCs w:val="24"/>
              </w:rPr>
              <w:t>EssService</w:t>
            </w:r>
            <w:r w:rsidRPr="007F6F69">
              <w:rPr>
                <w:rFonts w:asciiTheme="majorHAnsi" w:hAnsiTheme="majorHAnsi" w:cstheme="majorHAnsi"/>
                <w:sz w:val="24"/>
                <w:szCs w:val="24"/>
              </w:rPr>
              <w:t xml:space="preserve"> Duration: 60 Months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0033</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C9200L Cisco DNA Essentials, 24-port, 3 Year Term </w:t>
            </w:r>
            <w:r w:rsidRPr="007F6F69">
              <w:rPr>
                <w:rFonts w:asciiTheme="majorHAnsi" w:hAnsiTheme="majorHAnsi" w:cstheme="majorHAnsi"/>
                <w:sz w:val="24"/>
                <w:szCs w:val="24"/>
              </w:rPr>
              <w:t>licenseService</w:t>
            </w:r>
            <w:r w:rsidRPr="007F6F69">
              <w:rPr>
                <w:rFonts w:asciiTheme="majorHAnsi" w:hAnsiTheme="majorHAnsi" w:cstheme="majorHAnsi"/>
                <w:sz w:val="24"/>
                <w:szCs w:val="24"/>
              </w:rPr>
              <w:t xml:space="preserve"> Duration: 36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0034</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C9200L Network Essentials, 24-port license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0035</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125W AC Config 5 Power Supply - Secondary Power Supply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0036</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North America AC Type A Power Cable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0037</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Catalyst 9200 Blank Stack Module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0038</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RUBBER FEET FOR </w:t>
            </w:r>
            <w:r w:rsidRPr="007F6F69">
              <w:rPr>
                <w:rFonts w:asciiTheme="majorHAnsi" w:hAnsiTheme="majorHAnsi" w:cstheme="majorHAnsi"/>
                <w:sz w:val="24"/>
                <w:szCs w:val="24"/>
              </w:rPr>
              <w:t>TABLE TOP</w:t>
            </w:r>
            <w:r w:rsidRPr="007F6F69">
              <w:rPr>
                <w:rFonts w:asciiTheme="majorHAnsi" w:hAnsiTheme="majorHAnsi" w:cstheme="majorHAnsi"/>
                <w:sz w:val="24"/>
                <w:szCs w:val="24"/>
              </w:rPr>
              <w:t xml:space="preserve"> SETUP 9200 and 93xx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0039</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12-24 and 10-32 SCREWS FOR RACK INSTALLATION, QTY 4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0040</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Network Plug-n-Play Connect for zero-touch device deployment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0041</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1RU CABLE MANAGEMENT GUIDES 9200 and 9300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0042</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2.00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1000BASE-LX/LH SFP transceiver module, MMF/SMF, 1310nm, DOM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0043</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Axiom CAT6 23AWG 4-Pair Solid Conductor 550MHz Bulk Cable Spool 1000FT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0044</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WWT Installation and Support Services - 40 Hours per Week for 5 Years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0045</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Cynergy Program Management for VA GLA for the Police Connection to LA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0046</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6.00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 xml:space="preserve">Dell Pro 24 All-in-One Plus - Intel Core Ultra 7 265 - Window 11Pro - 16GB DDR5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top w:val="nil"/>
              <w:bottom w:val="nil"/>
              <w:right w:val="nil"/>
            </w:tcBorders>
            <w:hideMark/>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0047</w:t>
            </w:r>
          </w:p>
        </w:tc>
        <w:tc>
          <w:tcPr>
            <w:tcW w:w="2322" w:type="dxa"/>
            <w:tcBorders>
              <w:top w:val="nil"/>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1.00</w:t>
            </w:r>
          </w:p>
        </w:tc>
        <w:tc>
          <w:tcPr>
            <w:tcW w:w="763"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EA</w:t>
            </w:r>
          </w:p>
        </w:tc>
        <w:tc>
          <w:tcPr>
            <w:tcW w:w="1886" w:type="dxa"/>
            <w:tcBorders>
              <w:top w:val="nil"/>
              <w:left w:val="nil"/>
              <w:bottom w:val="nil"/>
              <w:right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c>
          <w:tcPr>
            <w:tcW w:w="1869" w:type="dxa"/>
            <w:tcBorders>
              <w:top w:val="nil"/>
              <w:left w:val="nil"/>
              <w:bottom w:val="nil"/>
            </w:tcBorders>
            <w:hideMark/>
          </w:tcPr>
          <w:p w:rsidR="008265E4" w:rsidRPr="007F6F69" w:rsidP="00331758">
            <w:pPr>
              <w:jc w:val="right"/>
              <w:rPr>
                <w:rFonts w:asciiTheme="majorHAnsi" w:hAnsiTheme="majorHAnsi" w:cstheme="majorHAnsi"/>
                <w:sz w:val="24"/>
                <w:szCs w:val="24"/>
              </w:rPr>
            </w:pPr>
            <w:r w:rsidRPr="007F6F69">
              <w:rPr>
                <w:rFonts w:asciiTheme="majorHAnsi" w:hAnsiTheme="majorHAnsi" w:cstheme="majorHAnsi"/>
                <w:sz w:val="24"/>
                <w:szCs w:val="24"/>
              </w:rPr>
              <w:t>__________________</w:t>
            </w:r>
          </w:p>
        </w:tc>
      </w:tr>
      <w:tr w:rsidTr="00331758">
        <w:tblPrEx>
          <w:tblW w:w="0" w:type="auto"/>
          <w:tblLook w:val="04A0"/>
        </w:tblPrEx>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c>
          <w:tcPr>
            <w:tcW w:w="0" w:type="auto"/>
            <w:gridSpan w:val="4"/>
            <w:tcBorders>
              <w:top w:val="nil"/>
              <w:bottom w:val="single" w:sz="2" w:space="0" w:color="4F81BD"/>
            </w:tcBorders>
          </w:tcPr>
          <w:p w:rsidR="008265E4" w:rsidRPr="007F6F69" w:rsidP="00331758">
            <w:pPr>
              <w:rPr>
                <w:rFonts w:asciiTheme="majorHAnsi" w:hAnsiTheme="majorHAnsi" w:cstheme="majorHAnsi"/>
                <w:sz w:val="24"/>
                <w:szCs w:val="24"/>
              </w:rPr>
            </w:pPr>
            <w:r w:rsidRPr="007F6F69">
              <w:rPr>
                <w:rFonts w:asciiTheme="majorHAnsi" w:hAnsiTheme="majorHAnsi" w:cstheme="majorHAnsi"/>
                <w:sz w:val="24"/>
                <w:szCs w:val="24"/>
              </w:rPr>
              <w:t>Intoxilizer</w:t>
            </w:r>
            <w:r w:rsidRPr="007F6F69">
              <w:rPr>
                <w:rFonts w:asciiTheme="majorHAnsi" w:hAnsiTheme="majorHAnsi" w:cstheme="majorHAnsi"/>
                <w:sz w:val="24"/>
                <w:szCs w:val="24"/>
              </w:rPr>
              <w:t xml:space="preserve"> </w:t>
            </w:r>
          </w:p>
        </w:tc>
        <w:tc>
          <w:tcPr>
            <w:tcW w:w="0" w:type="auto"/>
            <w:tcBorders>
              <w:top w:val="nil"/>
              <w:bottom w:val="single" w:sz="2" w:space="0" w:color="4F81BD"/>
            </w:tcBorders>
          </w:tcPr>
          <w:p w:rsidR="008265E4" w:rsidRPr="007F6F69" w:rsidP="00331758">
            <w:pPr>
              <w:rPr>
                <w:rFonts w:asciiTheme="majorHAnsi" w:hAnsiTheme="majorHAnsi" w:cstheme="majorHAnsi"/>
                <w:sz w:val="24"/>
                <w:szCs w:val="24"/>
              </w:rPr>
            </w:pPr>
          </w:p>
        </w:tc>
      </w:tr>
      <w:tr w:rsidTr="00331758">
        <w:tblPrEx>
          <w:tblW w:w="0" w:type="auto"/>
          <w:tblLook w:val="04A0"/>
        </w:tblPrEx>
        <w:tc>
          <w:tcPr>
            <w:tcW w:w="1278" w:type="dxa"/>
            <w:tcBorders>
              <w:left w:val="nil"/>
              <w:bottom w:val="nil"/>
              <w:right w:val="nil"/>
            </w:tcBorders>
            <w:hideMark/>
          </w:tcPr>
          <w:p w:rsidR="008265E4" w:rsidRPr="007F6F69" w:rsidP="00331758">
            <w:pPr>
              <w:rPr>
                <w:rFonts w:asciiTheme="majorHAnsi" w:hAnsiTheme="majorHAnsi" w:cstheme="majorHAnsi"/>
                <w:sz w:val="24"/>
                <w:szCs w:val="24"/>
              </w:rPr>
            </w:pPr>
          </w:p>
        </w:tc>
        <w:tc>
          <w:tcPr>
            <w:tcW w:w="2322" w:type="dxa"/>
            <w:tcBorders>
              <w:left w:val="nil"/>
              <w:bottom w:val="nil"/>
              <w:right w:val="nil"/>
            </w:tcBorders>
            <w:hideMark/>
          </w:tcPr>
          <w:p w:rsidR="008265E4" w:rsidRPr="007F6F69" w:rsidP="00331758">
            <w:pPr>
              <w:rPr>
                <w:rFonts w:asciiTheme="majorHAnsi" w:hAnsiTheme="majorHAnsi" w:cstheme="majorHAnsi"/>
                <w:sz w:val="24"/>
                <w:szCs w:val="24"/>
              </w:rPr>
            </w:pPr>
          </w:p>
        </w:tc>
        <w:tc>
          <w:tcPr>
            <w:tcW w:w="1458" w:type="dxa"/>
            <w:tcBorders>
              <w:left w:val="nil"/>
              <w:bottom w:val="nil"/>
              <w:right w:val="nil"/>
            </w:tcBorders>
            <w:hideMark/>
          </w:tcPr>
          <w:p w:rsidR="008265E4" w:rsidRPr="007F6F69" w:rsidP="00331758">
            <w:pPr>
              <w:jc w:val="right"/>
              <w:rPr>
                <w:rFonts w:asciiTheme="majorHAnsi" w:hAnsiTheme="majorHAnsi" w:cstheme="majorHAnsi"/>
                <w:sz w:val="24"/>
                <w:szCs w:val="24"/>
              </w:rPr>
            </w:pPr>
          </w:p>
        </w:tc>
        <w:tc>
          <w:tcPr>
            <w:tcW w:w="763" w:type="dxa"/>
            <w:tcBorders>
              <w:left w:val="nil"/>
              <w:bottom w:val="nil"/>
              <w:right w:val="single" w:sz="8" w:space="0" w:color="156082" w:themeColor="accent1"/>
            </w:tcBorders>
            <w:hideMark/>
          </w:tcPr>
          <w:p w:rsidR="008265E4" w:rsidRPr="007F6F69" w:rsidP="00331758">
            <w:pPr>
              <w:rPr>
                <w:rFonts w:asciiTheme="majorHAnsi" w:hAnsiTheme="majorHAnsi" w:cstheme="majorHAnsi"/>
                <w:sz w:val="24"/>
                <w:szCs w:val="24"/>
              </w:rPr>
            </w:pPr>
          </w:p>
        </w:tc>
        <w:tc>
          <w:tcPr>
            <w:tcW w:w="1886" w:type="dxa"/>
            <w:tcBorders>
              <w:left w:val="single" w:sz="8" w:space="0" w:color="156082" w:themeColor="accent1"/>
              <w:right w:val="nil"/>
            </w:tcBorders>
            <w:hideMark/>
          </w:tcPr>
          <w:p w:rsidR="008265E4" w:rsidRPr="007F6F69" w:rsidP="00331758">
            <w:pPr>
              <w:jc w:val="right"/>
              <w:rPr>
                <w:rFonts w:asciiTheme="majorHAnsi" w:hAnsiTheme="majorHAnsi" w:cstheme="majorHAnsi"/>
                <w:b/>
                <w:sz w:val="24"/>
                <w:szCs w:val="24"/>
              </w:rPr>
            </w:pPr>
            <w:r w:rsidRPr="007F6F69">
              <w:rPr>
                <w:rFonts w:asciiTheme="majorHAnsi" w:hAnsiTheme="majorHAnsi" w:cstheme="majorHAnsi"/>
                <w:b/>
                <w:sz w:val="24"/>
                <w:szCs w:val="24"/>
              </w:rPr>
              <w:t>GRAND TOTAL</w:t>
            </w:r>
          </w:p>
        </w:tc>
        <w:tc>
          <w:tcPr>
            <w:tcW w:w="1869" w:type="dxa"/>
            <w:tcBorders>
              <w:left w:val="nil"/>
            </w:tcBorders>
            <w:hideMark/>
          </w:tcPr>
          <w:p w:rsidR="008265E4" w:rsidRPr="007F6F69" w:rsidP="00331758">
            <w:pPr>
              <w:jc w:val="right"/>
              <w:rPr>
                <w:rFonts w:asciiTheme="majorHAnsi" w:hAnsiTheme="majorHAnsi" w:cstheme="majorHAnsi"/>
                <w:b/>
                <w:sz w:val="24"/>
                <w:szCs w:val="24"/>
              </w:rPr>
            </w:pPr>
            <w:r w:rsidRPr="007F6F69">
              <w:rPr>
                <w:rFonts w:asciiTheme="majorHAnsi" w:hAnsiTheme="majorHAnsi" w:cstheme="majorHAnsi"/>
                <w:b/>
                <w:sz w:val="24"/>
                <w:szCs w:val="24"/>
              </w:rPr>
              <w:t>__________________</w:t>
            </w:r>
          </w:p>
        </w:tc>
      </w:tr>
    </w:tbl>
    <w:p w:rsidR="008265E4" w:rsidRPr="007F6F69" w:rsidP="008265E4">
      <w:pPr>
        <w:contextualSpacing/>
        <w:jc w:val="both"/>
        <w:rPr>
          <w:rFonts w:eastAsia="Times New Roman" w:asciiTheme="majorHAnsi" w:hAnsiTheme="majorHAnsi" w:cstheme="majorHAnsi"/>
          <w:sz w:val="24"/>
          <w:szCs w:val="24"/>
        </w:rPr>
      </w:pPr>
    </w:p>
    <w:p w:rsidR="008265E4" w:rsidRPr="007F6F69" w:rsidP="008265E4">
      <w:pPr>
        <w:contextualSpacing/>
        <w:jc w:val="both"/>
        <w:rPr>
          <w:rFonts w:eastAsia="Times New Roman" w:asciiTheme="majorHAnsi" w:hAnsiTheme="majorHAnsi" w:cstheme="majorHAnsi"/>
          <w:sz w:val="24"/>
          <w:szCs w:val="24"/>
        </w:rPr>
      </w:pPr>
    </w:p>
    <w:p w:rsidR="008265E4" w:rsidRPr="007F6F69" w:rsidP="008265E4">
      <w:pPr>
        <w:contextualSpacing/>
        <w:jc w:val="both"/>
        <w:rPr>
          <w:rFonts w:asciiTheme="majorHAnsi" w:eastAsiaTheme="minorHAnsi" w:hAnsiTheme="majorHAnsi" w:cstheme="majorHAnsi"/>
          <w:sz w:val="24"/>
          <w:szCs w:val="24"/>
        </w:rPr>
      </w:pPr>
      <w:r w:rsidRPr="007F6F69">
        <w:rPr>
          <w:rFonts w:eastAsia="Times New Roman" w:asciiTheme="majorHAnsi" w:hAnsiTheme="majorHAnsi" w:cstheme="majorHAnsi"/>
          <w:sz w:val="24"/>
          <w:szCs w:val="24"/>
        </w:rPr>
        <w:t>The information identified above is intended to be descriptive, not restrictive and to indicate the quality of the supplies that will be satisfactory. It is the responsibility of the interested to demonstrate to the government that the interested parties can provide the product that fulfills the required specifications.</w:t>
      </w:r>
    </w:p>
    <w:p w:rsidR="008265E4" w:rsidRPr="007F6F69" w:rsidP="008265E4">
      <w:pPr>
        <w:contextualSpacing/>
        <w:jc w:val="both"/>
        <w:rPr>
          <w:rFonts w:asciiTheme="majorHAnsi" w:eastAsiaTheme="minorHAnsi" w:hAnsiTheme="majorHAnsi" w:cstheme="majorHAnsi"/>
          <w:sz w:val="24"/>
          <w:szCs w:val="24"/>
        </w:rPr>
      </w:pPr>
    </w:p>
    <w:p w:rsidR="008265E4" w:rsidRPr="007F6F69" w:rsidP="008265E4">
      <w:pPr>
        <w:jc w:val="both"/>
        <w:rPr>
          <w:rFonts w:eastAsia="Times New Roman" w:asciiTheme="majorHAnsi" w:hAnsiTheme="majorHAnsi" w:cstheme="majorHAnsi"/>
          <w:b/>
          <w:bCs/>
          <w:sz w:val="24"/>
          <w:szCs w:val="24"/>
        </w:rPr>
      </w:pPr>
      <w:r w:rsidRPr="007F6F69">
        <w:rPr>
          <w:rFonts w:eastAsia="Times New Roman" w:asciiTheme="majorHAnsi" w:hAnsiTheme="majorHAnsi" w:cstheme="majorHAnsi"/>
          <w:b/>
          <w:bCs/>
          <w:sz w:val="24"/>
          <w:szCs w:val="24"/>
        </w:rPr>
        <w:t xml:space="preserve">If you are interested and capable of providing the sought-out supplies, please provide the requested information as well as the information indicated below. Response to this notice should include company name, address, point of contact, size of business pursuant to the following questions:  </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(1) Please indicate the size status and representations of your business, such as but not limited to: Service-Disabled Veteran Owned Small Business (SDVOSB), Veteran Owned Small Business (VOSB), HUBZone, Woman Owned Small Business (WOSB), Large Business, etc.</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(2) Is your company considered small under the NAICS code (</w:t>
      </w:r>
      <w:r w:rsidRPr="007F6F69">
        <w:rPr>
          <w:rFonts w:asciiTheme="majorHAnsi" w:hAnsiTheme="majorHAnsi" w:cstheme="majorHAnsi"/>
          <w:sz w:val="24"/>
          <w:szCs w:val="24"/>
        </w:rPr>
        <w:t>513210</w:t>
      </w:r>
      <w:r w:rsidRPr="007F6F69">
        <w:rPr>
          <w:rFonts w:eastAsia="Times New Roman" w:asciiTheme="majorHAnsi" w:hAnsiTheme="majorHAnsi" w:cstheme="majorHAnsi"/>
          <w:bCs/>
          <w:sz w:val="24"/>
          <w:szCs w:val="24"/>
        </w:rPr>
        <w:t>) identified under this RFI?</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(3) Are you the manufacturer or distributor of the items being referenced above (or equivalent product/solution)?  What is the manufacturing country of origin of these items?</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(5) Does your company have an FSS contract with GSA or the NAC or are you a contract holder with NASA SEWP or any other federal contract? If so, please provide the contract type and number.</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(6) If you are an FSS GSA/NAC or NASA SEWP contract holder or other federal contract holder, are the referenced items/solutions available on your schedule/contract?</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(7) If possible, please provide general pricing for your products/solutions for market research purposes.</w:t>
      </w:r>
    </w:p>
    <w:p w:rsidR="008265E4" w:rsidRPr="007F6F69" w:rsidP="008265E4">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 xml:space="preserve">(8) Please submit your capabilities </w:t>
      </w:r>
      <w:r w:rsidRPr="007F6F69">
        <w:rPr>
          <w:rFonts w:eastAsia="Times New Roman" w:asciiTheme="majorHAnsi" w:hAnsiTheme="majorHAnsi" w:cstheme="majorHAnsi"/>
          <w:bCs/>
          <w:sz w:val="24"/>
          <w:szCs w:val="24"/>
        </w:rPr>
        <w:t>in regard to</w:t>
      </w:r>
      <w:r w:rsidRPr="007F6F69">
        <w:rPr>
          <w:rFonts w:eastAsia="Times New Roman" w:asciiTheme="majorHAnsi" w:hAnsiTheme="majorHAnsi" w:cstheme="majorHAnsi"/>
          <w:bCs/>
          <w:sz w:val="24"/>
          <w:szCs w:val="24"/>
        </w:rPr>
        <w:t xml:space="preserve"> the salient characteristics being provided and any information pertaining to “equal to items” to establish capabilities for planning purposes?</w:t>
      </w:r>
    </w:p>
    <w:p w:rsidR="008265E4" w:rsidRPr="007F6F69" w:rsidP="008265E4">
      <w:pPr>
        <w:jc w:val="center"/>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w:t>
      </w:r>
      <w:r w:rsidRPr="007F6F69">
        <w:rPr>
          <w:rFonts w:asciiTheme="majorHAnsi" w:hAnsiTheme="majorHAnsi" w:cstheme="majorHAnsi"/>
          <w:bCs/>
          <w:sz w:val="24"/>
          <w:szCs w:val="24"/>
        </w:rPr>
        <w:t xml:space="preserve"> </w:t>
      </w:r>
      <w:r w:rsidRPr="007F6F69">
        <w:rPr>
          <w:rFonts w:eastAsia="Times New Roman" w:asciiTheme="majorHAnsi" w:hAnsiTheme="majorHAnsi" w:cstheme="majorHAnsi"/>
          <w:bCs/>
          <w:sz w:val="24"/>
          <w:szCs w:val="24"/>
        </w:rPr>
        <w:t>Submissions addressing Section (8) should show clear, compelling, and convincing*** evidence that all “equal to items" meet all required salient characteristics.</w:t>
      </w:r>
    </w:p>
    <w:p w:rsidR="008265E4" w:rsidRPr="007F6F69" w:rsidP="008265E4">
      <w:pPr>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Responses to this notice shall be submitted via email to </w:t>
      </w:r>
      <w:r w:rsidRPr="007F6F69">
        <w:rPr>
          <w:rFonts w:eastAsia="Times New Roman" w:asciiTheme="majorHAnsi" w:hAnsiTheme="majorHAnsi" w:cstheme="majorHAnsi"/>
          <w:b/>
          <w:bCs/>
          <w:sz w:val="24"/>
          <w:szCs w:val="24"/>
        </w:rPr>
        <w:t>Anette.doan@va.gov</w:t>
      </w:r>
      <w:r w:rsidRPr="007F6F69">
        <w:rPr>
          <w:rFonts w:eastAsia="Times New Roman" w:asciiTheme="majorHAnsi" w:hAnsiTheme="majorHAnsi" w:cstheme="majorHAnsi"/>
          <w:sz w:val="24"/>
          <w:szCs w:val="24"/>
        </w:rPr>
        <w:t xml:space="preserve">. Telephone responses </w:t>
      </w:r>
      <w:r w:rsidRPr="007F6F69">
        <w:rPr>
          <w:rFonts w:eastAsia="Times New Roman" w:asciiTheme="majorHAnsi" w:hAnsiTheme="majorHAnsi" w:cstheme="majorHAnsi"/>
          <w:sz w:val="24"/>
          <w:szCs w:val="24"/>
        </w:rPr>
        <w:t>shall</w:t>
      </w:r>
      <w:r w:rsidRPr="007F6F69">
        <w:rPr>
          <w:rFonts w:eastAsia="Times New Roman" w:asciiTheme="majorHAnsi" w:hAnsiTheme="majorHAnsi" w:cstheme="majorHAnsi"/>
          <w:sz w:val="24"/>
          <w:szCs w:val="24"/>
        </w:rPr>
        <w:t xml:space="preserve"> not be accepted.  Responses must be received no later than </w:t>
      </w:r>
      <w:r w:rsidRPr="007F6F69">
        <w:rPr>
          <w:rFonts w:eastAsia="Times New Roman" w:asciiTheme="majorHAnsi" w:hAnsiTheme="majorHAnsi" w:cstheme="majorHAnsi"/>
          <w:b/>
          <w:bCs/>
          <w:sz w:val="24"/>
          <w:szCs w:val="24"/>
        </w:rPr>
        <w:t>05/05/2026,</w:t>
      </w:r>
      <w:r w:rsidRPr="007F6F69">
        <w:rPr>
          <w:rFonts w:eastAsia="Times New Roman" w:asciiTheme="majorHAnsi" w:hAnsiTheme="majorHAnsi" w:cstheme="majorHAnsi"/>
          <w:sz w:val="24"/>
          <w:szCs w:val="24"/>
        </w:rPr>
        <w:t xml:space="preserve"> </w:t>
      </w:r>
      <w:r w:rsidRPr="007F6F69">
        <w:rPr>
          <w:rFonts w:eastAsia="Times New Roman" w:asciiTheme="majorHAnsi" w:hAnsiTheme="majorHAnsi" w:cstheme="majorHAnsi"/>
          <w:b/>
          <w:bCs/>
          <w:sz w:val="24"/>
          <w:szCs w:val="24"/>
        </w:rPr>
        <w:t>at 12:00 p.m. Pacific Standard Time (PST).</w:t>
      </w:r>
      <w:r w:rsidRPr="007F6F69">
        <w:rPr>
          <w:rFonts w:eastAsia="Times New Roman" w:asciiTheme="majorHAnsi" w:hAnsiTheme="majorHAnsi" w:cstheme="majorHAnsi"/>
          <w:sz w:val="24"/>
          <w:szCs w:val="24"/>
        </w:rPr>
        <w:t xml:space="preserve">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A933F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751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F751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F751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F751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7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51C"/>
    <w:rPr>
      <w:rFonts w:eastAsiaTheme="majorEastAsia" w:cstheme="majorBidi"/>
      <w:color w:val="272727" w:themeColor="text1" w:themeTint="D8"/>
    </w:rPr>
  </w:style>
  <w:style w:type="paragraph" w:styleId="Quote">
    <w:name w:val="Quote"/>
    <w:basedOn w:val="Normal"/>
    <w:next w:val="Normal"/>
    <w:link w:val="QuoteChar"/>
    <w:uiPriority w:val="29"/>
    <w:qFormat/>
    <w:rsid w:val="006F751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F751C"/>
    <w:rPr>
      <w:i/>
      <w:iCs/>
      <w:color w:val="404040" w:themeColor="text1" w:themeTint="BF"/>
    </w:rPr>
  </w:style>
  <w:style w:type="paragraph" w:styleId="IntenseQuote">
    <w:name w:val="Intense Quote"/>
    <w:basedOn w:val="Normal"/>
    <w:next w:val="Normal"/>
    <w:link w:val="IntenseQuoteChar"/>
    <w:uiPriority w:val="30"/>
    <w:qFormat/>
    <w:rsid w:val="006F75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F751C"/>
    <w:rPr>
      <w:i/>
      <w:iCs/>
      <w:color w:val="366092" w:themeColor="accent1" w:themeShade="BF"/>
    </w:rPr>
  </w:style>
  <w:style w:type="character" w:styleId="IntenseReference">
    <w:name w:val="Intense Reference"/>
    <w:basedOn w:val="DefaultParagraphFont"/>
    <w:uiPriority w:val="32"/>
    <w:qFormat/>
    <w:rsid w:val="006F751C"/>
    <w:rPr>
      <w:b/>
      <w:bCs/>
      <w:smallCaps/>
      <w:color w:val="366092" w:themeColor="accent1" w:themeShade="BF"/>
      <w:spacing w:val="5"/>
    </w:rPr>
  </w:style>
  <w:style w:type="table" w:styleId="LightListAccent1">
    <w:name w:val="Light List Accent 1"/>
    <w:basedOn w:val="TableNormal"/>
    <w:uiPriority w:val="61"/>
    <w:rsid w:val="008265E4"/>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2026-04-22T05:28:07Z</dcterms:created>
  <dcterms:modified xsi:type="dcterms:W3CDTF">2026-04-22T05:28:07Z</dcterms:modified>
</cp:coreProperties>
</file>