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E883" w14:textId="18B5A014" w:rsidR="00342396" w:rsidRDefault="008E25F8">
      <w:pPr>
        <w:pStyle w:val="BodyText"/>
        <w:spacing w:line="259" w:lineRule="auto"/>
        <w:ind w:right="2"/>
      </w:pPr>
      <w:r>
        <w:t>The Defense Health Agency</w:t>
      </w:r>
      <w:r w:rsidR="00000000">
        <w:t xml:space="preserve"> and the </w:t>
      </w:r>
      <w:r>
        <w:t>Defense Health Agency Contracting Activity</w:t>
      </w:r>
      <w:r w:rsidR="00000000">
        <w:rPr>
          <w:spacing w:val="-3"/>
        </w:rPr>
        <w:t xml:space="preserve"> </w:t>
      </w:r>
      <w:r w:rsidR="00000000">
        <w:t>(</w:t>
      </w:r>
      <w:r w:rsidR="006D168A">
        <w:t>DHACA</w:t>
      </w:r>
      <w:r w:rsidR="00000000">
        <w:t>)</w:t>
      </w:r>
      <w:r w:rsidR="00000000">
        <w:rPr>
          <w:spacing w:val="-3"/>
        </w:rPr>
        <w:t xml:space="preserve"> </w:t>
      </w:r>
      <w:r w:rsidR="00000000">
        <w:t>located</w:t>
      </w:r>
      <w:r w:rsidR="00000000">
        <w:rPr>
          <w:spacing w:val="-4"/>
        </w:rPr>
        <w:t xml:space="preserve"> </w:t>
      </w:r>
      <w:r w:rsidR="00000000">
        <w:t>at</w:t>
      </w:r>
      <w:r w:rsidR="00000000">
        <w:rPr>
          <w:spacing w:val="-3"/>
        </w:rPr>
        <w:t xml:space="preserve"> </w:t>
      </w:r>
      <w:r w:rsidR="00000000">
        <w:t>Fort</w:t>
      </w:r>
      <w:r w:rsidR="00000000">
        <w:rPr>
          <w:spacing w:val="-5"/>
        </w:rPr>
        <w:t xml:space="preserve"> </w:t>
      </w:r>
      <w:r w:rsidR="00000000">
        <w:t>Detrick,</w:t>
      </w:r>
      <w:r w:rsidR="00000000">
        <w:rPr>
          <w:spacing w:val="-3"/>
        </w:rPr>
        <w:t xml:space="preserve"> </w:t>
      </w:r>
      <w:r w:rsidR="00000000">
        <w:t>MD,</w:t>
      </w:r>
      <w:r w:rsidR="00000000">
        <w:rPr>
          <w:spacing w:val="40"/>
        </w:rPr>
        <w:t xml:space="preserve"> </w:t>
      </w:r>
      <w:r w:rsidR="00000000">
        <w:t>intends</w:t>
      </w:r>
      <w:r w:rsidR="00000000">
        <w:rPr>
          <w:spacing w:val="-3"/>
        </w:rPr>
        <w:t xml:space="preserve"> </w:t>
      </w:r>
      <w:r w:rsidR="00000000">
        <w:t>to</w:t>
      </w:r>
      <w:r w:rsidR="00000000">
        <w:rPr>
          <w:spacing w:val="-2"/>
        </w:rPr>
        <w:t xml:space="preserve"> </w:t>
      </w:r>
      <w:r w:rsidR="00000000">
        <w:t>negotiate</w:t>
      </w:r>
      <w:r w:rsidR="00000000">
        <w:rPr>
          <w:spacing w:val="-3"/>
        </w:rPr>
        <w:t xml:space="preserve"> </w:t>
      </w:r>
      <w:r w:rsidR="00000000">
        <w:t>solely</w:t>
      </w:r>
      <w:r w:rsidR="00000000">
        <w:rPr>
          <w:spacing w:val="-5"/>
        </w:rPr>
        <w:t xml:space="preserve"> </w:t>
      </w:r>
      <w:r w:rsidR="00000000">
        <w:t>(as</w:t>
      </w:r>
      <w:r w:rsidR="00000000">
        <w:rPr>
          <w:spacing w:val="-3"/>
        </w:rPr>
        <w:t xml:space="preserve"> </w:t>
      </w:r>
      <w:r w:rsidR="00000000">
        <w:t>prescribed</w:t>
      </w:r>
      <w:r w:rsidR="00000000">
        <w:rPr>
          <w:spacing w:val="-3"/>
        </w:rPr>
        <w:t xml:space="preserve"> </w:t>
      </w:r>
      <w:r w:rsidR="00000000">
        <w:t xml:space="preserve">in FAR 13.106-1(b)(1)(i) with Accenture Federal Services LLC, 800 North Glebe RD # 300, Arlington, VA, </w:t>
      </w:r>
      <w:r w:rsidR="00000000">
        <w:rPr>
          <w:spacing w:val="-2"/>
        </w:rPr>
        <w:t>22203-1807.</w:t>
      </w:r>
    </w:p>
    <w:p w14:paraId="1F90E884" w14:textId="121D6133" w:rsidR="00342396" w:rsidRDefault="00000000">
      <w:pPr>
        <w:pStyle w:val="BodyText"/>
        <w:spacing w:before="160" w:line="259" w:lineRule="auto"/>
        <w:ind w:right="2"/>
      </w:pPr>
      <w:r>
        <w:t>The required services entail an annual maintenance agreement, which includes technical support and product updates</w:t>
      </w:r>
      <w:r>
        <w:rPr>
          <w:spacing w:val="-2"/>
        </w:rPr>
        <w:t xml:space="preserve"> </w:t>
      </w:r>
      <w:r>
        <w:t>for</w:t>
      </w:r>
      <w:r>
        <w:rPr>
          <w:spacing w:val="-2"/>
        </w:rPr>
        <w:t xml:space="preserve"> </w:t>
      </w:r>
      <w:r>
        <w:t>the “Accenture</w:t>
      </w:r>
      <w:r>
        <w:rPr>
          <w:spacing w:val="-2"/>
        </w:rPr>
        <w:t xml:space="preserve"> </w:t>
      </w:r>
      <w:proofErr w:type="spellStart"/>
      <w:r>
        <w:t>StartingPoint</w:t>
      </w:r>
      <w:proofErr w:type="spellEnd"/>
      <w:r>
        <w:t>” CTD templates.</w:t>
      </w:r>
      <w:r>
        <w:rPr>
          <w:spacing w:val="40"/>
        </w:rPr>
        <w:t xml:space="preserve"> </w:t>
      </w:r>
      <w:r>
        <w:t xml:space="preserve">The </w:t>
      </w:r>
      <w:r w:rsidR="006D168A">
        <w:t>Defense Health Agency</w:t>
      </w:r>
      <w:r>
        <w:t>,</w:t>
      </w:r>
      <w:r>
        <w:rPr>
          <w:spacing w:val="-3"/>
        </w:rPr>
        <w:t xml:space="preserve"> </w:t>
      </w:r>
      <w:r>
        <w:t>Office</w:t>
      </w:r>
      <w:r>
        <w:rPr>
          <w:spacing w:val="-5"/>
        </w:rPr>
        <w:t xml:space="preserve"> </w:t>
      </w:r>
      <w:r>
        <w:t>of</w:t>
      </w:r>
      <w:r>
        <w:rPr>
          <w:spacing w:val="-3"/>
        </w:rPr>
        <w:t xml:space="preserve"> </w:t>
      </w:r>
      <w:r>
        <w:t>Regulated</w:t>
      </w:r>
      <w:r>
        <w:rPr>
          <w:spacing w:val="-3"/>
        </w:rPr>
        <w:t xml:space="preserve"> </w:t>
      </w:r>
      <w:r>
        <w:t>Activities</w:t>
      </w:r>
      <w:r>
        <w:rPr>
          <w:spacing w:val="-6"/>
        </w:rPr>
        <w:t xml:space="preserve"> </w:t>
      </w:r>
      <w:r>
        <w:t>(ORA)</w:t>
      </w:r>
      <w:r>
        <w:rPr>
          <w:spacing w:val="-3"/>
        </w:rPr>
        <w:t xml:space="preserve"> </w:t>
      </w:r>
      <w:r>
        <w:t>purchased</w:t>
      </w:r>
      <w:r>
        <w:rPr>
          <w:spacing w:val="-3"/>
        </w:rPr>
        <w:t xml:space="preserve"> </w:t>
      </w:r>
      <w:r>
        <w:t>proprietary,</w:t>
      </w:r>
      <w:r>
        <w:rPr>
          <w:spacing w:val="-6"/>
        </w:rPr>
        <w:t xml:space="preserve"> </w:t>
      </w:r>
      <w:r>
        <w:t>macro-based, Microsoft Word electronic Common Technical Document (CTD) "</w:t>
      </w:r>
      <w:proofErr w:type="spellStart"/>
      <w:r>
        <w:t>StartingPoint</w:t>
      </w:r>
      <w:proofErr w:type="spellEnd"/>
      <w:r>
        <w:t>" templates from Octagon Research Solutions, Inc., now Accenture, in February 2009.</w:t>
      </w:r>
    </w:p>
    <w:p w14:paraId="1F90E885" w14:textId="77777777" w:rsidR="00342396" w:rsidRDefault="00000000">
      <w:pPr>
        <w:pStyle w:val="BodyText"/>
        <w:spacing w:before="158" w:line="259" w:lineRule="auto"/>
      </w:pPr>
      <w:r>
        <w:t>Accenture Federal Services LLC “</w:t>
      </w:r>
      <w:proofErr w:type="spellStart"/>
      <w:r>
        <w:t>StartingPoint</w:t>
      </w:r>
      <w:proofErr w:type="spellEnd"/>
      <w:r>
        <w:t>” CTD Templates enable rapid deployment of regulatory authoring</w:t>
      </w:r>
      <w:r>
        <w:rPr>
          <w:spacing w:val="-3"/>
        </w:rPr>
        <w:t xml:space="preserve"> </w:t>
      </w:r>
      <w:r>
        <w:t>standards</w:t>
      </w:r>
      <w:r>
        <w:rPr>
          <w:spacing w:val="-2"/>
        </w:rPr>
        <w:t xml:space="preserve"> </w:t>
      </w:r>
      <w:r>
        <w:t>across</w:t>
      </w:r>
      <w:r>
        <w:rPr>
          <w:spacing w:val="-5"/>
        </w:rPr>
        <w:t xml:space="preserve"> </w:t>
      </w:r>
      <w:r>
        <w:t>functional</w:t>
      </w:r>
      <w:r>
        <w:rPr>
          <w:spacing w:val="-2"/>
        </w:rPr>
        <w:t xml:space="preserve"> </w:t>
      </w:r>
      <w:r>
        <w:t>areas</w:t>
      </w:r>
      <w:r>
        <w:rPr>
          <w:spacing w:val="-4"/>
        </w:rPr>
        <w:t xml:space="preserve"> </w:t>
      </w:r>
      <w:r>
        <w:t>to</w:t>
      </w:r>
      <w:r>
        <w:rPr>
          <w:spacing w:val="-3"/>
        </w:rPr>
        <w:t xml:space="preserve"> </w:t>
      </w:r>
      <w:r>
        <w:t>facilitate</w:t>
      </w:r>
      <w:r>
        <w:rPr>
          <w:spacing w:val="-2"/>
        </w:rPr>
        <w:t xml:space="preserve"> </w:t>
      </w:r>
      <w:r>
        <w:t>efficient</w:t>
      </w:r>
      <w:r>
        <w:rPr>
          <w:spacing w:val="-2"/>
        </w:rPr>
        <w:t xml:space="preserve"> </w:t>
      </w:r>
      <w:r>
        <w:t>authoring</w:t>
      </w:r>
      <w:r>
        <w:rPr>
          <w:spacing w:val="-3"/>
        </w:rPr>
        <w:t xml:space="preserve"> </w:t>
      </w:r>
      <w:r>
        <w:t>of</w:t>
      </w:r>
      <w:r>
        <w:rPr>
          <w:spacing w:val="-5"/>
        </w:rPr>
        <w:t xml:space="preserve"> </w:t>
      </w:r>
      <w:r>
        <w:t>all</w:t>
      </w:r>
      <w:r>
        <w:rPr>
          <w:spacing w:val="-2"/>
        </w:rPr>
        <w:t xml:space="preserve"> </w:t>
      </w:r>
      <w:r>
        <w:t>components</w:t>
      </w:r>
      <w:r>
        <w:rPr>
          <w:spacing w:val="-5"/>
        </w:rPr>
        <w:t xml:space="preserve"> </w:t>
      </w:r>
      <w:r>
        <w:t>of</w:t>
      </w:r>
      <w:r>
        <w:rPr>
          <w:spacing w:val="-5"/>
        </w:rPr>
        <w:t xml:space="preserve"> </w:t>
      </w:r>
      <w:r>
        <w:t>the</w:t>
      </w:r>
      <w:r>
        <w:rPr>
          <w:spacing w:val="-4"/>
        </w:rPr>
        <w:t xml:space="preserve"> </w:t>
      </w:r>
      <w:r>
        <w:t>CTD along with submissions to the U.S. Food and Drug Administration. This requirement will allow for continuation of product updates, and support for use of the existing templates. Templates include instructional</w:t>
      </w:r>
      <w:r>
        <w:rPr>
          <w:spacing w:val="-1"/>
        </w:rPr>
        <w:t xml:space="preserve"> </w:t>
      </w:r>
      <w:r>
        <w:t>text from the</w:t>
      </w:r>
      <w:r>
        <w:rPr>
          <w:spacing w:val="-2"/>
        </w:rPr>
        <w:t xml:space="preserve"> </w:t>
      </w:r>
      <w:r>
        <w:t>International</w:t>
      </w:r>
      <w:r>
        <w:rPr>
          <w:spacing w:val="-1"/>
        </w:rPr>
        <w:t xml:space="preserve"> </w:t>
      </w:r>
      <w:r>
        <w:t>Council for Harmonization (ICH) guidance documents as well</w:t>
      </w:r>
      <w:r>
        <w:rPr>
          <w:spacing w:val="-1"/>
        </w:rPr>
        <w:t xml:space="preserve"> </w:t>
      </w:r>
      <w:r>
        <w:t>as automation of frequently used authoring functions. The content templates and the associated administration files that</w:t>
      </w:r>
      <w:r>
        <w:rPr>
          <w:spacing w:val="-1"/>
        </w:rPr>
        <w:t xml:space="preserve"> </w:t>
      </w:r>
      <w:r>
        <w:t>govern their automation require updates frequently.</w:t>
      </w:r>
      <w:r>
        <w:rPr>
          <w:spacing w:val="-1"/>
        </w:rPr>
        <w:t xml:space="preserve"> </w:t>
      </w:r>
      <w:r>
        <w:t>Updates consist</w:t>
      </w:r>
      <w:r>
        <w:rPr>
          <w:spacing w:val="-1"/>
        </w:rPr>
        <w:t xml:space="preserve"> </w:t>
      </w:r>
      <w:r>
        <w:t>of</w:t>
      </w:r>
      <w:r>
        <w:rPr>
          <w:spacing w:val="-1"/>
        </w:rPr>
        <w:t xml:space="preserve"> </w:t>
      </w:r>
      <w:r>
        <w:t>new or updated content templates, and issue resolutions. In addition, new functions may require additional technical support regarding how the templates work and how to use the templates, beyond that which can be read in a user guide.</w:t>
      </w:r>
    </w:p>
    <w:p w14:paraId="1F90E886" w14:textId="77777777" w:rsidR="00342396" w:rsidRDefault="00000000">
      <w:pPr>
        <w:pStyle w:val="BodyText"/>
        <w:spacing w:before="155"/>
      </w:pPr>
      <w:r>
        <w:t>The</w:t>
      </w:r>
      <w:r>
        <w:rPr>
          <w:spacing w:val="-5"/>
        </w:rPr>
        <w:t xml:space="preserve"> </w:t>
      </w:r>
      <w:r>
        <w:t>anticipated</w:t>
      </w:r>
      <w:r>
        <w:rPr>
          <w:spacing w:val="-2"/>
        </w:rPr>
        <w:t xml:space="preserve"> </w:t>
      </w:r>
      <w:r>
        <w:t>period</w:t>
      </w:r>
      <w:r>
        <w:rPr>
          <w:spacing w:val="-6"/>
        </w:rPr>
        <w:t xml:space="preserve"> </w:t>
      </w:r>
      <w:r>
        <w:t>of</w:t>
      </w:r>
      <w:r>
        <w:rPr>
          <w:spacing w:val="-2"/>
        </w:rPr>
        <w:t xml:space="preserve"> </w:t>
      </w:r>
      <w:r>
        <w:t>performance</w:t>
      </w:r>
      <w:r>
        <w:rPr>
          <w:spacing w:val="-5"/>
        </w:rPr>
        <w:t xml:space="preserve"> </w:t>
      </w:r>
      <w:r>
        <w:t>of</w:t>
      </w:r>
      <w:r>
        <w:rPr>
          <w:spacing w:val="-5"/>
        </w:rPr>
        <w:t xml:space="preserve"> </w:t>
      </w:r>
      <w:r>
        <w:t>this</w:t>
      </w:r>
      <w:r>
        <w:rPr>
          <w:spacing w:val="-2"/>
        </w:rPr>
        <w:t xml:space="preserve"> </w:t>
      </w:r>
      <w:r>
        <w:t>contract</w:t>
      </w:r>
      <w:r>
        <w:rPr>
          <w:spacing w:val="-5"/>
        </w:rPr>
        <w:t xml:space="preserve"> </w:t>
      </w:r>
      <w:r>
        <w:t>is</w:t>
      </w:r>
      <w:r>
        <w:rPr>
          <w:spacing w:val="-2"/>
        </w:rPr>
        <w:t xml:space="preserve"> </w:t>
      </w:r>
      <w:r>
        <w:t>five</w:t>
      </w:r>
      <w:r>
        <w:rPr>
          <w:spacing w:val="-3"/>
        </w:rPr>
        <w:t xml:space="preserve"> </w:t>
      </w:r>
      <w:r>
        <w:t>(5)</w:t>
      </w:r>
      <w:r>
        <w:rPr>
          <w:spacing w:val="-4"/>
        </w:rPr>
        <w:t xml:space="preserve"> </w:t>
      </w:r>
      <w:r>
        <w:t>years</w:t>
      </w:r>
      <w:r>
        <w:rPr>
          <w:spacing w:val="-6"/>
        </w:rPr>
        <w:t xml:space="preserve"> </w:t>
      </w:r>
      <w:r>
        <w:t>(</w:t>
      </w:r>
      <w:proofErr w:type="gramStart"/>
      <w:r>
        <w:t>base</w:t>
      </w:r>
      <w:proofErr w:type="gramEnd"/>
      <w:r>
        <w:rPr>
          <w:spacing w:val="-2"/>
        </w:rPr>
        <w:t xml:space="preserve"> </w:t>
      </w:r>
      <w:r>
        <w:t>plus</w:t>
      </w:r>
      <w:r>
        <w:rPr>
          <w:spacing w:val="-5"/>
        </w:rPr>
        <w:t xml:space="preserve"> </w:t>
      </w:r>
      <w:r>
        <w:t>four</w:t>
      </w:r>
      <w:r>
        <w:rPr>
          <w:spacing w:val="-3"/>
        </w:rPr>
        <w:t xml:space="preserve"> </w:t>
      </w:r>
      <w:r>
        <w:t>(4)</w:t>
      </w:r>
      <w:r>
        <w:rPr>
          <w:spacing w:val="-4"/>
        </w:rPr>
        <w:t xml:space="preserve"> </w:t>
      </w:r>
      <w:r>
        <w:t>option</w:t>
      </w:r>
      <w:r>
        <w:rPr>
          <w:spacing w:val="-6"/>
        </w:rPr>
        <w:t xml:space="preserve"> </w:t>
      </w:r>
      <w:r>
        <w:rPr>
          <w:spacing w:val="-2"/>
        </w:rPr>
        <w:t>years).</w:t>
      </w:r>
    </w:p>
    <w:p w14:paraId="1F90E887" w14:textId="7CB3F31B" w:rsidR="00342396" w:rsidRDefault="00000000">
      <w:pPr>
        <w:pStyle w:val="BodyText"/>
        <w:spacing w:before="186" w:line="256" w:lineRule="auto"/>
        <w:ind w:right="2"/>
      </w:pPr>
      <w:r>
        <w:t>The</w:t>
      </w:r>
      <w:r>
        <w:rPr>
          <w:spacing w:val="-3"/>
        </w:rPr>
        <w:t xml:space="preserve"> </w:t>
      </w:r>
      <w:r>
        <w:t>North</w:t>
      </w:r>
      <w:r>
        <w:rPr>
          <w:spacing w:val="-3"/>
        </w:rPr>
        <w:t xml:space="preserve"> </w:t>
      </w:r>
      <w:r>
        <w:t>American</w:t>
      </w:r>
      <w:r>
        <w:rPr>
          <w:spacing w:val="-4"/>
        </w:rPr>
        <w:t xml:space="preserve"> </w:t>
      </w:r>
      <w:r>
        <w:t>Industry</w:t>
      </w:r>
      <w:r>
        <w:rPr>
          <w:spacing w:val="-2"/>
        </w:rPr>
        <w:t xml:space="preserve"> </w:t>
      </w:r>
      <w:r>
        <w:t>Classification</w:t>
      </w:r>
      <w:r>
        <w:rPr>
          <w:spacing w:val="-7"/>
        </w:rPr>
        <w:t xml:space="preserve"> </w:t>
      </w:r>
      <w:r>
        <w:t>System</w:t>
      </w:r>
      <w:r>
        <w:rPr>
          <w:spacing w:val="-2"/>
        </w:rPr>
        <w:t xml:space="preserve"> </w:t>
      </w:r>
      <w:r>
        <w:t>(NAICS)</w:t>
      </w:r>
      <w:r>
        <w:rPr>
          <w:spacing w:val="-3"/>
        </w:rPr>
        <w:t xml:space="preserve"> </w:t>
      </w:r>
      <w:r>
        <w:t>for</w:t>
      </w:r>
      <w:r>
        <w:rPr>
          <w:spacing w:val="-5"/>
        </w:rPr>
        <w:t xml:space="preserve"> </w:t>
      </w:r>
      <w:r>
        <w:t>this</w:t>
      </w:r>
      <w:r>
        <w:rPr>
          <w:spacing w:val="-3"/>
        </w:rPr>
        <w:t xml:space="preserve"> </w:t>
      </w:r>
      <w:r>
        <w:t>requirement</w:t>
      </w:r>
      <w:r>
        <w:rPr>
          <w:spacing w:val="-3"/>
        </w:rPr>
        <w:t xml:space="preserve"> </w:t>
      </w:r>
      <w:r>
        <w:t>is</w:t>
      </w:r>
      <w:r>
        <w:rPr>
          <w:spacing w:val="-3"/>
        </w:rPr>
        <w:t xml:space="preserve"> </w:t>
      </w:r>
      <w:r>
        <w:t>518210</w:t>
      </w:r>
      <w:r>
        <w:rPr>
          <w:spacing w:val="-5"/>
        </w:rPr>
        <w:t xml:space="preserve"> </w:t>
      </w:r>
      <w:r>
        <w:t>Data Processing, Hosting, and Related Services and the size standard of $</w:t>
      </w:r>
      <w:r w:rsidR="006D168A">
        <w:t>40</w:t>
      </w:r>
      <w:r>
        <w:t>,000,000.00.</w:t>
      </w:r>
    </w:p>
    <w:p w14:paraId="1F90E888" w14:textId="77777777" w:rsidR="00342396" w:rsidRDefault="00000000">
      <w:pPr>
        <w:pStyle w:val="BodyText"/>
        <w:spacing w:before="162"/>
      </w:pPr>
      <w:r>
        <w:t>PSC</w:t>
      </w:r>
      <w:r>
        <w:rPr>
          <w:spacing w:val="-11"/>
        </w:rPr>
        <w:t xml:space="preserve"> </w:t>
      </w:r>
      <w:r>
        <w:t>DA10</w:t>
      </w:r>
      <w:r>
        <w:rPr>
          <w:spacing w:val="-5"/>
        </w:rPr>
        <w:t xml:space="preserve"> </w:t>
      </w:r>
      <w:r>
        <w:t>IT</w:t>
      </w:r>
      <w:r>
        <w:rPr>
          <w:spacing w:val="-5"/>
        </w:rPr>
        <w:t xml:space="preserve"> </w:t>
      </w:r>
      <w:r>
        <w:t>and</w:t>
      </w:r>
      <w:r>
        <w:rPr>
          <w:spacing w:val="-8"/>
        </w:rPr>
        <w:t xml:space="preserve"> </w:t>
      </w:r>
      <w:r>
        <w:t>Telecom—Business</w:t>
      </w:r>
      <w:r>
        <w:rPr>
          <w:spacing w:val="-5"/>
        </w:rPr>
        <w:t xml:space="preserve"> </w:t>
      </w:r>
      <w:r>
        <w:t>Application/Application</w:t>
      </w:r>
      <w:r>
        <w:rPr>
          <w:spacing w:val="-8"/>
        </w:rPr>
        <w:t xml:space="preserve"> </w:t>
      </w:r>
      <w:r>
        <w:t>Development</w:t>
      </w:r>
      <w:r>
        <w:rPr>
          <w:spacing w:val="-3"/>
        </w:rPr>
        <w:t xml:space="preserve"> </w:t>
      </w:r>
      <w:r>
        <w:t>Software</w:t>
      </w:r>
      <w:r>
        <w:rPr>
          <w:spacing w:val="-4"/>
        </w:rPr>
        <w:t xml:space="preserve"> </w:t>
      </w:r>
      <w:r>
        <w:t>as</w:t>
      </w:r>
      <w:r>
        <w:rPr>
          <w:spacing w:val="-8"/>
        </w:rPr>
        <w:t xml:space="preserve"> </w:t>
      </w:r>
      <w:r>
        <w:t>a</w:t>
      </w:r>
      <w:r>
        <w:rPr>
          <w:spacing w:val="-5"/>
        </w:rPr>
        <w:t xml:space="preserve"> </w:t>
      </w:r>
      <w:r>
        <w:rPr>
          <w:spacing w:val="-2"/>
        </w:rPr>
        <w:t>Service</w:t>
      </w:r>
    </w:p>
    <w:p w14:paraId="1F90E889" w14:textId="776C88DB" w:rsidR="00342396" w:rsidRDefault="006D168A">
      <w:pPr>
        <w:pStyle w:val="BodyText"/>
        <w:spacing w:before="183" w:line="259" w:lineRule="auto"/>
        <w:ind w:right="50"/>
      </w:pPr>
      <w:r>
        <w:t xml:space="preserve">After </w:t>
      </w:r>
      <w:r w:rsidR="00000000">
        <w:t xml:space="preserve">the publication of this notice, the purchase will be </w:t>
      </w:r>
      <w:proofErr w:type="gramStart"/>
      <w:r w:rsidR="00000000">
        <w:t>awarded</w:t>
      </w:r>
      <w:proofErr w:type="gramEnd"/>
      <w:r w:rsidR="00000000">
        <w:t xml:space="preserve"> without further remarks.</w:t>
      </w:r>
      <w:r w:rsidR="00000000">
        <w:rPr>
          <w:spacing w:val="-2"/>
        </w:rPr>
        <w:t xml:space="preserve"> </w:t>
      </w:r>
      <w:r w:rsidR="00000000">
        <w:t>All</w:t>
      </w:r>
      <w:r w:rsidR="00000000">
        <w:rPr>
          <w:spacing w:val="-3"/>
        </w:rPr>
        <w:t xml:space="preserve"> </w:t>
      </w:r>
      <w:r w:rsidR="00000000">
        <w:t>questions</w:t>
      </w:r>
      <w:r w:rsidR="00000000">
        <w:rPr>
          <w:spacing w:val="-4"/>
        </w:rPr>
        <w:t xml:space="preserve"> </w:t>
      </w:r>
      <w:r w:rsidR="00000000">
        <w:t>and</w:t>
      </w:r>
      <w:r w:rsidR="00000000">
        <w:rPr>
          <w:spacing w:val="-3"/>
        </w:rPr>
        <w:t xml:space="preserve"> </w:t>
      </w:r>
      <w:r w:rsidR="00000000">
        <w:t>responses</w:t>
      </w:r>
      <w:r w:rsidR="00000000">
        <w:rPr>
          <w:spacing w:val="-2"/>
        </w:rPr>
        <w:t xml:space="preserve"> </w:t>
      </w:r>
      <w:r w:rsidR="00000000">
        <w:t>concerning</w:t>
      </w:r>
      <w:r w:rsidR="00000000">
        <w:rPr>
          <w:spacing w:val="-3"/>
        </w:rPr>
        <w:t xml:space="preserve"> </w:t>
      </w:r>
      <w:r w:rsidR="00000000">
        <w:t>this</w:t>
      </w:r>
      <w:r w:rsidR="00000000">
        <w:rPr>
          <w:spacing w:val="-7"/>
        </w:rPr>
        <w:t xml:space="preserve"> </w:t>
      </w:r>
      <w:r w:rsidR="00000000">
        <w:t>notice</w:t>
      </w:r>
      <w:r w:rsidR="00000000">
        <w:rPr>
          <w:spacing w:val="-4"/>
        </w:rPr>
        <w:t xml:space="preserve"> </w:t>
      </w:r>
      <w:r w:rsidR="00000000">
        <w:t>shall</w:t>
      </w:r>
      <w:r w:rsidR="00000000">
        <w:rPr>
          <w:spacing w:val="-2"/>
        </w:rPr>
        <w:t xml:space="preserve"> </w:t>
      </w:r>
      <w:r w:rsidR="00000000">
        <w:t>be</w:t>
      </w:r>
      <w:r w:rsidR="00000000">
        <w:rPr>
          <w:spacing w:val="-4"/>
        </w:rPr>
        <w:t xml:space="preserve"> </w:t>
      </w:r>
      <w:r w:rsidR="00000000">
        <w:t>emailed</w:t>
      </w:r>
      <w:r w:rsidR="00000000">
        <w:rPr>
          <w:spacing w:val="-2"/>
        </w:rPr>
        <w:t xml:space="preserve"> </w:t>
      </w:r>
      <w:r w:rsidR="00000000">
        <w:t>to</w:t>
      </w:r>
      <w:r w:rsidR="00000000">
        <w:rPr>
          <w:spacing w:val="-3"/>
        </w:rPr>
        <w:t xml:space="preserve"> </w:t>
      </w:r>
      <w:r w:rsidR="00CA3A74">
        <w:t xml:space="preserve">Kevin T Jandovitz </w:t>
      </w:r>
      <w:r w:rsidR="00000000">
        <w:t>at</w:t>
      </w:r>
      <w:r w:rsidR="00CA3A74">
        <w:t xml:space="preserve"> </w:t>
      </w:r>
      <w:r w:rsidR="00CA3A74">
        <w:rPr>
          <w:color w:val="0462C1"/>
          <w:spacing w:val="-2"/>
          <w:u w:val="single" w:color="0462C1"/>
        </w:rPr>
        <w:t>Kevin.t.jandovitz.civ@health.mil</w:t>
      </w:r>
    </w:p>
    <w:p w14:paraId="1F90E88A" w14:textId="7CDDB895" w:rsidR="00342396" w:rsidRDefault="00000000">
      <w:pPr>
        <w:pStyle w:val="BodyText"/>
        <w:spacing w:before="159" w:line="259" w:lineRule="auto"/>
        <w:ind w:right="6"/>
      </w:pPr>
      <w:r>
        <w:t>Interested</w:t>
      </w:r>
      <w:r>
        <w:rPr>
          <w:spacing w:val="-1"/>
        </w:rPr>
        <w:t xml:space="preserve"> </w:t>
      </w:r>
      <w:r>
        <w:t>concerns</w:t>
      </w:r>
      <w:r>
        <w:rPr>
          <w:spacing w:val="-4"/>
        </w:rPr>
        <w:t xml:space="preserve"> </w:t>
      </w:r>
      <w:r>
        <w:t>must</w:t>
      </w:r>
      <w:r>
        <w:rPr>
          <w:spacing w:val="-3"/>
        </w:rPr>
        <w:t xml:space="preserve"> </w:t>
      </w:r>
      <w:r>
        <w:t>identify</w:t>
      </w:r>
      <w:r>
        <w:rPr>
          <w:spacing w:val="-1"/>
        </w:rPr>
        <w:t xml:space="preserve"> </w:t>
      </w:r>
      <w:r>
        <w:t>their</w:t>
      </w:r>
      <w:r>
        <w:rPr>
          <w:spacing w:val="-1"/>
        </w:rPr>
        <w:t xml:space="preserve"> </w:t>
      </w:r>
      <w:r>
        <w:t>capability</w:t>
      </w:r>
      <w:r>
        <w:rPr>
          <w:spacing w:val="-1"/>
        </w:rPr>
        <w:t xml:space="preserve"> </w:t>
      </w:r>
      <w:r>
        <w:t>in</w:t>
      </w:r>
      <w:r>
        <w:rPr>
          <w:spacing w:val="-1"/>
        </w:rPr>
        <w:t xml:space="preserve"> </w:t>
      </w:r>
      <w:r>
        <w:t>writing</w:t>
      </w:r>
      <w:r>
        <w:rPr>
          <w:spacing w:val="-2"/>
        </w:rPr>
        <w:t xml:space="preserve"> </w:t>
      </w:r>
      <w:r>
        <w:t>to</w:t>
      </w:r>
      <w:r>
        <w:rPr>
          <w:spacing w:val="-2"/>
        </w:rPr>
        <w:t xml:space="preserve"> </w:t>
      </w:r>
      <w:r>
        <w:t>the</w:t>
      </w:r>
      <w:r>
        <w:rPr>
          <w:spacing w:val="-1"/>
        </w:rPr>
        <w:t xml:space="preserve"> </w:t>
      </w:r>
      <w:r>
        <w:t>above</w:t>
      </w:r>
      <w:r>
        <w:rPr>
          <w:spacing w:val="-1"/>
        </w:rPr>
        <w:t xml:space="preserve"> </w:t>
      </w:r>
      <w:r>
        <w:t>e-mail</w:t>
      </w:r>
      <w:r>
        <w:rPr>
          <w:spacing w:val="-4"/>
        </w:rPr>
        <w:t xml:space="preserve"> </w:t>
      </w:r>
      <w:r>
        <w:t>address</w:t>
      </w:r>
      <w:r>
        <w:rPr>
          <w:spacing w:val="-1"/>
        </w:rPr>
        <w:t xml:space="preserve"> </w:t>
      </w:r>
      <w:r>
        <w:t>or</w:t>
      </w:r>
      <w:r>
        <w:rPr>
          <w:spacing w:val="-4"/>
        </w:rPr>
        <w:t xml:space="preserve"> </w:t>
      </w:r>
      <w:r>
        <w:t>by</w:t>
      </w:r>
      <w:r>
        <w:rPr>
          <w:spacing w:val="-3"/>
        </w:rPr>
        <w:t xml:space="preserve"> </w:t>
      </w:r>
      <w:r>
        <w:t>mail</w:t>
      </w:r>
      <w:r>
        <w:rPr>
          <w:spacing w:val="-4"/>
        </w:rPr>
        <w:t xml:space="preserve"> </w:t>
      </w:r>
      <w:r>
        <w:t>to</w:t>
      </w:r>
      <w:r>
        <w:rPr>
          <w:spacing w:val="-2"/>
        </w:rPr>
        <w:t xml:space="preserve"> </w:t>
      </w:r>
      <w:r>
        <w:t>the address listed below no later than three (</w:t>
      </w:r>
      <w:r w:rsidR="0026184C">
        <w:t>3</w:t>
      </w:r>
      <w:r>
        <w:t xml:space="preserve">) days after the publication of this notice </w:t>
      </w:r>
      <w:r w:rsidR="0079481B">
        <w:t>01</w:t>
      </w:r>
      <w:r>
        <w:t xml:space="preserve"> </w:t>
      </w:r>
      <w:r w:rsidR="0079481B">
        <w:t>May</w:t>
      </w:r>
      <w:r>
        <w:t xml:space="preserve"> </w:t>
      </w:r>
      <w:r w:rsidR="0079481B">
        <w:t>2026</w:t>
      </w:r>
      <w:r>
        <w:t xml:space="preserve"> at</w:t>
      </w:r>
      <w:r>
        <w:rPr>
          <w:spacing w:val="40"/>
        </w:rPr>
        <w:t xml:space="preserve"> </w:t>
      </w:r>
      <w:r>
        <w:t>1000 Eastern Standard Time (EST).</w:t>
      </w:r>
    </w:p>
    <w:sectPr w:rsidR="00342396">
      <w:type w:val="continuous"/>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2396"/>
    <w:rsid w:val="0026184C"/>
    <w:rsid w:val="00342396"/>
    <w:rsid w:val="006D168A"/>
    <w:rsid w:val="0079481B"/>
    <w:rsid w:val="008E25F8"/>
    <w:rsid w:val="00CA3A74"/>
    <w:rsid w:val="00F16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E883"/>
  <w15:docId w15:val="{07A35F4F-CEA3-44C6-B4F0-5ACF89A3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A3A74"/>
    <w:rPr>
      <w:color w:val="0000FF" w:themeColor="hyperlink"/>
      <w:u w:val="single"/>
    </w:rPr>
  </w:style>
  <w:style w:type="character" w:styleId="UnresolvedMention">
    <w:name w:val="Unresolved Mention"/>
    <w:basedOn w:val="DefaultParagraphFont"/>
    <w:uiPriority w:val="99"/>
    <w:semiHidden/>
    <w:unhideWhenUsed/>
    <w:rsid w:val="00CA3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Jandovitz, Kevin T CIV DHA DHA CONTRACTING ACT (USA)</cp:lastModifiedBy>
  <cp:revision>6</cp:revision>
  <dcterms:created xsi:type="dcterms:W3CDTF">2026-04-28T12:57:00Z</dcterms:created>
  <dcterms:modified xsi:type="dcterms:W3CDTF">2026-04-28T13:02:00Z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2021-04-12T00:00:00Z</vt:filetime>
  </property>
  <property fmtid="{D5CDD505-2E9C-101B-9397-08002B2CF9AE}" pid="3" name="LastSaved">
    <vt:filetime>2026-04-28T00:00:00Z</vt:filetime>
  </property>
</Properties>
</file>