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026C11">
      <w:r>
        <w:t>See attached RFI documents.</w:t>
      </w:r>
    </w:p>
    <w:p>
      <w:pPr>
        <w:ind w:left="360"/>
      </w:pPr>
      <w:r>
        <w:t>See attached document: IMM PWS DRAFT.</w:t>
      </w:r>
    </w:p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RFI 36C10B26Q0380.</w:t>
      </w:r>
    </w:p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Inventory Management Modernization (VA-26-00056417)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36C10B26Q0380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 Prinston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michelle.prinston@va.gov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michelle.prinston@va.gov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E3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E33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E3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E33"/>
    <w:rPr>
      <w:b/>
      <w:bCs/>
      <w:smallCaps/>
      <w:color w:val="36609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2026-04-27T13:54:33Z</dcterms:created>
  <dcterms:modified xsi:type="dcterms:W3CDTF">2026-04-27T13:54:33Z</dcterms:modified>
</cp:coreProperties>
</file>