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94C31" w14:textId="29724ABF" w:rsidR="00871A15" w:rsidRDefault="00950EB2">
      <w:pPr>
        <w:pStyle w:val="BodyText"/>
        <w:spacing w:before="60" w:line="480" w:lineRule="auto"/>
        <w:ind w:right="3275"/>
      </w:pPr>
      <w:r>
        <w:t>Special</w:t>
      </w:r>
      <w:r>
        <w:rPr>
          <w:spacing w:val="-7"/>
        </w:rPr>
        <w:t xml:space="preserve"> </w:t>
      </w:r>
      <w:r>
        <w:t>Notice</w:t>
      </w:r>
      <w:r>
        <w:rPr>
          <w:spacing w:val="-7"/>
        </w:rPr>
        <w:t xml:space="preserve"> </w:t>
      </w:r>
      <w:r>
        <w:t>of</w:t>
      </w:r>
      <w:r>
        <w:rPr>
          <w:spacing w:val="-7"/>
        </w:rPr>
        <w:t xml:space="preserve"> </w:t>
      </w:r>
      <w:r>
        <w:t>Intent</w:t>
      </w:r>
      <w:r>
        <w:rPr>
          <w:spacing w:val="-7"/>
        </w:rPr>
        <w:t xml:space="preserve"> </w:t>
      </w:r>
      <w:r>
        <w:t>to</w:t>
      </w:r>
      <w:r>
        <w:rPr>
          <w:spacing w:val="-7"/>
        </w:rPr>
        <w:t xml:space="preserve"> </w:t>
      </w:r>
      <w:r>
        <w:t>Sole</w:t>
      </w:r>
      <w:r>
        <w:rPr>
          <w:spacing w:val="-7"/>
        </w:rPr>
        <w:t xml:space="preserve"> </w:t>
      </w:r>
      <w:r>
        <w:t xml:space="preserve">Source </w:t>
      </w:r>
      <w:r>
        <w:rPr>
          <w:spacing w:val="-2"/>
        </w:rPr>
        <w:t>140M0126Q0019</w:t>
      </w:r>
    </w:p>
    <w:p w14:paraId="407CBFA1" w14:textId="77777777" w:rsidR="00871A15" w:rsidRDefault="00950EB2">
      <w:pPr>
        <w:pStyle w:val="BodyText"/>
      </w:pPr>
      <w:r>
        <w:rPr>
          <w:spacing w:val="-2"/>
        </w:rPr>
        <w:t>Synopsis:</w:t>
      </w:r>
    </w:p>
    <w:p w14:paraId="0CD05670" w14:textId="77777777" w:rsidR="00871A15" w:rsidRDefault="00871A15">
      <w:pPr>
        <w:pStyle w:val="BodyText"/>
      </w:pPr>
    </w:p>
    <w:p w14:paraId="2F90BD16" w14:textId="3776FE11" w:rsidR="00871A15" w:rsidRDefault="00950EB2">
      <w:pPr>
        <w:pStyle w:val="BodyText"/>
        <w:ind w:right="19"/>
      </w:pPr>
      <w:r>
        <w:t xml:space="preserve">This notice is issued in accordance with Federal Acquisition Regulation (FAR) </w:t>
      </w:r>
      <w:r w:rsidR="009D5F25">
        <w:t>Overhaul</w:t>
      </w:r>
      <w:r>
        <w:t xml:space="preserve"> 5.</w:t>
      </w:r>
      <w:r w:rsidR="009D5F25">
        <w:t xml:space="preserve">101 </w:t>
      </w:r>
      <w:proofErr w:type="spellStart"/>
      <w:r w:rsidR="009D5F25">
        <w:t>Presolicitation</w:t>
      </w:r>
      <w:proofErr w:type="spellEnd"/>
      <w:r w:rsidR="009D5F25">
        <w:t xml:space="preserve"> Notice (Deviation Jan 2026)</w:t>
      </w:r>
      <w:r>
        <w:t>.</w:t>
      </w:r>
      <w:r>
        <w:rPr>
          <w:spacing w:val="40"/>
        </w:rPr>
        <w:t xml:space="preserve"> </w:t>
      </w:r>
      <w:r>
        <w:t>The</w:t>
      </w:r>
      <w:r>
        <w:rPr>
          <w:spacing w:val="-3"/>
        </w:rPr>
        <w:t xml:space="preserve"> </w:t>
      </w:r>
      <w:r>
        <w:t>U.S.</w:t>
      </w:r>
      <w:r>
        <w:rPr>
          <w:spacing w:val="-3"/>
        </w:rPr>
        <w:t xml:space="preserve"> </w:t>
      </w:r>
      <w:r>
        <w:t>Department</w:t>
      </w:r>
      <w:r>
        <w:rPr>
          <w:spacing w:val="-3"/>
        </w:rPr>
        <w:t xml:space="preserve"> </w:t>
      </w:r>
      <w:r>
        <w:t>of</w:t>
      </w:r>
      <w:r>
        <w:rPr>
          <w:spacing w:val="-3"/>
        </w:rPr>
        <w:t xml:space="preserve"> </w:t>
      </w:r>
      <w:r>
        <w:t>the</w:t>
      </w:r>
      <w:r>
        <w:rPr>
          <w:spacing w:val="-3"/>
        </w:rPr>
        <w:t xml:space="preserve"> </w:t>
      </w:r>
      <w:r>
        <w:t>Interior</w:t>
      </w:r>
      <w:r>
        <w:rPr>
          <w:spacing w:val="-3"/>
        </w:rPr>
        <w:t xml:space="preserve"> </w:t>
      </w:r>
      <w:r>
        <w:t>(DOI), Office of the Secretary (OS), on behalf of the Bureau of Ocean Energy Management (BOEM), Acquisition Operations Branch</w:t>
      </w:r>
      <w:r w:rsidR="009D5F25">
        <w:t xml:space="preserve"> (AOB)</w:t>
      </w:r>
      <w:r>
        <w:t>, is the contracting office for this procurement.</w:t>
      </w:r>
      <w:r>
        <w:rPr>
          <w:spacing w:val="40"/>
        </w:rPr>
        <w:t xml:space="preserve"> </w:t>
      </w:r>
      <w:r>
        <w:t xml:space="preserve">The purpose of this notice is to announce the Government’s intent to award a sole source Purchase Order to Moody’s Analytics, Inc., </w:t>
      </w:r>
      <w:r>
        <w:rPr>
          <w:color w:val="212121"/>
        </w:rPr>
        <w:t>7 WTC At 250 Greenwich St., New York, NY 10007</w:t>
      </w:r>
      <w:r>
        <w:t xml:space="preserve">, in accordance with FAR </w:t>
      </w:r>
      <w:r w:rsidR="009D5F25">
        <w:t>Overhaul Part 12.201 (Deviation MAR 2026).</w:t>
      </w:r>
    </w:p>
    <w:p w14:paraId="54C65195" w14:textId="77777777" w:rsidR="00E86D45" w:rsidRDefault="00E86D45">
      <w:pPr>
        <w:pStyle w:val="BodyText"/>
        <w:ind w:right="19"/>
      </w:pPr>
    </w:p>
    <w:p w14:paraId="5EB2C9E2" w14:textId="5FFACD74" w:rsidR="00871A15" w:rsidRDefault="00950EB2">
      <w:pPr>
        <w:pStyle w:val="BodyText"/>
      </w:pPr>
      <w:r>
        <w:t>Moody’s Analytics, Inc. is the only firm in the commercial marketplace that can bring BOEM an integrated solution that delivers company information, financial information, multiple credit risk indicators, companies’ liquidity, covenant protection and corporate governance.</w:t>
      </w:r>
      <w:r>
        <w:rPr>
          <w:spacing w:val="40"/>
        </w:rPr>
        <w:t xml:space="preserve"> </w:t>
      </w:r>
      <w:r>
        <w:t>AOB</w:t>
      </w:r>
      <w:r>
        <w:rPr>
          <w:spacing w:val="-4"/>
        </w:rPr>
        <w:t xml:space="preserve"> </w:t>
      </w:r>
      <w:r>
        <w:t>anticipates</w:t>
      </w:r>
      <w:r>
        <w:rPr>
          <w:spacing w:val="-4"/>
        </w:rPr>
        <w:t xml:space="preserve"> </w:t>
      </w:r>
      <w:r>
        <w:t>awarding</w:t>
      </w:r>
      <w:r>
        <w:rPr>
          <w:spacing w:val="-4"/>
        </w:rPr>
        <w:t xml:space="preserve"> </w:t>
      </w:r>
      <w:r>
        <w:t>a</w:t>
      </w:r>
      <w:r>
        <w:rPr>
          <w:spacing w:val="-4"/>
        </w:rPr>
        <w:t xml:space="preserve"> </w:t>
      </w:r>
      <w:r>
        <w:t>Firm</w:t>
      </w:r>
      <w:r>
        <w:rPr>
          <w:spacing w:val="-4"/>
        </w:rPr>
        <w:t xml:space="preserve"> </w:t>
      </w:r>
      <w:r>
        <w:t>Fixed</w:t>
      </w:r>
      <w:r>
        <w:rPr>
          <w:spacing w:val="-4"/>
        </w:rPr>
        <w:t xml:space="preserve"> </w:t>
      </w:r>
      <w:r>
        <w:t>Price</w:t>
      </w:r>
      <w:r>
        <w:rPr>
          <w:spacing w:val="-4"/>
        </w:rPr>
        <w:t xml:space="preserve"> </w:t>
      </w:r>
      <w:r>
        <w:t>Purchase</w:t>
      </w:r>
      <w:r>
        <w:rPr>
          <w:spacing w:val="-4"/>
        </w:rPr>
        <w:t xml:space="preserve"> </w:t>
      </w:r>
      <w:r>
        <w:t>Order</w:t>
      </w:r>
      <w:r>
        <w:rPr>
          <w:spacing w:val="-4"/>
        </w:rPr>
        <w:t xml:space="preserve"> </w:t>
      </w:r>
      <w:r>
        <w:t>to</w:t>
      </w:r>
      <w:r>
        <w:rPr>
          <w:spacing w:val="-4"/>
        </w:rPr>
        <w:t xml:space="preserve"> </w:t>
      </w:r>
      <w:r>
        <w:t>Moody’s Analytics,</w:t>
      </w:r>
      <w:r>
        <w:rPr>
          <w:spacing w:val="-3"/>
        </w:rPr>
        <w:t xml:space="preserve"> </w:t>
      </w:r>
      <w:r>
        <w:t xml:space="preserve">Inc. for the </w:t>
      </w:r>
      <w:proofErr w:type="spellStart"/>
      <w:r>
        <w:t>CreditView</w:t>
      </w:r>
      <w:proofErr w:type="spellEnd"/>
      <w:r>
        <w:t xml:space="preserve"> Subscription.</w:t>
      </w:r>
      <w:r>
        <w:rPr>
          <w:spacing w:val="58"/>
        </w:rPr>
        <w:t xml:space="preserve"> </w:t>
      </w:r>
      <w:r>
        <w:t xml:space="preserve">The anticipated award will be a </w:t>
      </w:r>
      <w:r>
        <w:rPr>
          <w:spacing w:val="-2"/>
        </w:rPr>
        <w:t>twelve</w:t>
      </w:r>
    </w:p>
    <w:p w14:paraId="0BF7DB97" w14:textId="77777777" w:rsidR="00871A15" w:rsidRDefault="00950EB2">
      <w:pPr>
        <w:pStyle w:val="BodyText"/>
        <w:ind w:right="30"/>
      </w:pPr>
      <w:r>
        <w:t>(12)</w:t>
      </w:r>
      <w:r>
        <w:rPr>
          <w:spacing w:val="-3"/>
        </w:rPr>
        <w:t xml:space="preserve"> </w:t>
      </w:r>
      <w:r>
        <w:t>months</w:t>
      </w:r>
      <w:r>
        <w:rPr>
          <w:spacing w:val="-3"/>
        </w:rPr>
        <w:t xml:space="preserve"> </w:t>
      </w:r>
      <w:r>
        <w:t>base</w:t>
      </w:r>
      <w:r>
        <w:rPr>
          <w:spacing w:val="-3"/>
        </w:rPr>
        <w:t xml:space="preserve"> </w:t>
      </w:r>
      <w:r>
        <w:t>period</w:t>
      </w:r>
      <w:r>
        <w:rPr>
          <w:spacing w:val="-3"/>
        </w:rPr>
        <w:t xml:space="preserve"> </w:t>
      </w:r>
      <w:r>
        <w:t>of</w:t>
      </w:r>
      <w:r>
        <w:rPr>
          <w:spacing w:val="-3"/>
        </w:rPr>
        <w:t xml:space="preserve"> </w:t>
      </w:r>
      <w:r>
        <w:t>performance</w:t>
      </w:r>
      <w:r>
        <w:rPr>
          <w:spacing w:val="-4"/>
        </w:rPr>
        <w:t xml:space="preserve"> </w:t>
      </w:r>
      <w:r>
        <w:t>and</w:t>
      </w:r>
      <w:r>
        <w:rPr>
          <w:spacing w:val="-4"/>
        </w:rPr>
        <w:t xml:space="preserve"> </w:t>
      </w:r>
      <w:r>
        <w:t>four</w:t>
      </w:r>
      <w:r>
        <w:rPr>
          <w:spacing w:val="-4"/>
        </w:rPr>
        <w:t xml:space="preserve"> </w:t>
      </w:r>
      <w:r>
        <w:t>(4)</w:t>
      </w:r>
      <w:r>
        <w:rPr>
          <w:spacing w:val="-4"/>
        </w:rPr>
        <w:t xml:space="preserve"> </w:t>
      </w:r>
      <w:r>
        <w:t>twelve</w:t>
      </w:r>
      <w:r>
        <w:rPr>
          <w:spacing w:val="-4"/>
        </w:rPr>
        <w:t xml:space="preserve"> </w:t>
      </w:r>
      <w:r>
        <w:t>(12)</w:t>
      </w:r>
      <w:r>
        <w:rPr>
          <w:spacing w:val="-4"/>
        </w:rPr>
        <w:t xml:space="preserve"> </w:t>
      </w:r>
      <w:r>
        <w:t>months</w:t>
      </w:r>
      <w:r>
        <w:rPr>
          <w:spacing w:val="-3"/>
        </w:rPr>
        <w:t xml:space="preserve"> </w:t>
      </w:r>
      <w:r>
        <w:t>option</w:t>
      </w:r>
      <w:r>
        <w:rPr>
          <w:spacing w:val="-3"/>
        </w:rPr>
        <w:t xml:space="preserve"> </w:t>
      </w:r>
      <w:r>
        <w:t>years</w:t>
      </w:r>
      <w:r>
        <w:rPr>
          <w:spacing w:val="-3"/>
        </w:rPr>
        <w:t xml:space="preserve"> </w:t>
      </w:r>
      <w:r>
        <w:t>for a total of sixty (60) months.</w:t>
      </w:r>
    </w:p>
    <w:p w14:paraId="3EAFE654" w14:textId="77777777" w:rsidR="00871A15" w:rsidRDefault="00871A15">
      <w:pPr>
        <w:pStyle w:val="BodyText"/>
      </w:pPr>
    </w:p>
    <w:p w14:paraId="7D240060" w14:textId="3C7B55D8" w:rsidR="00871A15" w:rsidRDefault="00950EB2">
      <w:pPr>
        <w:pStyle w:val="BodyText"/>
        <w:spacing w:before="1"/>
        <w:ind w:right="19"/>
      </w:pPr>
      <w:r>
        <w:t>The Department of Interior has determined that there is no other vendor that offers a single source for an integrated solution that delivers company information, financial information, multiple credit risk indicators, companies’ liquidity, covenant protection and corporate governance.</w:t>
      </w:r>
      <w:r>
        <w:rPr>
          <w:spacing w:val="40"/>
        </w:rPr>
        <w:t xml:space="preserve"> </w:t>
      </w:r>
      <w:r>
        <w:t>This is NOT a request for competitive quotes.</w:t>
      </w:r>
      <w:r>
        <w:rPr>
          <w:spacing w:val="40"/>
        </w:rPr>
        <w:t xml:space="preserve"> </w:t>
      </w:r>
      <w:r>
        <w:t>The intent of the Special Notice is for “informational purposes” only.</w:t>
      </w:r>
      <w:r>
        <w:rPr>
          <w:spacing w:val="40"/>
        </w:rPr>
        <w:t xml:space="preserve"> </w:t>
      </w:r>
      <w:r>
        <w:t xml:space="preserve">However, </w:t>
      </w:r>
      <w:proofErr w:type="gramStart"/>
      <w:r>
        <w:t>any and all</w:t>
      </w:r>
      <w:proofErr w:type="gramEnd"/>
      <w:r>
        <w:t xml:space="preserve"> information received by the point of contact (POC) listed below, by </w:t>
      </w:r>
      <w:r>
        <w:rPr>
          <w:b/>
          <w:i/>
        </w:rPr>
        <w:t xml:space="preserve">9:00 a.m., ET, </w:t>
      </w:r>
      <w:r w:rsidR="009D5F25">
        <w:rPr>
          <w:b/>
          <w:i/>
        </w:rPr>
        <w:t>Tues</w:t>
      </w:r>
      <w:r>
        <w:rPr>
          <w:b/>
          <w:i/>
        </w:rPr>
        <w:t xml:space="preserve">day, May </w:t>
      </w:r>
      <w:r w:rsidR="009D5F25">
        <w:rPr>
          <w:b/>
          <w:i/>
        </w:rPr>
        <w:t>5</w:t>
      </w:r>
      <w:r>
        <w:rPr>
          <w:b/>
          <w:i/>
        </w:rPr>
        <w:t xml:space="preserve">, </w:t>
      </w:r>
      <w:proofErr w:type="gramStart"/>
      <w:r>
        <w:rPr>
          <w:b/>
          <w:i/>
        </w:rPr>
        <w:t>2026</w:t>
      </w:r>
      <w:proofErr w:type="gramEnd"/>
      <w:r>
        <w:rPr>
          <w:b/>
          <w:i/>
        </w:rPr>
        <w:t xml:space="preserve"> </w:t>
      </w:r>
      <w:r>
        <w:t>will be considered by the Government.</w:t>
      </w:r>
      <w:r>
        <w:rPr>
          <w:spacing w:val="40"/>
        </w:rPr>
        <w:t xml:space="preserve"> </w:t>
      </w:r>
      <w:r>
        <w:t xml:space="preserve">A determination by the Government not to </w:t>
      </w:r>
      <w:proofErr w:type="gramStart"/>
      <w:r>
        <w:t>compete</w:t>
      </w:r>
      <w:proofErr w:type="gramEnd"/>
      <w:r>
        <w:t xml:space="preserve"> this action based on this notice is solely within the discretion of the Government.</w:t>
      </w:r>
      <w:r>
        <w:rPr>
          <w:spacing w:val="40"/>
        </w:rPr>
        <w:t xml:space="preserve"> </w:t>
      </w:r>
      <w:r>
        <w:t>POC: Ms.</w:t>
      </w:r>
      <w:r>
        <w:rPr>
          <w:spacing w:val="-4"/>
        </w:rPr>
        <w:t xml:space="preserve"> </w:t>
      </w:r>
      <w:r>
        <w:t>Michelle</w:t>
      </w:r>
      <w:r>
        <w:rPr>
          <w:spacing w:val="-4"/>
        </w:rPr>
        <w:t xml:space="preserve"> </w:t>
      </w:r>
      <w:r>
        <w:t>Potter,</w:t>
      </w:r>
      <w:r>
        <w:rPr>
          <w:spacing w:val="-4"/>
        </w:rPr>
        <w:t xml:space="preserve"> </w:t>
      </w:r>
      <w:proofErr w:type="gramStart"/>
      <w:r>
        <w:t>DOI,</w:t>
      </w:r>
      <w:r>
        <w:rPr>
          <w:spacing w:val="-4"/>
        </w:rPr>
        <w:t xml:space="preserve">  </w:t>
      </w:r>
      <w:r>
        <w:t>Acquisition</w:t>
      </w:r>
      <w:proofErr w:type="gramEnd"/>
      <w:r>
        <w:rPr>
          <w:spacing w:val="-4"/>
        </w:rPr>
        <w:t xml:space="preserve"> </w:t>
      </w:r>
      <w:r>
        <w:t>Operations</w:t>
      </w:r>
      <w:r>
        <w:rPr>
          <w:spacing w:val="-4"/>
        </w:rPr>
        <w:t xml:space="preserve"> </w:t>
      </w:r>
      <w:r>
        <w:t>Branch,</w:t>
      </w:r>
      <w:r>
        <w:rPr>
          <w:spacing w:val="-4"/>
        </w:rPr>
        <w:t xml:space="preserve"> </w:t>
      </w:r>
      <w:r>
        <w:t>45600</w:t>
      </w:r>
      <w:r>
        <w:rPr>
          <w:spacing w:val="-4"/>
        </w:rPr>
        <w:t xml:space="preserve"> </w:t>
      </w:r>
      <w:r>
        <w:t>Woodland</w:t>
      </w:r>
      <w:r>
        <w:rPr>
          <w:spacing w:val="-4"/>
        </w:rPr>
        <w:t xml:space="preserve"> </w:t>
      </w:r>
      <w:r>
        <w:t>Road, Mail Stop VAE-AMD, Sterling, VA 20166.</w:t>
      </w:r>
      <w:r>
        <w:rPr>
          <w:spacing w:val="40"/>
        </w:rPr>
        <w:t xml:space="preserve"> </w:t>
      </w:r>
      <w:r>
        <w:t xml:space="preserve">Information can be emailed to Ms. Michelle Potter at </w:t>
      </w:r>
      <w:hyperlink r:id="rId4" w:history="1">
        <w:r w:rsidRPr="00FB71CA">
          <w:rPr>
            <w:rStyle w:val="Hyperlink"/>
          </w:rPr>
          <w:t>michelle_potter@ios.doi.gov.</w:t>
        </w:r>
      </w:hyperlink>
    </w:p>
    <w:sectPr w:rsidR="00871A15">
      <w:type w:val="continuous"/>
      <w:pgSz w:w="12240" w:h="15840"/>
      <w:pgMar w:top="13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871A15"/>
    <w:rsid w:val="001E5D1C"/>
    <w:rsid w:val="004970AD"/>
    <w:rsid w:val="006F1DD7"/>
    <w:rsid w:val="00871A15"/>
    <w:rsid w:val="00950EB2"/>
    <w:rsid w:val="009D5F25"/>
    <w:rsid w:val="00E86D45"/>
    <w:rsid w:val="00F35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B4D8"/>
  <w15:docId w15:val="{8376FCFA-EAF4-4F12-A86B-9CA8CF36E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50EB2"/>
    <w:rPr>
      <w:color w:val="0000FF" w:themeColor="hyperlink"/>
      <w:u w:val="single"/>
    </w:rPr>
  </w:style>
  <w:style w:type="character" w:styleId="UnresolvedMention">
    <w:name w:val="Unresolved Mention"/>
    <w:basedOn w:val="DefaultParagraphFont"/>
    <w:uiPriority w:val="99"/>
    <w:semiHidden/>
    <w:unhideWhenUsed/>
    <w:rsid w:val="00950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ichelle_potter@ios.doi.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19</TotalTime>
  <Pages>1</Pages>
  <Words>324</Words>
  <Characters>1848</Characters>
  <Application>Microsoft Office Word</Application>
  <DocSecurity>0</DocSecurity>
  <Lines>32</Lines>
  <Paragraphs>7</Paragraphs>
  <ScaleCrop>false</ScaleCrop>
  <HeadingPairs>
    <vt:vector size="2" baseType="variant">
      <vt:variant>
        <vt:lpstr>Title</vt:lpstr>
      </vt:variant>
      <vt:variant>
        <vt:i4>1</vt:i4>
      </vt:variant>
    </vt:vector>
  </HeadingPairs>
  <TitlesOfParts>
    <vt:vector size="1" baseType="lpstr">
      <vt:lpstr>Microsoft Word - B10 - FBO Notice of Intent to Sole Source</vt:lpstr>
    </vt:vector>
  </TitlesOfParts>
  <Company>Department of the Interior</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B10 - FBO Notice of Intent to Sole Source</dc:title>
  <dc:creator>potterm</dc:creator>
  <cp:lastModifiedBy>Potter, Michelle R</cp:lastModifiedBy>
  <cp:revision>4</cp:revision>
  <dcterms:created xsi:type="dcterms:W3CDTF">2026-04-20T13:48:00Z</dcterms:created>
  <dcterms:modified xsi:type="dcterms:W3CDTF">2026-04-28T12:06:00Z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2021-03-25T00:00:00Z</vt:filetime>
  </property>
  <property fmtid="{D5CDD505-2E9C-101B-9397-08002B2CF9AE}" pid="3" name="Creator">
    <vt:lpwstr>PScript5.dll Version 5.2.2</vt:lpwstr>
  </property>
  <property fmtid="{D5CDD505-2E9C-101B-9397-08002B2CF9AE}" pid="4" name="LastSaved">
    <vt:filetime>2026-04-20T00:00:00Z</vt:filetime>
  </property>
  <property fmtid="{D5CDD505-2E9C-101B-9397-08002B2CF9AE}" pid="5" name="Producer">
    <vt:lpwstr>Acrobat Distiller 15.0 (Windows)</vt:lpwstr>
  </property>
</Properties>
</file>