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i w:val="1"/>
          <w:iCs w:val="1"/>
          <w:color w:val="000000"/>
          <w:sz w:val="28"/>
          <w:szCs w:val="28"/>
        </w:rPr>
      </w:pPr>
      <w:bookmarkStart w:colFirst="0" w:colLast="0" w:name="_heading=h.fn8ox7h09qk7" w:id="0"/>
      <w:bookmarkEnd w:id="0"/>
      <w:r w:rsidDel="00000000" w:rsidR="00000000" w:rsidRPr="00000000">
        <w:rPr>
          <w:rFonts w:ascii="Times New Roman" w:cs="Times New Roman" w:eastAsia="Times New Roman" w:hAnsi="Times New Roman"/>
          <w:b w:val="1"/>
          <w:bCs w:val="1"/>
          <w:color w:val="000000"/>
          <w:sz w:val="28"/>
          <w:szCs w:val="28"/>
          <w:rtl w:val="0"/>
        </w:rPr>
        <w:t xml:space="preserve">Performance Work Statement</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National Oceanic and Atmospheric Administration (NOAA)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National Marine Fisheries Service (NOAA Fisheries)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Alaska Region</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Professional Services for Restricted Access Management (RAM) Division Permitting Support</w:t>
      </w:r>
    </w:p>
    <w:p w:rsidR="00000000" w:rsidDel="00000000" w:rsidP="00000000" w:rsidRDefault="00000000" w:rsidRPr="00000000" w14:paraId="00000006">
      <w:pPr>
        <w:spacing w:after="0" w:line="240" w:lineRule="auto"/>
        <w:rPr>
          <w:rFonts w:ascii="Times New Roman" w:cs="Times New Roman" w:eastAsia="Times New Roman" w:hAnsi="Times New Roman"/>
          <w:i w:val="1"/>
          <w:iCs w:val="1"/>
          <w:color w:val="548dd4"/>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numPr>
          <w:ilvl w:val="0"/>
          <w:numId w:val="6"/>
        </w:numPr>
        <w:spacing w:after="0" w:line="240" w:lineRule="auto"/>
        <w:ind w:left="-1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Background and Objectives</w:t>
      </w:r>
      <w:r w:rsidDel="00000000" w:rsidR="00000000" w:rsidRPr="00000000">
        <w:rPr>
          <w:rtl w:val="0"/>
        </w:rPr>
      </w:r>
    </w:p>
    <w:p w:rsidR="00000000" w:rsidDel="00000000" w:rsidP="00000000" w:rsidRDefault="00000000" w:rsidRPr="00000000" w14:paraId="00000009">
      <w:pPr>
        <w:spacing w:after="0" w:line="240" w:lineRule="auto"/>
        <w:ind w:left="-180" w:firstLine="0"/>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0A">
      <w:pPr>
        <w:spacing w:after="0" w:lineRule="auto"/>
        <w:ind w:left="-1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Marine Fisheries Service (NOAA Fisheries), a bureau of the National Oceanic and Atmospheric Administration under the Department of Commerce, is a pioneer in quota-based fisheries management programs, which allocate total allowable catch to vessels, groups of cooperating vessels, or catch privileges to individuals. The Alaska Region (AKR) is one of five regional offices that together support marine resource management in all Federal waters. </w:t>
      </w:r>
    </w:p>
    <w:p w:rsidR="00000000" w:rsidDel="00000000" w:rsidP="00000000" w:rsidRDefault="00000000" w:rsidRPr="00000000" w14:paraId="0000000B">
      <w:pPr>
        <w:spacing w:after="0" w:lineRule="auto"/>
        <w:ind w:left="-1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Rule="auto"/>
        <w:ind w:left="-1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Restricted Access Management Division (RAM) in the Alaska Region supports sustainable fisheries and promotes fishing communities by issuing Federal fishing permits and other fishery authorizations to fishery participants. Throughout the calendar year, RAM reviews and issues licenses for the American Fisheries Act (AFA) Program, the Amendment 80 Program, Individual Fishing Quota (IFQ) halibut and sablefish, the Rockfish Program, subsistence halibut, charter halibut, groundfish and crab License Limitation Program (LLP) and processes over a thousand IFQ halibut/sablefish, IFQ crab, Guided Angler Fish (GAF), and LLP license transfers, among others. RAM is regularly providing advice and notifications to fishermen and the public on the interpretation of Federal fishing regulations.</w:t>
      </w:r>
    </w:p>
    <w:p w:rsidR="00000000" w:rsidDel="00000000" w:rsidP="00000000" w:rsidRDefault="00000000" w:rsidRPr="00000000" w14:paraId="0000000D">
      <w:pPr>
        <w:spacing w:after="0" w:lineRule="auto"/>
        <w:ind w:left="-1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ind w:left="-1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contract is for professional services to support RAM in performing intake of permitting applications, providing first line customer service to the industry inquiries regarding applications and systems/application troubleshooting, and providing training and outreach.</w:t>
      </w:r>
    </w:p>
    <w:p w:rsidR="00000000" w:rsidDel="00000000" w:rsidP="00000000" w:rsidRDefault="00000000" w:rsidRPr="00000000" w14:paraId="0000000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pacing w:after="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Tasks and Deliverables</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ind w:left="-18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after="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Fishery Application Intake and Processing (50%)–</w:t>
      </w:r>
      <w:r w:rsidDel="00000000" w:rsidR="00000000" w:rsidRPr="00000000">
        <w:rPr>
          <w:rFonts w:ascii="Times New Roman" w:cs="Times New Roman" w:eastAsia="Times New Roman" w:hAnsi="Times New Roman"/>
          <w:color w:val="000000"/>
          <w:sz w:val="24"/>
          <w:szCs w:val="24"/>
          <w:rtl w:val="0"/>
        </w:rPr>
        <w:t xml:space="preserve"> Contractor personnel will support the Restricted Access Management Division by performing intake of fishery applications and permits and inputting the necessary information in the required Alaska Region system for processing. RAM historically processes over 5,000 applications, received both by electronic and hard mail. Contractor personnel are expected to initially </w:t>
      </w:r>
      <w:r w:rsidDel="00000000" w:rsidR="00000000" w:rsidRPr="00000000">
        <w:rPr>
          <w:rFonts w:ascii="Times New Roman" w:cs="Times New Roman" w:eastAsia="Times New Roman" w:hAnsi="Times New Roman"/>
          <w:sz w:val="24"/>
          <w:szCs w:val="24"/>
          <w:rtl w:val="0"/>
        </w:rPr>
        <w:t xml:space="preserve">intake and enter</w:t>
      </w:r>
      <w:r w:rsidDel="00000000" w:rsidR="00000000" w:rsidRPr="00000000">
        <w:rPr>
          <w:rFonts w:ascii="Times New Roman" w:cs="Times New Roman" w:eastAsia="Times New Roman" w:hAnsi="Times New Roman"/>
          <w:color w:val="000000"/>
          <w:sz w:val="24"/>
          <w:szCs w:val="24"/>
          <w:rtl w:val="0"/>
        </w:rPr>
        <w:t xml:space="preserve"> the majority of these applications into </w:t>
      </w:r>
      <w:r w:rsidDel="00000000" w:rsidR="00000000" w:rsidRPr="00000000">
        <w:rPr>
          <w:rFonts w:ascii="Times New Roman" w:cs="Times New Roman" w:eastAsia="Times New Roman" w:hAnsi="Times New Roman"/>
          <w:sz w:val="24"/>
          <w:szCs w:val="24"/>
          <w:rtl w:val="0"/>
        </w:rPr>
        <w:t xml:space="preserve">AKR systems for further review</w:t>
      </w:r>
      <w:r w:rsidDel="00000000" w:rsidR="00000000" w:rsidRPr="00000000">
        <w:rPr>
          <w:rFonts w:ascii="Times New Roman" w:cs="Times New Roman" w:eastAsia="Times New Roman" w:hAnsi="Times New Roman"/>
          <w:color w:val="000000"/>
          <w:sz w:val="24"/>
          <w:szCs w:val="24"/>
          <w:rtl w:val="0"/>
        </w:rPr>
        <w:t xml:space="preserve">. This includes reviewing the applications and submitting the information in the Integrated Fisheries Application (IFA) or legacy system, which involves generating cases and uploading intake documentation to each case.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Customer Service/Troubleshooting (30%) </w:t>
      </w:r>
      <w:r w:rsidDel="00000000" w:rsidR="00000000" w:rsidRPr="00000000">
        <w:rPr>
          <w:rFonts w:ascii="Times New Roman" w:cs="Times New Roman" w:eastAsia="Times New Roman" w:hAnsi="Times New Roman"/>
          <w:color w:val="000000"/>
          <w:sz w:val="24"/>
          <w:szCs w:val="24"/>
          <w:rtl w:val="0"/>
        </w:rPr>
        <w:t xml:space="preserve">– Contractor personnel will provide first-line customer service to the industry through RAM’s public-facing email. This task is similar to a help-desk function. RAM will provide an answer base with standard responses and contractor personnel will respond to routine inquiries and escalate more complex questions to RAM staff for resolution. Inquiries commonly regard eFish or permitting systems, permitting actions, and user authorizations.</w:t>
        <w:br w:type="textWrapping"/>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Outreach and Training (15%)</w:t>
      </w:r>
      <w:r w:rsidDel="00000000" w:rsidR="00000000" w:rsidRPr="00000000">
        <w:rPr>
          <w:rFonts w:ascii="Times New Roman" w:cs="Times New Roman" w:eastAsia="Times New Roman" w:hAnsi="Times New Roman"/>
          <w:color w:val="000000"/>
          <w:sz w:val="24"/>
          <w:szCs w:val="24"/>
          <w:rtl w:val="0"/>
        </w:rPr>
        <w:t xml:space="preserve"> – The contractor will provide outreach and training with external and internal users. This includes developing user guides, documenting process steps, and creating training materials. Contractor personnel may provide informal or formal training on the permitting process.</w:t>
        <w:br w:type="textWrapping"/>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Document Management (5%)</w:t>
      </w:r>
      <w:r w:rsidDel="00000000" w:rsidR="00000000" w:rsidRPr="00000000">
        <w:rPr>
          <w:rFonts w:ascii="Times New Roman" w:cs="Times New Roman" w:eastAsia="Times New Roman" w:hAnsi="Times New Roman"/>
          <w:color w:val="000000"/>
          <w:sz w:val="24"/>
          <w:szCs w:val="24"/>
          <w:rtl w:val="0"/>
        </w:rPr>
        <w:t xml:space="preserve"> – Contractor personnel will support RAM with document management or programmatic records, to include filing.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54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180" w:firstLine="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General Contract Deliverables: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180" w:firstLine="0"/>
        <w:rPr>
          <w:rFonts w:ascii="Times New Roman" w:cs="Times New Roman" w:eastAsia="Times New Roman" w:hAnsi="Times New Roman"/>
          <w:b w:val="1"/>
          <w:bCs w:val="1"/>
          <w:color w:val="000000"/>
          <w:sz w:val="24"/>
          <w:szCs w:val="24"/>
          <w:u w:val="single"/>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18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is a list of deliverables under the basic contract, including administrative deliverables, required during the period of performance of this contract:  </w:t>
      </w:r>
    </w:p>
    <w:tbl>
      <w:tblPr>
        <w:tblStyle w:val="Table1"/>
        <w:tblW w:w="10098.0" w:type="dxa"/>
        <w:jc w:val="left"/>
        <w:tblInd w:w="-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2790"/>
        <w:gridCol w:w="2250"/>
        <w:gridCol w:w="2268"/>
        <w:tblGridChange w:id="0">
          <w:tblGrid>
            <w:gridCol w:w="2790"/>
            <w:gridCol w:w="2790"/>
            <w:gridCol w:w="2250"/>
            <w:gridCol w:w="2268"/>
          </w:tblGrid>
        </w:tblGridChange>
      </w:tblGrid>
      <w:tr>
        <w:trPr>
          <w:cantSplit w:val="0"/>
          <w:trHeight w:val="291" w:hRule="atLeast"/>
          <w:tblHeader w:val="1"/>
        </w:trPr>
        <w:tc>
          <w:tcPr/>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p>
        </w:tc>
        <w:tc>
          <w:tcPr/>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Frequency/Due Date</w:t>
            </w:r>
          </w:p>
        </w:tc>
        <w:tc>
          <w:tcPr/>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Medium/Format</w:t>
            </w:r>
          </w:p>
        </w:tc>
        <w:tc>
          <w:tcPr/>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 To:</w:t>
            </w:r>
          </w:p>
        </w:tc>
      </w:tr>
      <w:tr>
        <w:trPr>
          <w:cantSplit w:val="0"/>
          <w:trHeight w:val="291" w:hRule="atLeast"/>
          <w:tblHeader w:val="0"/>
        </w:trPr>
        <w:tc>
          <w:tcP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NOAA training completion certificates </w:t>
            </w:r>
          </w:p>
        </w:tc>
        <w:tc>
          <w:tcP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one week of post award conference meeting</w:t>
            </w:r>
          </w:p>
        </w:tc>
        <w:tc>
          <w:tcP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 Email</w:t>
            </w:r>
          </w:p>
        </w:tc>
        <w:tc>
          <w:tcP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w:t>
            </w:r>
          </w:p>
        </w:tc>
      </w:tr>
      <w:tr>
        <w:trPr>
          <w:cantSplit w:val="0"/>
          <w:trHeight w:val="291" w:hRule="atLeast"/>
          <w:tblHeader w:val="0"/>
        </w:trPr>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Outreach/Training documentation (materials, user guides)</w:t>
            </w:r>
          </w:p>
        </w:tc>
        <w:tc>
          <w:tcP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c>
          <w:tcPr>
            <w:vAlign w:val="cente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TBD</w:t>
            </w:r>
          </w:p>
        </w:tc>
        <w:tc>
          <w:tcPr>
            <w:vAlign w:val="center"/>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POC</w:t>
            </w:r>
          </w:p>
        </w:tc>
      </w:tr>
      <w:tr>
        <w:trPr>
          <w:cantSplit w:val="0"/>
          <w:trHeight w:val="291" w:hRule="atLeast"/>
          <w:tblHeader w:val="0"/>
        </w:trPr>
        <w:tc>
          <w:tcPr>
            <w:vAlign w:val="center"/>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meetings (or more frequent)</w:t>
            </w:r>
          </w:p>
        </w:tc>
        <w:tc>
          <w:tcPr>
            <w:vAlign w:val="cente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or hybrid</w:t>
            </w:r>
          </w:p>
        </w:tc>
        <w:tc>
          <w:tcP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through COR or technical monitor</w:t>
            </w:r>
          </w:p>
        </w:tc>
      </w:tr>
      <w:tr>
        <w:trPr>
          <w:cantSplit w:val="0"/>
          <w:trHeight w:val="291" w:hRule="atLeast"/>
          <w:tblHeader w:val="0"/>
        </w:trPr>
        <w:tc>
          <w:tcPr>
            <w:vAlign w:val="cente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progress report</w:t>
            </w:r>
          </w:p>
        </w:tc>
        <w:tc>
          <w:tcPr>
            <w:vAlign w:val="center"/>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no later than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the following month</w:t>
            </w:r>
          </w:p>
        </w:tc>
        <w:tc>
          <w:tcPr>
            <w:vAlign w:val="center"/>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 Email </w:t>
            </w:r>
          </w:p>
        </w:tc>
        <w:tc>
          <w:tcP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w:t>
            </w:r>
          </w:p>
        </w:tc>
      </w:tr>
      <w:tr>
        <w:trPr>
          <w:cantSplit w:val="0"/>
          <w:trHeight w:val="291" w:hRule="atLeast"/>
          <w:tblHeader w:val="0"/>
        </w:trPr>
        <w:tc>
          <w:tcP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with labor hour tracking report by contractor personnel</w:t>
            </w:r>
          </w:p>
        </w:tc>
        <w:tc>
          <w:tcPr>
            <w:vAlign w:val="cente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no later than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of the following month</w:t>
            </w:r>
          </w:p>
        </w:tc>
        <w:tc>
          <w:tcPr>
            <w:vAlign w:val="cente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 (labor hour tracking to be provided in Excel format)</w:t>
            </w:r>
          </w:p>
        </w:tc>
        <w:tc>
          <w:tcPr>
            <w:vAlign w:val="cente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Processing Platform (IPP)</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6"/>
        </w:numPr>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Labor Categories</w:t>
      </w:r>
      <w:r w:rsidDel="00000000" w:rsidR="00000000" w:rsidRPr="00000000">
        <w:rPr>
          <w:rtl w:val="0"/>
        </w:rPr>
      </w:r>
    </w:p>
    <w:p w:rsidR="00000000" w:rsidDel="00000000" w:rsidP="00000000" w:rsidRDefault="00000000" w:rsidRPr="00000000" w14:paraId="00000034">
      <w:pPr>
        <w:ind w:left="-180" w:firstLine="0"/>
        <w:rPr>
          <w:rFonts w:ascii="Times New Roman" w:cs="Times New Roman" w:eastAsia="Times New Roman" w:hAnsi="Times New Roman"/>
          <w:sz w:val="24"/>
          <w:szCs w:val="24"/>
        </w:rPr>
      </w:pPr>
      <w:bookmarkStart w:colFirst="0" w:colLast="0" w:name="_heading=h.g7amu7fup9lx" w:id="1"/>
      <w:bookmarkEnd w:id="1"/>
      <w:r w:rsidDel="00000000" w:rsidR="00000000" w:rsidRPr="00000000">
        <w:rPr>
          <w:rFonts w:ascii="Times New Roman" w:cs="Times New Roman" w:eastAsia="Times New Roman" w:hAnsi="Times New Roman"/>
          <w:sz w:val="24"/>
          <w:szCs w:val="24"/>
          <w:rtl w:val="0"/>
        </w:rPr>
        <w:t xml:space="preserve">This will be a Time-and-Materials contract. The contractor will provide one or more personnel that meet the following description:</w:t>
      </w:r>
    </w:p>
    <w:p w:rsidR="00000000" w:rsidDel="00000000" w:rsidP="00000000" w:rsidRDefault="00000000" w:rsidRPr="00000000" w14:paraId="00000035">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Technician 5: </w:t>
      </w:r>
      <w:r w:rsidDel="00000000" w:rsidR="00000000" w:rsidRPr="00000000">
        <w:rPr>
          <w:rFonts w:ascii="Times New Roman" w:cs="Times New Roman" w:eastAsia="Times New Roman" w:hAnsi="Times New Roman"/>
          <w:sz w:val="24"/>
          <w:szCs w:val="24"/>
          <w:rtl w:val="0"/>
        </w:rPr>
        <w:t xml:space="preserve">Collects, reviews, and inputs data into a computer processing system; audits output data. May be expected to code data and input data for computer processing.  Identifies and resolves production related errors. Maintains and revises procedural lists, control records and coding schemes to process source data. Must be familiar with a variety of the field's concepts, practices, and procedures. Relies on experience and judgment to plan and accomplish goals. Performs a variety of complicated tasks.  A wide degree of creativity and latitude is expected. </w:t>
      </w:r>
    </w:p>
    <w:p w:rsidR="00000000" w:rsidDel="00000000" w:rsidP="00000000" w:rsidRDefault="00000000" w:rsidRPr="00000000" w14:paraId="00000036">
      <w:pPr>
        <w:numPr>
          <w:ilvl w:val="0"/>
          <w:numId w:val="6"/>
        </w:numPr>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Requirements Summary</w:t>
      </w:r>
      <w:r w:rsidDel="00000000" w:rsidR="00000000" w:rsidRPr="00000000">
        <w:rPr>
          <w:rtl w:val="0"/>
        </w:rPr>
      </w:r>
    </w:p>
    <w:p w:rsidR="00000000" w:rsidDel="00000000" w:rsidP="00000000" w:rsidRDefault="00000000" w:rsidRPr="00000000" w14:paraId="00000037">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contract includes a Performance Requirements Summary (PRS). The PRS plays an integral role in the administration of the contract. In addition to any applicable inspection clauses or other related terms and conditions contained in the contract, the PRS shall serve as a primary tool for inspection and acceptance of services as facilitated by the Contracting Officer’s Representative (COR), with support from the Technical Monitor (TM). Evaluation of the Contractor’s overall performance shall be in accordance with the performance standards set forth in the PRS, and will be conducted by the COR. The PRS constitutes a material aspect of the contract and will not be changed or otherwise modified without prior written approval of the Contracting Officer.</w:t>
      </w:r>
    </w:p>
    <w:p w:rsidR="00000000" w:rsidDel="00000000" w:rsidP="00000000" w:rsidRDefault="00000000" w:rsidRPr="00000000" w14:paraId="00000038">
      <w:pPr>
        <w:tabs>
          <w:tab w:val="left" w:leader="none" w:pos="90"/>
        </w:tabs>
        <w:spacing w:after="1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PRS establishes key elements of Contractor performance that represent “mission essential” service requirements or “Deliverables”, which are identified in the table below. The “Performance Objective” column represents the standard against which Contractor performance will be measured in relation to accomplishment of the corresponding service output. The performance objective or “standard” describes the minimum acceptable level of service by the Contractor for satisfactory performance. The “Acceptable Quality Level (AQL)” column displays the maximum allowable deviation from the performance objective, which, if exceeded, evokes the negative incentive specified in the table below.  </w:t>
      </w:r>
    </w:p>
    <w:p w:rsidR="00000000" w:rsidDel="00000000" w:rsidP="00000000" w:rsidRDefault="00000000" w:rsidRPr="00000000" w14:paraId="00000039">
      <w:pPr>
        <w:tabs>
          <w:tab w:val="left" w:leader="none" w:pos="90"/>
        </w:tabs>
        <w:spacing w:after="160" w:lineRule="auto"/>
        <w:rPr>
          <w:rFonts w:ascii="Times New Roman" w:cs="Times New Roman" w:eastAsia="Times New Roman" w:hAnsi="Times New Roman"/>
          <w:sz w:val="24"/>
          <w:szCs w:val="24"/>
        </w:rPr>
      </w:pPr>
      <w:r w:rsidDel="00000000" w:rsidR="00000000" w:rsidRPr="00000000">
        <w:rPr>
          <w:rtl w:val="0"/>
        </w:rPr>
      </w:r>
    </w:p>
    <w:tbl>
      <w:tblPr>
        <w:tblStyle w:val="Table2"/>
        <w:tblW w:w="9720.0" w:type="dxa"/>
        <w:jc w:val="left"/>
        <w:tblInd w:w="-100.0" w:type="dxa"/>
        <w:tblLayout w:type="fixed"/>
        <w:tblLook w:val="0400"/>
      </w:tblPr>
      <w:tblGrid>
        <w:gridCol w:w="2610"/>
        <w:gridCol w:w="2091"/>
        <w:gridCol w:w="2181"/>
        <w:gridCol w:w="2838"/>
        <w:tblGridChange w:id="0">
          <w:tblGrid>
            <w:gridCol w:w="2610"/>
            <w:gridCol w:w="2091"/>
            <w:gridCol w:w="2181"/>
            <w:gridCol w:w="2838"/>
          </w:tblGrid>
        </w:tblGridChange>
      </w:tblGrid>
      <w:tr>
        <w:trPr>
          <w:cantSplit w:val="0"/>
          <w:trHeight w:val="590"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w:t>
            </w:r>
            <w:r w:rsidDel="00000000" w:rsidR="00000000" w:rsidRPr="00000000">
              <w:rPr>
                <w:rtl w:val="0"/>
              </w:rPr>
            </w:r>
          </w:p>
          <w:p w:rsidR="00000000" w:rsidDel="00000000" w:rsidP="00000000" w:rsidRDefault="00000000" w:rsidRPr="00000000" w14:paraId="0000003B">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w:t>
            </w:r>
            <w:r w:rsidDel="00000000" w:rsidR="00000000" w:rsidRPr="00000000">
              <w:rPr>
                <w:rtl w:val="0"/>
              </w:rPr>
            </w:r>
          </w:p>
          <w:p w:rsidR="00000000" w:rsidDel="00000000" w:rsidP="00000000" w:rsidRDefault="00000000" w:rsidRPr="00000000" w14:paraId="0000003D">
            <w:pPr>
              <w:spacing w:after="2" w:line="23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  </w:t>
            </w:r>
            <w:r w:rsidDel="00000000" w:rsidR="00000000" w:rsidRPr="00000000">
              <w:rPr>
                <w:rtl w:val="0"/>
              </w:rPr>
            </w:r>
          </w:p>
          <w:p w:rsidR="00000000" w:rsidDel="00000000" w:rsidP="00000000" w:rsidRDefault="00000000" w:rsidRPr="00000000" w14:paraId="0000003E">
            <w:pPr>
              <w:spacing w:line="259" w:lineRule="auto"/>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 of  </w:t>
            </w:r>
            <w:r w:rsidDel="00000000" w:rsidR="00000000" w:rsidRPr="00000000">
              <w:rPr>
                <w:rtl w:val="0"/>
              </w:rPr>
            </w:r>
          </w:p>
          <w:p w:rsidR="00000000" w:rsidDel="00000000" w:rsidP="00000000" w:rsidRDefault="00000000" w:rsidRPr="00000000" w14:paraId="0000004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Surveillance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Incentive / </w:t>
            </w:r>
            <w:r w:rsidDel="00000000" w:rsidR="00000000" w:rsidRPr="00000000">
              <w:rPr>
                <w:rtl w:val="0"/>
              </w:rPr>
            </w:r>
          </w:p>
          <w:p w:rsidR="00000000" w:rsidDel="00000000" w:rsidP="00000000" w:rsidRDefault="00000000" w:rsidRPr="00000000" w14:paraId="0000004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Disincentive </w:t>
            </w:r>
            <w:r w:rsidDel="00000000" w:rsidR="00000000" w:rsidRPr="00000000">
              <w:rPr>
                <w:rtl w:val="0"/>
              </w:rPr>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 shall initiate task coordination and resource planning within 7 days of award notice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Acceptable Time = 95%;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w:t>
            </w:r>
          </w:p>
          <w:p w:rsidR="00000000" w:rsidDel="00000000" w:rsidP="00000000" w:rsidRDefault="00000000" w:rsidRPr="00000000" w14:paraId="00000046">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COR and input/discussion with customers and stakeholders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4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the   </w:t>
            </w:r>
          </w:p>
          <w:p w:rsidR="00000000" w:rsidDel="00000000" w:rsidP="00000000" w:rsidRDefault="00000000" w:rsidRPr="00000000" w14:paraId="0000004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 </w:t>
            </w:r>
          </w:p>
          <w:p w:rsidR="00000000" w:rsidDel="00000000" w:rsidP="00000000" w:rsidRDefault="00000000" w:rsidRPr="00000000" w14:paraId="0000004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w:t>
            </w:r>
          </w:p>
          <w:p w:rsidR="00000000" w:rsidDel="00000000" w:rsidP="00000000" w:rsidRDefault="00000000" w:rsidRPr="00000000" w14:paraId="0000004B">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Reporting   </w:t>
            </w:r>
          </w:p>
          <w:p w:rsidR="00000000" w:rsidDel="00000000" w:rsidP="00000000" w:rsidRDefault="00000000" w:rsidRPr="00000000" w14:paraId="0000004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 shall require all employee resources to complete security documentation and training within 7 days of Contractor personnel receipt of government furnished equipment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w:t>
            </w:r>
          </w:p>
          <w:p w:rsidR="00000000" w:rsidDel="00000000" w:rsidP="00000000" w:rsidRDefault="00000000" w:rsidRPr="00000000" w14:paraId="0000004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Acceptable </w:t>
            </w:r>
          </w:p>
          <w:p w:rsidR="00000000" w:rsidDel="00000000" w:rsidP="00000000" w:rsidRDefault="00000000" w:rsidRPr="00000000" w14:paraId="0000005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 95%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communication with COR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 cannot invoice for employee resources until they have passed the initial screening</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Contractor shall employ appropriate resources to intake each application in a timely  </w:t>
            </w:r>
          </w:p>
          <w:p w:rsidR="00000000" w:rsidDel="00000000" w:rsidP="00000000" w:rsidRDefault="00000000" w:rsidRPr="00000000" w14:paraId="00000054">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manner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Minimum Acceptable Quality = 95%; Applications entered within 2 business days of receipt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by the TM/COR and input/discussion with customers and stakeholders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5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5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Contractor </w:t>
            </w:r>
          </w:p>
          <w:p w:rsidR="00000000" w:rsidDel="00000000" w:rsidP="00000000" w:rsidRDefault="00000000" w:rsidRPr="00000000" w14:paraId="0000005B">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shall   </w:t>
            </w:r>
          </w:p>
          <w:p w:rsidR="00000000" w:rsidDel="00000000" w:rsidP="00000000" w:rsidRDefault="00000000" w:rsidRPr="00000000" w14:paraId="0000005C">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complete, accurate and on-time monthly reports which indicate resources   deployed, progress and estimated completion date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Minimum Acceptable </w:t>
            </w:r>
          </w:p>
          <w:p w:rsidR="00000000" w:rsidDel="00000000" w:rsidP="00000000" w:rsidRDefault="00000000" w:rsidRPr="00000000" w14:paraId="0000005E">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Level = 90%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w:t>
            </w:r>
          </w:p>
          <w:p w:rsidR="00000000" w:rsidDel="00000000" w:rsidP="00000000" w:rsidRDefault="00000000" w:rsidRPr="00000000" w14:paraId="0000006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by the TM and  </w:t>
            </w:r>
          </w:p>
          <w:p w:rsidR="00000000" w:rsidDel="00000000" w:rsidP="00000000" w:rsidRDefault="00000000" w:rsidRPr="00000000" w14:paraId="0000006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input/discussion   with customers and stakeholders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6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64">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Contractor’s project leader shall meet monthly with NOAA Fisheries</w:t>
            </w:r>
          </w:p>
          <w:p w:rsidR="00000000" w:rsidDel="00000000" w:rsidP="00000000" w:rsidRDefault="00000000" w:rsidRPr="00000000" w14:paraId="00000066">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staff to discuss, plan and coordinate tasks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Minimum Acceptable Level = 90%</w:t>
            </w:r>
          </w:p>
          <w:p w:rsidR="00000000" w:rsidDel="00000000" w:rsidP="00000000" w:rsidRDefault="00000000" w:rsidRPr="00000000" w14:paraId="00000068">
            <w:pPr>
              <w:spacing w:line="259" w:lineRule="auto"/>
              <w:rPr>
                <w:rFonts w:ascii="Times New Roman" w:cs="Times New Roman" w:eastAsia="Times New Roman" w:hAnsi="Times New Roman"/>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by the TM and input/discussion with customers and stakeholders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6B">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6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Contractor shall   provide acceptable   customer service including responsiveness to contract needs and problem resolution Customer Service shall be provided in collaboration, consultation, and partnership with   customers and   </w:t>
            </w:r>
          </w:p>
          <w:p w:rsidR="00000000" w:rsidDel="00000000" w:rsidP="00000000" w:rsidRDefault="00000000" w:rsidRPr="00000000" w14:paraId="0000006E">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Stakeholders.</w:t>
            </w:r>
          </w:p>
          <w:p w:rsidR="00000000" w:rsidDel="00000000" w:rsidP="00000000" w:rsidRDefault="00000000" w:rsidRPr="00000000" w14:paraId="0000006F">
            <w:pPr>
              <w:spacing w:line="259"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0">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Contractor shall   acknowledge customer inquiries and customers are apprised of the status of the inquiry and when to expect resolution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2">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Inquiry is acknowledged promptly   </w:t>
            </w:r>
          </w:p>
          <w:p w:rsidR="00000000" w:rsidDel="00000000" w:rsidP="00000000" w:rsidRDefault="00000000" w:rsidRPr="00000000" w14:paraId="00000073">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Contractor provides expected resolution time within 24 hours.   </w:t>
            </w:r>
          </w:p>
          <w:p w:rsidR="00000000" w:rsidDel="00000000" w:rsidP="00000000" w:rsidRDefault="00000000" w:rsidRPr="00000000" w14:paraId="00000074">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Inquiry is resolved within resolution time provided by the Contractor   </w:t>
            </w:r>
          </w:p>
          <w:p w:rsidR="00000000" w:rsidDel="00000000" w:rsidP="00000000" w:rsidRDefault="00000000" w:rsidRPr="00000000" w14:paraId="00000075">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Inquiry is adequately resolved to the customer’s satisfaction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by the COR or TM and   input/discussion   with customers and stakeholders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7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7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contractor shall develop user guides and training materials, as requested, and submit them by the agreed upon due date to the TM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Minimum Acceptable Level = 90%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by the COR or TM and   input/discussion   with customers and stakeholders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7E">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7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Required filing and record management will occur within 1 business day of the complete record being generated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spacing w:line="259"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Minimum Acceptable Level = 90%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by the COR or TM and   input/discussion   with customers and stakeholders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84">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8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r>
        <w:trPr>
          <w:cantSplit w:val="0"/>
          <w:trHeight w:val="5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Contractor shall   maintain continuity of service and level of   expertise throughout the period of performance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Vacancies are filled in a timely manner to avoid a gap in service.   </w:t>
            </w:r>
          </w:p>
          <w:p w:rsidR="00000000" w:rsidDel="00000000" w:rsidP="00000000" w:rsidRDefault="00000000" w:rsidRPr="00000000" w14:paraId="0000008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 possess the skills sets necessary to perform work as described in the PWS and skill sets are equivalent to the labor category for which they are proposed.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direct   observation by the COR or TM and   input/discussion   with customers and stakeholders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performance </w:t>
            </w:r>
          </w:p>
          <w:p w:rsidR="00000000" w:rsidDel="00000000" w:rsidP="00000000" w:rsidRDefault="00000000" w:rsidRPr="00000000" w14:paraId="0000008B">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captured in </w:t>
            </w:r>
          </w:p>
          <w:p w:rsidR="00000000" w:rsidDel="00000000" w:rsidP="00000000" w:rsidRDefault="00000000" w:rsidRPr="00000000" w14:paraId="0000008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CPARS</w:t>
            </w:r>
          </w:p>
        </w:tc>
      </w:tr>
    </w:tbl>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6"/>
        </w:numPr>
        <w:spacing w:after="0" w:line="240" w:lineRule="auto"/>
        <w:ind w:left="-1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Period of Performance</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tl w:val="0"/>
        </w:rPr>
      </w:r>
    </w:p>
    <w:p w:rsidR="00000000" w:rsidDel="00000000" w:rsidP="00000000" w:rsidRDefault="00000000" w:rsidRPr="00000000" w14:paraId="0000008F">
      <w:pPr>
        <w:spacing w:after="0" w:line="240" w:lineRule="auto"/>
        <w:ind w:left="-1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Period: September 30, 2026 – September 29, 2027</w:t>
      </w:r>
    </w:p>
    <w:p w:rsidR="00000000" w:rsidDel="00000000" w:rsidP="00000000" w:rsidRDefault="00000000" w:rsidRPr="00000000" w14:paraId="00000091">
      <w:pPr>
        <w:spacing w:after="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Year 1: September 30, 2027 – September 29, 2028</w:t>
      </w:r>
    </w:p>
    <w:p w:rsidR="00000000" w:rsidDel="00000000" w:rsidP="00000000" w:rsidRDefault="00000000" w:rsidRPr="00000000" w14:paraId="00000092">
      <w:pPr>
        <w:spacing w:after="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Year 2: September 30, 2028 – September 29, 2029</w:t>
      </w:r>
    </w:p>
    <w:p w:rsidR="00000000" w:rsidDel="00000000" w:rsidP="00000000" w:rsidRDefault="00000000" w:rsidRPr="00000000" w14:paraId="00000093">
      <w:pPr>
        <w:spacing w:after="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Year 3: September 30, 2029 – September 29, 2030</w:t>
      </w:r>
    </w:p>
    <w:p w:rsidR="00000000" w:rsidDel="00000000" w:rsidP="00000000" w:rsidRDefault="00000000" w:rsidRPr="00000000" w14:paraId="0000009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numPr>
          <w:ilvl w:val="0"/>
          <w:numId w:val="6"/>
        </w:numPr>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 of Performance </w:t>
      </w:r>
      <w:r w:rsidDel="00000000" w:rsidR="00000000" w:rsidRPr="00000000">
        <w:rPr>
          <w:rtl w:val="0"/>
        </w:rPr>
      </w:r>
    </w:p>
    <w:p w:rsidR="00000000" w:rsidDel="00000000" w:rsidP="00000000" w:rsidRDefault="00000000" w:rsidRPr="00000000" w14:paraId="00000096">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work will be performed either at the NOAA Fisheries, Alaska Region office at 709 West 9th Street in Juneau, AK, or at a location of the Contractor’s discretion and agreed to by the government.  </w:t>
      </w:r>
    </w:p>
    <w:p w:rsidR="00000000" w:rsidDel="00000000" w:rsidP="00000000" w:rsidRDefault="00000000" w:rsidRPr="00000000" w14:paraId="00000097">
      <w:pPr>
        <w:numPr>
          <w:ilvl w:val="0"/>
          <w:numId w:val="6"/>
        </w:numPr>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Operational Hours </w:t>
      </w:r>
      <w:r w:rsidDel="00000000" w:rsidR="00000000" w:rsidRPr="00000000">
        <w:rPr>
          <w:rtl w:val="0"/>
        </w:rPr>
      </w:r>
    </w:p>
    <w:p w:rsidR="00000000" w:rsidDel="00000000" w:rsidP="00000000" w:rsidRDefault="00000000" w:rsidRPr="00000000" w14:paraId="00000098">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is responsible for conducting business, between the hours of 0800-1700 AKST Monday through Friday, except Federal holidays. </w:t>
      </w:r>
    </w:p>
    <w:p w:rsidR="00000000" w:rsidDel="00000000" w:rsidP="00000000" w:rsidRDefault="00000000" w:rsidRPr="00000000" w14:paraId="00000099">
      <w:pPr>
        <w:numPr>
          <w:ilvl w:val="0"/>
          <w:numId w:val="6"/>
        </w:numPr>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Removing Contractors for Misconduct or Security Reasons</w:t>
      </w:r>
      <w:r w:rsidDel="00000000" w:rsidR="00000000" w:rsidRPr="00000000">
        <w:rPr>
          <w:rtl w:val="0"/>
        </w:rPr>
      </w:r>
    </w:p>
    <w:p w:rsidR="00000000" w:rsidDel="00000000" w:rsidP="00000000" w:rsidRDefault="00000000" w:rsidRPr="00000000" w14:paraId="0000009A">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may, at its sole discretion (in coordination with the Contracting Officer where practical), direct the Contractor to remove any Contractor employee from NOAA facilities for misconduct or security reasons.  Removal does not relieve the Contractor of the responsibility to continue providing the services required under the contract. The Contracting Officer will provide the Contractor with a written explanation to support any request to remove a Contractor.</w:t>
      </w:r>
    </w:p>
    <w:p w:rsidR="00000000" w:rsidDel="00000000" w:rsidP="00000000" w:rsidRDefault="00000000" w:rsidRPr="00000000" w14:paraId="0000009B">
      <w:pPr>
        <w:numPr>
          <w:ilvl w:val="0"/>
          <w:numId w:val="6"/>
        </w:numPr>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Post-Award Conference </w:t>
      </w:r>
      <w:r w:rsidDel="00000000" w:rsidR="00000000" w:rsidRPr="00000000">
        <w:rPr>
          <w:rtl w:val="0"/>
        </w:rPr>
      </w:r>
    </w:p>
    <w:p w:rsidR="00000000" w:rsidDel="00000000" w:rsidP="00000000" w:rsidRDefault="00000000" w:rsidRPr="00000000" w14:paraId="0000009C">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shall attend a post-award conference with the Contracting Officer, COR, and Project Lead/Technical Monitor no later than 10 business days after the date of award.  The purpose of the purchase order conference is to set the standards of performance, clarify details, place of performance, building access time, communication channels, required training, and progress report and invoicing details.  The Post-award conference will be held at the Government’s facility or via teleconference.</w:t>
      </w:r>
    </w:p>
    <w:p w:rsidR="00000000" w:rsidDel="00000000" w:rsidP="00000000" w:rsidRDefault="00000000" w:rsidRPr="00000000" w14:paraId="0000009D">
      <w:pPr>
        <w:numPr>
          <w:ilvl w:val="0"/>
          <w:numId w:val="6"/>
        </w:numPr>
        <w:tabs>
          <w:tab w:val="left" w:leader="none" w:pos="450"/>
        </w:tabs>
        <w:spacing w:after="280" w:before="28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Government-Furnished Resources </w:t>
      </w:r>
      <w:r w:rsidDel="00000000" w:rsidR="00000000" w:rsidRPr="00000000">
        <w:rPr>
          <w:rtl w:val="0"/>
        </w:rPr>
      </w:r>
    </w:p>
    <w:p w:rsidR="00000000" w:rsidDel="00000000" w:rsidP="00000000" w:rsidRDefault="00000000" w:rsidRPr="00000000" w14:paraId="0000009E">
      <w:pPr>
        <w:spacing w:after="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contractor personnel choose to work onsite, the Government will provide the facilities, equipment, utilities, and/or services listed below:  </w:t>
      </w:r>
    </w:p>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NOAA Fisheries Alaska Region will furnish access to computer equipment, telephone and work space for contractor personnel working on-site, as required and under the latest set of security regulations. All utilities, printing and standard office use of the facility will be available for the Contractor’s in performance of duties outlined in this PWS. The Contractor shall be responsible for operating under conditions that preclude any undue waste.</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Government will provide required software, software licenses, and replacement components for IT equipment as necessary.  </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Government will provide access to relevant systems</w:t>
      </w:r>
      <w:r w:rsidDel="00000000" w:rsidR="00000000" w:rsidRPr="00000000">
        <w:rPr>
          <w:rFonts w:ascii="Times New Roman" w:cs="Times New Roman" w:eastAsia="Times New Roman" w:hAnsi="Times New Roman"/>
          <w:sz w:val="24"/>
          <w:szCs w:val="24"/>
          <w:rtl w:val="0"/>
        </w:rPr>
        <w:t xml:space="preserve">, allowing</w:t>
      </w:r>
      <w:r w:rsidDel="00000000" w:rsidR="00000000" w:rsidRPr="00000000">
        <w:rPr>
          <w:rFonts w:ascii="Times New Roman" w:cs="Times New Roman" w:eastAsia="Times New Roman" w:hAnsi="Times New Roman"/>
          <w:color w:val="000000"/>
          <w:sz w:val="24"/>
          <w:szCs w:val="24"/>
          <w:rtl w:val="0"/>
        </w:rPr>
        <w:t xml:space="preserve"> Contractor personnel to view, edit, and add documentation to site and projects as needed.  </w:t>
      </w:r>
    </w:p>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will provide to the Contractor the following equipment, supplies, and similar, necessary to conduct these services and anticipates facility and security access as follows:</w:t>
      </w:r>
    </w:p>
    <w:p w:rsidR="00000000" w:rsidDel="00000000" w:rsidP="00000000" w:rsidRDefault="00000000" w:rsidRPr="00000000" w14:paraId="000000A5">
      <w:pPr>
        <w:spacing w:after="0" w:line="240" w:lineRule="auto"/>
        <w:ind w:left="1620" w:firstLine="0"/>
        <w:rPr>
          <w:rFonts w:ascii="Times New Roman" w:cs="Times New Roman" w:eastAsia="Times New Roman" w:hAnsi="Times New Roman"/>
          <w:sz w:val="24"/>
          <w:szCs w:val="24"/>
        </w:rPr>
      </w:pPr>
      <w:r w:rsidDel="00000000" w:rsidR="00000000" w:rsidRPr="00000000">
        <w:rPr>
          <w:rtl w:val="0"/>
        </w:rPr>
      </w:r>
    </w:p>
    <w:tbl>
      <w:tblPr>
        <w:tblStyle w:val="Table3"/>
        <w:tblW w:w="10232.0" w:type="dxa"/>
        <w:jc w:val="left"/>
        <w:tblInd w:w="-3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3"/>
        <w:gridCol w:w="2324"/>
        <w:gridCol w:w="2415"/>
        <w:tblGridChange w:id="0">
          <w:tblGrid>
            <w:gridCol w:w="5493"/>
            <w:gridCol w:w="2324"/>
            <w:gridCol w:w="2415"/>
          </w:tblGrid>
        </w:tblGridChange>
      </w:tblGrid>
      <w:tr>
        <w:trPr>
          <w:cantSplit w:val="0"/>
          <w:trHeight w:val="252" w:hRule="atLeast"/>
          <w:tblHeader w:val="0"/>
        </w:trPr>
        <w:tc>
          <w:tcPr/>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will work primarily:</w:t>
            </w:r>
          </w:p>
        </w:tc>
        <w:tc>
          <w:tcPr/>
          <w:p w:rsidR="00000000" w:rsidDel="00000000" w:rsidP="00000000" w:rsidRDefault="00000000" w:rsidRPr="00000000" w14:paraId="000000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On-Site (Optional)</w:t>
            </w:r>
          </w:p>
        </w:tc>
        <w:tc>
          <w:tcPr/>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Off-Site</w:t>
            </w:r>
          </w:p>
        </w:tc>
      </w:tr>
      <w:tr>
        <w:trPr>
          <w:cantSplit w:val="0"/>
          <w:trHeight w:val="519" w:hRule="atLeast"/>
          <w:tblHeader w:val="0"/>
        </w:trPr>
        <w:tc>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requires access to NOAA facilities:</w:t>
            </w:r>
          </w:p>
        </w:tc>
        <w:tc>
          <w:tcPr/>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 – for onsite personnel only</w:t>
            </w:r>
          </w:p>
        </w:tc>
        <w:tc>
          <w:tcPr/>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Required</w:t>
            </w:r>
          </w:p>
        </w:tc>
      </w:tr>
      <w:tr>
        <w:trPr>
          <w:cantSplit w:val="0"/>
          <w:trHeight w:val="252" w:hRule="atLeast"/>
          <w:tblHeader w:val="0"/>
        </w:trPr>
        <w:tc>
          <w:tcPr/>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requires a PIV or CAC:</w:t>
            </w:r>
          </w:p>
        </w:tc>
        <w:tc>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w:t>
            </w:r>
          </w:p>
        </w:tc>
        <w:tc>
          <w:tcPr/>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Required</w:t>
            </w:r>
          </w:p>
        </w:tc>
      </w:tr>
      <w:tr>
        <w:trPr>
          <w:cantSplit w:val="0"/>
          <w:trHeight w:val="505" w:hRule="atLeast"/>
          <w:tblHeader w:val="0"/>
        </w:trPr>
        <w:tc>
          <w:tcPr/>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requires a NOAA email address:</w:t>
            </w:r>
          </w:p>
        </w:tc>
        <w:tc>
          <w:tcPr/>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w:t>
            </w:r>
          </w:p>
        </w:tc>
        <w:tc>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Required</w:t>
            </w:r>
          </w:p>
        </w:tc>
      </w:tr>
      <w:tr>
        <w:trPr>
          <w:cantSplit w:val="0"/>
          <w:trHeight w:val="519" w:hRule="atLeast"/>
          <w:tblHeader w:val="0"/>
        </w:trPr>
        <w:tc>
          <w:tcPr/>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requires use of DOC-Owned IT equipment (laptop or desktop computer)</w:t>
            </w:r>
          </w:p>
        </w:tc>
        <w:tc>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 – for onsite personnel only</w:t>
            </w:r>
          </w:p>
        </w:tc>
        <w:tc>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Required</w:t>
            </w:r>
          </w:p>
        </w:tc>
      </w:tr>
      <w:tr>
        <w:trPr>
          <w:cantSplit w:val="0"/>
          <w:trHeight w:val="505" w:hRule="atLeast"/>
          <w:tblHeader w:val="0"/>
        </w:trPr>
        <w:tc>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requires non-Government IT equipment to connect to a DOC network:</w:t>
            </w:r>
          </w:p>
        </w:tc>
        <w:tc>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w:t>
            </w:r>
          </w:p>
        </w:tc>
        <w:tc>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Not Required – for onsite personnel only</w:t>
            </w:r>
          </w:p>
        </w:tc>
      </w:tr>
      <w:tr>
        <w:trPr>
          <w:cantSplit w:val="0"/>
          <w:trHeight w:val="505" w:hRule="atLeast"/>
          <w:tblHeader w:val="0"/>
        </w:trPr>
        <w:tc>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requires access to non-public DOC/NOAA data:</w:t>
            </w:r>
          </w:p>
        </w:tc>
        <w:tc>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w:t>
            </w:r>
          </w:p>
        </w:tc>
        <w:tc>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Required</w:t>
            </w:r>
          </w:p>
        </w:tc>
      </w:tr>
      <w:tr>
        <w:trPr>
          <w:cantSplit w:val="0"/>
          <w:trHeight w:val="1039" w:hRule="atLeast"/>
          <w:tblHeader w:val="0"/>
        </w:trPr>
        <w:tc>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Contractor will be provided on-site office space with incidental Government Property </w:t>
            </w:r>
            <w:r w:rsidDel="00000000" w:rsidR="00000000" w:rsidRPr="00000000">
              <w:rPr>
                <w:rFonts w:ascii="Times New Roman" w:cs="Times New Roman" w:eastAsia="Times New Roman" w:hAnsi="Times New Roman"/>
                <w:i w:val="1"/>
                <w:iCs w:val="1"/>
                <w:sz w:val="24"/>
                <w:szCs w:val="24"/>
                <w:rtl w:val="0"/>
              </w:rPr>
              <w:t xml:space="preserve">(desk, chair, phone, and other similar equipment that remains onsite, per FAR 45.000 (5) </w:t>
            </w:r>
            <w:r w:rsidDel="00000000" w:rsidR="00000000" w:rsidRPr="00000000">
              <w:rPr>
                <w:rtl w:val="0"/>
              </w:rPr>
            </w:r>
          </w:p>
        </w:tc>
        <w:tc>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Required – for onsite personnel only</w:t>
            </w:r>
          </w:p>
        </w:tc>
        <w:tc>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Provided</w:t>
            </w:r>
          </w:p>
        </w:tc>
      </w:tr>
      <w:tr>
        <w:trPr>
          <w:cantSplit w:val="0"/>
          <w:trHeight w:val="758" w:hRule="atLeast"/>
          <w:tblHeader w:val="0"/>
        </w:trPr>
        <w:tc>
          <w:tcPr/>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other access or equipment requirements not already addressed above:</w:t>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3">
      <w:pPr>
        <w:ind w:lef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numPr>
          <w:ilvl w:val="0"/>
          <w:numId w:val="6"/>
        </w:numPr>
        <w:ind w:left="-1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Travel, and Training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5">
      <w:pPr>
        <w:ind w:left="-180" w:firstLine="0"/>
        <w:rPr>
          <w:rFonts w:ascii="Times New Roman" w:cs="Times New Roman" w:eastAsia="Times New Roman" w:hAnsi="Times New Roman"/>
          <w:sz w:val="24"/>
          <w:szCs w:val="24"/>
        </w:rPr>
      </w:pPr>
      <w:bookmarkStart w:colFirst="0" w:colLast="0" w:name="_heading=h.qqk4lybgbm82" w:id="2"/>
      <w:bookmarkEnd w:id="2"/>
      <w:r w:rsidDel="00000000" w:rsidR="00000000" w:rsidRPr="00000000">
        <w:rPr>
          <w:rFonts w:ascii="Times New Roman" w:cs="Times New Roman" w:eastAsia="Times New Roman" w:hAnsi="Times New Roman"/>
          <w:sz w:val="24"/>
          <w:szCs w:val="24"/>
          <w:u w:val="single"/>
          <w:rtl w:val="0"/>
        </w:rPr>
        <w:t xml:space="preserve">Training: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is authorized for NMFS/NOAA/DOC specific systems and requirements.  Completion certificates must be submitted to the COR. The following training is currently required to be completed under this Contract.  </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pacing w:after="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NOAA IT security </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pacing w:after="0" w:lineRule="auto"/>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Records Management 101 </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ind w:left="5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Contractor-provided Sexual Assault/Sexual Harassment Prevention and Response Training IAW NAM 1330-52.222-70(b)(6) </w:t>
      </w:r>
    </w:p>
    <w:p w:rsidR="00000000" w:rsidDel="00000000" w:rsidP="00000000" w:rsidRDefault="00000000" w:rsidRPr="00000000" w14:paraId="000000CA">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all training for Contractor resources shall be provided by the Contractor.  The only exception will be for NOAA specific training that is not available on the open market.  If a Contractor needs training on NOAA specific software, the training shall be approved and coordinated in advance with the COR and Technical Monitor. </w:t>
      </w:r>
    </w:p>
    <w:p w:rsidR="00000000" w:rsidDel="00000000" w:rsidP="00000000" w:rsidRDefault="00000000" w:rsidRPr="00000000" w14:paraId="000000CB">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Travel: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ind w:left="-180" w:firstLine="0"/>
        <w:rPr>
          <w:sz w:val="24"/>
          <w:szCs w:val="24"/>
          <w:u w:val="single"/>
        </w:rPr>
      </w:pPr>
      <w:r w:rsidDel="00000000" w:rsidR="00000000" w:rsidRPr="00000000">
        <w:rPr>
          <w:rFonts w:ascii="Times New Roman" w:cs="Times New Roman" w:eastAsia="Times New Roman" w:hAnsi="Times New Roman"/>
          <w:sz w:val="24"/>
          <w:szCs w:val="24"/>
          <w:rtl w:val="0"/>
        </w:rPr>
        <w:t xml:space="preserve">Travel is not anticipated under this contract.</w:t>
      </w:r>
      <w:r w:rsidDel="00000000" w:rsidR="00000000" w:rsidRPr="00000000">
        <w:rPr>
          <w:rtl w:val="0"/>
        </w:rPr>
      </w:r>
    </w:p>
    <w:p w:rsidR="00000000" w:rsidDel="00000000" w:rsidP="00000000" w:rsidRDefault="00000000" w:rsidRPr="00000000" w14:paraId="000000CD">
      <w:pPr>
        <w:numPr>
          <w:ilvl w:val="0"/>
          <w:numId w:val="6"/>
        </w:numPr>
        <w:tabs>
          <w:tab w:val="left" w:leader="none" w:pos="540"/>
        </w:tabs>
        <w:spacing w:after="240" w:before="28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Requirements</w:t>
      </w:r>
      <w:r w:rsidDel="00000000" w:rsidR="00000000" w:rsidRPr="00000000">
        <w:rPr>
          <w:rtl w:val="0"/>
        </w:rPr>
      </w:r>
    </w:p>
    <w:p w:rsidR="00000000" w:rsidDel="00000000" w:rsidP="00000000" w:rsidRDefault="00000000" w:rsidRPr="00000000" w14:paraId="000000CE">
      <w:pPr>
        <w:tabs>
          <w:tab w:val="left" w:leader="none" w:pos="540"/>
        </w:tabs>
        <w:spacing w:after="240" w:before="280" w:line="240" w:lineRule="auto"/>
        <w:ind w:left="-180" w:firstLine="0"/>
        <w:rPr>
          <w:rFonts w:ascii="Times New Roman" w:cs="Times New Roman" w:eastAsia="Times New Roman" w:hAnsi="Times New Roman"/>
          <w:sz w:val="24"/>
          <w:szCs w:val="24"/>
        </w:rPr>
      </w:pPr>
      <w:bookmarkStart w:colFirst="0" w:colLast="0" w:name="_heading=h.vc0m3cat0txr" w:id="3"/>
      <w:bookmarkEnd w:id="3"/>
      <w:r w:rsidDel="00000000" w:rsidR="00000000" w:rsidRPr="00000000">
        <w:rPr>
          <w:rFonts w:ascii="Times New Roman" w:cs="Times New Roman" w:eastAsia="Times New Roman" w:hAnsi="Times New Roman"/>
          <w:sz w:val="24"/>
          <w:szCs w:val="24"/>
          <w:rtl w:val="0"/>
        </w:rPr>
        <w:t xml:space="preserve">The suitability or risk level for this work has been determined to be Low. As such, the Contractor shall pre-screen their employees to disqualify anyone who does not meet the following criteria: Individuals on this contract must be eligible for approval of a Common Access Card (CAC) credential and be able to comply with the security requirement set forth in CAR 1352.237-70. Each Contractor employee that is devoted to this task will be required to provide fingerprints and a background investigation. </w:t>
      </w:r>
    </w:p>
    <w:p w:rsidR="00000000" w:rsidDel="00000000" w:rsidP="00000000" w:rsidRDefault="00000000" w:rsidRPr="00000000" w14:paraId="000000CF">
      <w:pPr>
        <w:tabs>
          <w:tab w:val="left" w:leader="none" w:pos="540"/>
        </w:tabs>
        <w:spacing w:after="240" w:before="28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personnel will be required to obtain a Common Access Card (CAC) and maintain a NOAA.gov email account. The security process can take from two to eight weeks to complete before a CAC can be issued, and therefore it is imperative to respond to government requests quickly and completely. New resources to the contract shall provide the requested information within 5 days of notification.</w:t>
      </w:r>
    </w:p>
    <w:p w:rsidR="00000000" w:rsidDel="00000000" w:rsidP="00000000" w:rsidRDefault="00000000" w:rsidRPr="00000000" w14:paraId="000000D0">
      <w:pPr>
        <w:tabs>
          <w:tab w:val="left" w:leader="none" w:pos="540"/>
        </w:tabs>
        <w:spacing w:after="240" w:before="28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must meet the Department of Commerce Enterprise Cybersecurity Policy (found at </w:t>
      </w:r>
      <w:hyperlink r:id="rId7">
        <w:r w:rsidDel="00000000" w:rsidR="00000000" w:rsidRPr="00000000">
          <w:rPr>
            <w:rFonts w:ascii="Times New Roman" w:cs="Times New Roman" w:eastAsia="Times New Roman" w:hAnsi="Times New Roman"/>
            <w:color w:val="0000ff"/>
            <w:sz w:val="24"/>
            <w:szCs w:val="24"/>
            <w:u w:val="single"/>
            <w:rtl w:val="0"/>
          </w:rPr>
          <w:t xml:space="preserve">https://connection.commerce.gov/collection/it-security-policy-and-fisma-reporting-program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numPr>
          <w:ilvl w:val="0"/>
          <w:numId w:val="6"/>
        </w:numPr>
        <w:tabs>
          <w:tab w:val="left" w:leader="none" w:pos="450"/>
        </w:tabs>
        <w:spacing w:after="240" w:before="28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 Requirements</w:t>
      </w:r>
      <w:r w:rsidDel="00000000" w:rsidR="00000000" w:rsidRPr="00000000">
        <w:rPr>
          <w:rtl w:val="0"/>
        </w:rPr>
      </w:r>
    </w:p>
    <w:p w:rsidR="00000000" w:rsidDel="00000000" w:rsidP="00000000" w:rsidRDefault="00000000" w:rsidRPr="00000000" w14:paraId="000000D2">
      <w:pPr>
        <w:numPr>
          <w:ilvl w:val="0"/>
          <w:numId w:val="3"/>
        </w:numPr>
        <w:tabs>
          <w:tab w:val="left" w:leader="none" w:pos="450"/>
        </w:tabs>
        <w:spacing w:after="24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and Data Privacy</w:t>
      </w:r>
    </w:p>
    <w:p w:rsidR="00000000" w:rsidDel="00000000" w:rsidP="00000000" w:rsidRDefault="00000000" w:rsidRPr="00000000" w14:paraId="000000D3">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contract may require that services contractors have access to Privacy Information. Service contractors are responsible for maintaining confidentiality of all subjects and materials and may be required to sign and adhere to a Non-disclosure Agreement (NDA).</w:t>
      </w:r>
    </w:p>
    <w:p w:rsidR="00000000" w:rsidDel="00000000" w:rsidP="00000000" w:rsidRDefault="00000000" w:rsidRPr="00000000" w14:paraId="000000D4">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Intellectual Property Rights</w:t>
      </w:r>
    </w:p>
    <w:p w:rsidR="00000000" w:rsidDel="00000000" w:rsidP="00000000" w:rsidRDefault="00000000" w:rsidRPr="00000000" w14:paraId="000000D5">
      <w:pPr>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rsidR="00000000" w:rsidDel="00000000" w:rsidP="00000000" w:rsidRDefault="00000000" w:rsidRPr="00000000" w14:paraId="000000D6">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Security</w:t>
      </w:r>
      <w:r w:rsidDel="00000000" w:rsidR="00000000" w:rsidRPr="00000000">
        <w:rPr>
          <w:rFonts w:ascii="Times New Roman" w:cs="Times New Roman" w:eastAsia="Times New Roman" w:hAnsi="Times New Roman"/>
          <w:b w:val="1"/>
          <w:bCs w:val="1"/>
          <w:color w:val="548dd4"/>
          <w:sz w:val="24"/>
          <w:szCs w:val="24"/>
          <w:rtl w:val="0"/>
        </w:rPr>
        <w:t xml:space="preserve"> </w:t>
      </w:r>
      <w:r w:rsidDel="00000000" w:rsidR="00000000" w:rsidRPr="00000000">
        <w:rPr>
          <w:rtl w:val="0"/>
        </w:rPr>
      </w:r>
    </w:p>
    <w:p w:rsidR="00000000" w:rsidDel="00000000" w:rsidP="00000000" w:rsidRDefault="00000000" w:rsidRPr="00000000" w14:paraId="000000D7">
      <w:pPr>
        <w:tabs>
          <w:tab w:val="left" w:leader="none" w:pos="9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contractor must meet the Department of Commerce IT Security Program Policy and Minimum Implementation Standards and also adhere to NOAA and NMFS security policies. Information can be found </w:t>
      </w:r>
      <w:hyperlink r:id="rId8">
        <w:r w:rsidDel="00000000" w:rsidR="00000000" w:rsidRPr="00000000">
          <w:rPr>
            <w:rFonts w:ascii="Times New Roman" w:cs="Times New Roman" w:eastAsia="Times New Roman" w:hAnsi="Times New Roman"/>
            <w:color w:val="1155cc"/>
            <w:sz w:val="24"/>
            <w:szCs w:val="24"/>
            <w:u w:val="single"/>
            <w:rtl w:val="0"/>
          </w:rPr>
          <w:t xml:space="preserve">https://sites.google.com/a/noaa.gov/ocio-itso/home/department-of-commerce-policies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numPr>
          <w:ilvl w:val="0"/>
          <w:numId w:val="3"/>
        </w:numPr>
        <w:spacing w:after="0" w:line="240" w:lineRule="auto"/>
        <w:ind w:left="720" w:hanging="360"/>
        <w:rPr>
          <w:rFonts w:ascii="Times New Roman" w:cs="Times New Roman" w:eastAsia="Times New Roman" w:hAnsi="Times New Roman"/>
          <w:b w:val="1"/>
          <w:bCs w:val="1"/>
          <w:sz w:val="24"/>
          <w:szCs w:val="24"/>
        </w:rPr>
      </w:pPr>
      <w:bookmarkStart w:colFirst="0" w:colLast="0" w:name="_heading=h.km1qs9gqqklw" w:id="4"/>
      <w:bookmarkEnd w:id="4"/>
      <w:r w:rsidDel="00000000" w:rsidR="00000000" w:rsidRPr="00000000">
        <w:rPr>
          <w:rFonts w:ascii="Times New Roman" w:cs="Times New Roman" w:eastAsia="Times New Roman" w:hAnsi="Times New Roman"/>
          <w:b w:val="1"/>
          <w:bCs w:val="1"/>
          <w:sz w:val="24"/>
          <w:szCs w:val="24"/>
          <w:rtl w:val="0"/>
        </w:rPr>
        <w:t xml:space="preserve">Section 508 Compliance</w:t>
        <w:br w:type="textWrapping"/>
      </w:r>
    </w:p>
    <w:p w:rsidR="00000000" w:rsidDel="00000000" w:rsidP="00000000" w:rsidRDefault="00000000" w:rsidRPr="00000000" w14:paraId="000000DA">
      <w:pPr>
        <w:spacing w:after="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Pursuant to Section 508 of the Rehabilitation Act of 1973 (29 U.S.C. 794d) as amended by P.L. 105-220 under Title IV (Rehabilitation Act Amendments of 1998), all Electronic and Information Technology (EIT) developed, procured, maintained and/or used under this contract shall be in compliance with the “Electronic and Information Technology Accessibility Standards” set forth by the Architectural and Transportation Barriers Compliance Board (also referred to as the “Access Board”) in 36 CFR Part 1194.  The complete text of Section 508 Standards can be accessed at </w:t>
      </w:r>
      <w:hyperlink r:id="rId9">
        <w:r w:rsidDel="00000000" w:rsidR="00000000" w:rsidRPr="00000000">
          <w:rPr>
            <w:rFonts w:ascii="Times New Roman" w:cs="Times New Roman" w:eastAsia="Times New Roman" w:hAnsi="Times New Roman"/>
            <w:color w:val="0000ff"/>
            <w:sz w:val="24"/>
            <w:szCs w:val="24"/>
            <w:u w:val="single"/>
            <w:rtl w:val="0"/>
          </w:rPr>
          <w:t xml:space="preserve">http://www.access-board.gov/</w:t>
        </w:r>
      </w:hyperlink>
      <w:r w:rsidDel="00000000" w:rsidR="00000000" w:rsidRPr="00000000">
        <w:rPr>
          <w:rFonts w:ascii="Times New Roman" w:cs="Times New Roman" w:eastAsia="Times New Roman" w:hAnsi="Times New Roman"/>
          <w:sz w:val="24"/>
          <w:szCs w:val="24"/>
          <w:rtl w:val="0"/>
        </w:rPr>
        <w:t xml:space="preserve"> or at </w:t>
      </w:r>
      <w:hyperlink r:id="rId10">
        <w:r w:rsidDel="00000000" w:rsidR="00000000" w:rsidRPr="00000000">
          <w:rPr>
            <w:rFonts w:ascii="Times New Roman" w:cs="Times New Roman" w:eastAsia="Times New Roman" w:hAnsi="Times New Roman"/>
            <w:color w:val="0000ff"/>
            <w:sz w:val="24"/>
            <w:szCs w:val="24"/>
            <w:u w:val="single"/>
            <w:rtl w:val="0"/>
          </w:rPr>
          <w:t xml:space="preserve">http://www.section508.gov</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numPr>
          <w:ilvl w:val="0"/>
          <w:numId w:val="6"/>
        </w:numPr>
        <w:spacing w:after="400" w:lineRule="auto"/>
        <w:ind w:left="-180" w:hanging="360"/>
        <w:rPr>
          <w:rFonts w:ascii="Times New Roman" w:cs="Times New Roman" w:eastAsia="Times New Roman" w:hAnsi="Times New Roman"/>
          <w:sz w:val="24"/>
          <w:szCs w:val="24"/>
        </w:rPr>
      </w:pPr>
      <w:bookmarkStart w:colFirst="0" w:colLast="0" w:name="_heading=h.kefo6ulq4gz6" w:id="5"/>
      <w:bookmarkEnd w:id="5"/>
      <w:r w:rsidDel="00000000" w:rsidR="00000000" w:rsidRPr="00000000">
        <w:rPr>
          <w:rFonts w:ascii="Times New Roman" w:cs="Times New Roman" w:eastAsia="Times New Roman" w:hAnsi="Times New Roman"/>
          <w:b w:val="1"/>
          <w:bCs w:val="1"/>
          <w:sz w:val="24"/>
          <w:szCs w:val="24"/>
          <w:rtl w:val="0"/>
        </w:rPr>
        <w:t xml:space="preserve">Required Knowledge and Experience:</w:t>
      </w:r>
      <w:r w:rsidDel="00000000" w:rsidR="00000000" w:rsidRPr="00000000">
        <w:rPr>
          <w:rtl w:val="0"/>
        </w:rPr>
      </w:r>
    </w:p>
    <w:p w:rsidR="00000000" w:rsidDel="00000000" w:rsidP="00000000" w:rsidRDefault="00000000" w:rsidRPr="00000000" w14:paraId="000000DC">
      <w:pPr>
        <w:tabs>
          <w:tab w:val="left" w:leader="none" w:pos="450"/>
        </w:tabs>
        <w:spacing w:after="240" w:before="28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personnel must have experience with Alaska commercial fishery permitting and application processes. Required skills and experience include:</w:t>
      </w:r>
    </w:p>
    <w:p w:rsidR="00000000" w:rsidDel="00000000" w:rsidP="00000000" w:rsidRDefault="00000000" w:rsidRPr="00000000" w14:paraId="000000DD">
      <w:pPr>
        <w:numPr>
          <w:ilvl w:val="0"/>
          <w:numId w:val="5"/>
        </w:numPr>
        <w:tabs>
          <w:tab w:val="left" w:leader="none" w:pos="450"/>
        </w:tabs>
        <w:spacing w:after="24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and experience with Alaska commercial fisheries and operations, including a minimum of three years experience working in Alaska fisheries permitting </w:t>
      </w:r>
    </w:p>
    <w:p w:rsidR="00000000" w:rsidDel="00000000" w:rsidP="00000000" w:rsidRDefault="00000000" w:rsidRPr="00000000" w14:paraId="000000DE">
      <w:pPr>
        <w:numPr>
          <w:ilvl w:val="0"/>
          <w:numId w:val="5"/>
        </w:numPr>
        <w:tabs>
          <w:tab w:val="left" w:leader="none" w:pos="450"/>
        </w:tabs>
        <w:spacing w:after="24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IT knowledge, including the ability to provide system support, technical and customer service IT support</w:t>
      </w:r>
    </w:p>
    <w:p w:rsidR="00000000" w:rsidDel="00000000" w:rsidP="00000000" w:rsidRDefault="00000000" w:rsidRPr="00000000" w14:paraId="000000DF">
      <w:pPr>
        <w:numPr>
          <w:ilvl w:val="0"/>
          <w:numId w:val="5"/>
        </w:numPr>
        <w:tabs>
          <w:tab w:val="left" w:leader="none" w:pos="450"/>
        </w:tabs>
        <w:spacing w:after="24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administrative skills</w:t>
      </w:r>
    </w:p>
    <w:p w:rsidR="00000000" w:rsidDel="00000000" w:rsidP="00000000" w:rsidRDefault="00000000" w:rsidRPr="00000000" w14:paraId="000000E0">
      <w:pPr>
        <w:numPr>
          <w:ilvl w:val="0"/>
          <w:numId w:val="5"/>
        </w:numPr>
        <w:tabs>
          <w:tab w:val="left" w:leader="none" w:pos="450"/>
        </w:tabs>
        <w:spacing w:after="24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training and outreach in public communications, ideally with fishing industry</w:t>
      </w:r>
    </w:p>
    <w:p w:rsidR="00000000" w:rsidDel="00000000" w:rsidP="00000000" w:rsidRDefault="00000000" w:rsidRPr="00000000" w14:paraId="000000E1">
      <w:pPr>
        <w:numPr>
          <w:ilvl w:val="0"/>
          <w:numId w:val="6"/>
        </w:numPr>
        <w:tabs>
          <w:tab w:val="left" w:leader="none" w:pos="450"/>
        </w:tabs>
        <w:spacing w:after="240" w:before="280" w:line="240" w:lineRule="auto"/>
        <w:ind w:lef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Lead: </w:t>
      </w:r>
      <w:r w:rsidDel="00000000" w:rsidR="00000000" w:rsidRPr="00000000">
        <w:rPr>
          <w:rtl w:val="0"/>
        </w:rPr>
      </w:r>
    </w:p>
    <w:p w:rsidR="00000000" w:rsidDel="00000000" w:rsidP="00000000" w:rsidRDefault="00000000" w:rsidRPr="00000000" w14:paraId="000000E2">
      <w:pPr>
        <w:tabs>
          <w:tab w:val="left" w:leader="none" w:pos="450"/>
        </w:tabs>
        <w:spacing w:after="240" w:before="280" w:line="24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at Contract award.</w:t>
      </w:r>
    </w:p>
    <w:p w:rsidR="00000000" w:rsidDel="00000000" w:rsidP="00000000" w:rsidRDefault="00000000" w:rsidRPr="00000000" w14:paraId="000000E3">
      <w:pPr>
        <w:spacing w:after="0" w:lineRule="auto"/>
        <w:rPr>
          <w:rFonts w:ascii="Arial" w:cs="Arial" w:eastAsia="Arial" w:hAnsi="Arial"/>
          <w:b w:val="1"/>
          <w:bCs w:val="1"/>
          <w:i w:val="1"/>
          <w:iCs w:val="1"/>
          <w:highlight w:val="yellow"/>
        </w:rPr>
      </w:pPr>
      <w:r w:rsidDel="00000000" w:rsidR="00000000" w:rsidRPr="00000000">
        <w:rPr>
          <w:rtl w:val="0"/>
        </w:rPr>
      </w:r>
    </w:p>
    <w:sectPr>
      <w:headerReference r:id="rId11" w:type="default"/>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pict>
        <v:shape id="PowerPlusWaterMarkObject1" style="position:absolute;width:216.69378662109375pt;height:114.99023437499999pt;rotation:0;z-index:-503316481;mso-position-horizontal-relative:margin;mso-position-horizontal:center;mso-position-vertical-relative:margin;mso-position-vertical:center;" fillcolor="#e8eaed" stroked="f" type="#_x0000_t136">
          <v:fill angle="0" opacity="65536f"/>
          <v:textpath fitshape="t" string="Draft" style="font-family:&amp;quot;Arial&amp;quot;;font-size:100.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upperRoman"/>
      <w:lvlText w:val="%1."/>
      <w:lvlJc w:val="right"/>
      <w:pPr>
        <w:ind w:left="-180" w:hanging="360"/>
      </w:pPr>
      <w:rPr>
        <w:rFonts w:ascii="Arial" w:cs="Arial" w:eastAsia="Arial" w:hAnsi="Arial"/>
        <w:b w:val="1"/>
        <w:bCs w:val="1"/>
        <w:i w:val="0"/>
        <w:iCs w:val="0"/>
        <w:color w:val="000000"/>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EndnoteText">
    <w:name w:val="endnote text"/>
    <w:basedOn w:val="Normal"/>
    <w:link w:val="EndnoteTextChar"/>
    <w:uiPriority w:val="99"/>
    <w:semiHidden w:val="1"/>
    <w:unhideWhenUsed w:val="1"/>
    <w:rsid w:val="00AD7FEA"/>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AD7FEA"/>
    <w:rPr>
      <w:sz w:val="20"/>
      <w:szCs w:val="20"/>
    </w:rPr>
  </w:style>
  <w:style w:type="character" w:styleId="EndnoteReference">
    <w:name w:val="endnote reference"/>
    <w:basedOn w:val="DefaultParagraphFont"/>
    <w:uiPriority w:val="99"/>
    <w:semiHidden w:val="1"/>
    <w:unhideWhenUsed w:val="1"/>
    <w:rsid w:val="00AD7FEA"/>
    <w:rPr>
      <w:vertAlign w:val="superscript"/>
    </w:rPr>
  </w:style>
  <w:style w:type="paragraph" w:styleId="FootnoteText">
    <w:name w:val="footnote text"/>
    <w:basedOn w:val="Normal"/>
    <w:link w:val="FootnoteTextChar"/>
    <w:uiPriority w:val="99"/>
    <w:semiHidden w:val="1"/>
    <w:unhideWhenUsed w:val="1"/>
    <w:rsid w:val="00AD7FE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D7FEA"/>
    <w:rPr>
      <w:sz w:val="20"/>
      <w:szCs w:val="20"/>
    </w:rPr>
  </w:style>
  <w:style w:type="character" w:styleId="FootnoteReference">
    <w:name w:val="footnote reference"/>
    <w:basedOn w:val="DefaultParagraphFont"/>
    <w:uiPriority w:val="99"/>
    <w:semiHidden w:val="1"/>
    <w:unhideWhenUsed w:val="1"/>
    <w:rsid w:val="00AD7FEA"/>
    <w:rPr>
      <w:vertAlign w:val="superscript"/>
    </w:rPr>
  </w:style>
  <w:style w:type="character" w:styleId="Hyperlink">
    <w:name w:val="Hyperlink"/>
    <w:basedOn w:val="DefaultParagraphFont"/>
    <w:uiPriority w:val="99"/>
    <w:unhideWhenUsed w:val="1"/>
    <w:rsid w:val="00AD7FEA"/>
    <w:rPr>
      <w:color w:val="0000ff" w:themeColor="hyperlink"/>
      <w:u w:val="single"/>
    </w:rPr>
  </w:style>
  <w:style w:type="paragraph" w:styleId="ListParagraph">
    <w:name w:val="List Paragraph"/>
    <w:basedOn w:val="Normal"/>
    <w:uiPriority w:val="34"/>
    <w:qFormat w:val="1"/>
    <w:rsid w:val="00263078"/>
    <w:pPr>
      <w:ind w:left="720"/>
      <w:contextualSpacing w:val="1"/>
    </w:pPr>
  </w:style>
  <w:style w:type="table" w:styleId="TableGrid">
    <w:name w:val="Table Grid"/>
    <w:basedOn w:val="TableNormal"/>
    <w:uiPriority w:val="39"/>
    <w:rsid w:val="0093003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267481"/>
    <w:rPr>
      <w:sz w:val="16"/>
      <w:szCs w:val="16"/>
    </w:rPr>
  </w:style>
  <w:style w:type="paragraph" w:styleId="CommentText">
    <w:name w:val="annotation text"/>
    <w:basedOn w:val="Normal"/>
    <w:link w:val="CommentTextChar"/>
    <w:uiPriority w:val="99"/>
    <w:unhideWhenUsed w:val="1"/>
    <w:rsid w:val="00267481"/>
    <w:pPr>
      <w:spacing w:line="240" w:lineRule="auto"/>
    </w:pPr>
    <w:rPr>
      <w:sz w:val="20"/>
      <w:szCs w:val="20"/>
    </w:rPr>
  </w:style>
  <w:style w:type="character" w:styleId="CommentTextChar" w:customStyle="1">
    <w:name w:val="Comment Text Char"/>
    <w:basedOn w:val="DefaultParagraphFont"/>
    <w:link w:val="CommentText"/>
    <w:uiPriority w:val="99"/>
    <w:rsid w:val="00267481"/>
    <w:rPr>
      <w:sz w:val="20"/>
      <w:szCs w:val="20"/>
    </w:rPr>
  </w:style>
  <w:style w:type="paragraph" w:styleId="CommentSubject">
    <w:name w:val="annotation subject"/>
    <w:basedOn w:val="CommentText"/>
    <w:next w:val="CommentText"/>
    <w:link w:val="CommentSubjectChar"/>
    <w:uiPriority w:val="99"/>
    <w:semiHidden w:val="1"/>
    <w:unhideWhenUsed w:val="1"/>
    <w:rsid w:val="00267481"/>
    <w:rPr>
      <w:b w:val="1"/>
      <w:bCs w:val="1"/>
    </w:rPr>
  </w:style>
  <w:style w:type="character" w:styleId="CommentSubjectChar" w:customStyle="1">
    <w:name w:val="Comment Subject Char"/>
    <w:basedOn w:val="CommentTextChar"/>
    <w:link w:val="CommentSubject"/>
    <w:uiPriority w:val="99"/>
    <w:semiHidden w:val="1"/>
    <w:rsid w:val="00267481"/>
    <w:rPr>
      <w:b w:val="1"/>
      <w:bCs w:val="1"/>
      <w:sz w:val="20"/>
      <w:szCs w:val="20"/>
    </w:rPr>
  </w:style>
  <w:style w:type="paragraph" w:styleId="BalloonText">
    <w:name w:val="Balloon Text"/>
    <w:basedOn w:val="Normal"/>
    <w:link w:val="BalloonTextChar"/>
    <w:uiPriority w:val="99"/>
    <w:semiHidden w:val="1"/>
    <w:unhideWhenUsed w:val="1"/>
    <w:rsid w:val="0026748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67481"/>
    <w:rPr>
      <w:rFonts w:ascii="Segoe UI" w:cs="Segoe UI" w:hAnsi="Segoe UI"/>
      <w:sz w:val="18"/>
      <w:szCs w:val="18"/>
    </w:rPr>
  </w:style>
  <w:style w:type="paragraph" w:styleId="Revision">
    <w:name w:val="Revision"/>
    <w:hidden w:val="1"/>
    <w:uiPriority w:val="99"/>
    <w:semiHidden w:val="1"/>
    <w:rsid w:val="00267481"/>
    <w:pPr>
      <w:spacing w:after="0" w:line="240" w:lineRule="auto"/>
    </w:pPr>
  </w:style>
  <w:style w:type="table" w:styleId="TableGrid0" w:customStyle="1">
    <w:name w:val="TableGrid"/>
    <w:rsid w:val="00E54D9C"/>
    <w:pPr>
      <w:spacing w:after="0" w:line="240" w:lineRule="auto"/>
    </w:pPr>
    <w:rPr>
      <w:rFonts w:asciiTheme="minorHAnsi" w:cstheme="minorBidi" w:eastAsiaTheme="minorEastAsia" w:hAnsiTheme="minorHAnsi"/>
    </w:rPr>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CA6667"/>
    <w:pPr>
      <w:spacing w:after="100" w:afterAutospacing="1" w:before="100" w:beforeAutospacing="1" w:line="240" w:lineRule="auto"/>
    </w:pPr>
    <w:rPr>
      <w:rFonts w:ascii="Times New Roman" w:cs="Times New Roman" w:eastAsia="Times New Roman" w:hAnsi="Times New Roman"/>
      <w:sz w:val="24"/>
      <w:szCs w:val="24"/>
    </w:r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rPr>
      <w:rFonts w:ascii="Cambria" w:cs="Cambria" w:eastAsia="Cambria" w:hAnsi="Cambria"/>
    </w:rPr>
    <w:tblPr>
      <w:tblStyleRowBandSize w:val="1"/>
      <w:tblStyleColBandSize w:val="1"/>
      <w:tblCellMar>
        <w:top w:w="110.0" w:type="dxa"/>
        <w:left w:w="98.0" w:type="dxa"/>
        <w:right w:w="389.0" w:type="dxa"/>
      </w:tblCellMar>
    </w:tblPr>
  </w:style>
  <w:style w:type="table" w:styleId="a5" w:customStyle="1">
    <w:basedOn w:val="TableNormal"/>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rPr>
      <w:rFonts w:ascii="Cambria" w:cs="Cambria" w:eastAsia="Cambria" w:hAnsi="Cambria"/>
    </w:rPr>
    <w:tblPr>
      <w:tblStyleRowBandSize w:val="1"/>
      <w:tblStyleColBandSize w:val="1"/>
      <w:tblCellMar>
        <w:top w:w="110.0" w:type="dxa"/>
        <w:left w:w="98.0" w:type="dxa"/>
        <w:right w:w="389.0" w:type="dxa"/>
      </w:tblCellMar>
    </w:tblPr>
  </w:style>
  <w:style w:type="table" w:styleId="a8" w:customStyle="1">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110.0" w:type="dxa"/>
        <w:left w:w="98.0" w:type="dxa"/>
        <w:bottom w:w="0.0" w:type="dxa"/>
        <w:right w:w="389.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110.0" w:type="dxa"/>
        <w:left w:w="98.0" w:type="dxa"/>
        <w:bottom w:w="0.0" w:type="dxa"/>
        <w:right w:w="389.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section508.gov/" TargetMode="External"/><Relationship Id="rId9" Type="http://schemas.openxmlformats.org/officeDocument/2006/relationships/hyperlink" Target="http://www.access-board.gov/"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nection.commerce.gov/collection/it-security-policy-and-fisma-reporting-program" TargetMode="External"/><Relationship Id="rId8" Type="http://schemas.openxmlformats.org/officeDocument/2006/relationships/hyperlink" Target="https://sites.google.com/a/noaa.gov/ocio-itso/home/department-of-commerce-polic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MyL1ZtsPNk2ifpoJ1OLgopvBg==">CgMxLjAyDmguZm44b3g3aDA5cWs3Mg5oLmc3YW11N2Z1cDlseDIOaC5xcWs0bHliZ2JtODIyDmgudmMwbTNjYXQwdHhyMg5oLmttMXFzOWdxcWtsdzIOaC5rZWZvNnVscTRnejY4AHIhMWNJVjBIZXF4aUVXNWk5ZUVoTkw3V3RnbjlZUGhGc2Rk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2025-04-07T16:50:00Z</dcterms:created>
</cp:coreProperties>
</file>