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Ventena Contract Request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36C25726Q0105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02-09-2026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 Flores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Susan.flores2@va.gov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955BE" w:rsidRPr="008A5E23" w:rsidP="00E955BE">
      <w:pPr>
        <w:pageBreakBefore/>
        <w:spacing w:after="0" w:line="240" w:lineRule="auto"/>
        <w:rPr>
          <w:rFonts w:ascii="Calibri" w:eastAsia="Times New Roman" w:hAnsi="Calibri" w:cs="Calibri"/>
          <w:b/>
          <w:bCs/>
          <w:color w:val="333333"/>
          <w:sz w:val="20"/>
          <w:szCs w:val="20"/>
        </w:rPr>
      </w:pPr>
      <w:r w:rsidRPr="008A5E23">
        <w:rPr>
          <w:rFonts w:ascii="Calibri" w:eastAsia="Times New Roman" w:hAnsi="Calibri" w:cs="Calibri"/>
          <w:b/>
          <w:bCs/>
          <w:color w:val="333333"/>
          <w:sz w:val="20"/>
          <w:szCs w:val="20"/>
        </w:rPr>
        <w:t xml:space="preserve">Special Notice – Notice of Intent to Award a Sole Source Procurement </w:t>
      </w:r>
    </w:p>
    <w:p w:rsidR="00E955BE" w:rsidRPr="008A5E23" w:rsidP="00E955BE">
      <w:pPr>
        <w:spacing w:after="0" w:line="240" w:lineRule="auto"/>
        <w:rPr>
          <w:rFonts w:ascii="Calibri" w:eastAsia="Times New Roman" w:hAnsi="Calibri" w:cs="Calibri"/>
          <w:sz w:val="20"/>
          <w:szCs w:val="20"/>
        </w:rPr>
      </w:pPr>
    </w:p>
    <w:p w:rsidR="00E955BE" w:rsidRPr="008A5E23" w:rsidP="00E955BE">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The Department of Veterans Affairs, Veterans Health Administration, Network Contracting Office 17, intends to award a firm-fixed priced contract to Roche Diagnostics Corporation for procurement of the following reagents and consumable supplies:       </w:t>
      </w:r>
    </w:p>
    <w:p w:rsidR="00E955BE" w:rsidRPr="008A5E23" w:rsidP="00E955BE">
      <w:pPr>
        <w:spacing w:after="0" w:line="240" w:lineRule="auto"/>
        <w:rPr>
          <w:rFonts w:ascii="Calibri" w:eastAsia="Times New Roman" w:hAnsi="Calibri" w:cs="Calibri"/>
          <w:sz w:val="20"/>
          <w:szCs w:val="20"/>
        </w:rPr>
      </w:pPr>
    </w:p>
    <w:p w:rsidR="00E955BE" w:rsidRPr="008A5E23" w:rsidP="00E955BE">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Estimated Annual Quantities</w:t>
      </w:r>
    </w:p>
    <w:tbl>
      <w:tblPr>
        <w:tblStyle w:val="TableGrid"/>
        <w:tblW w:w="0" w:type="auto"/>
        <w:tblLook w:val="04A0"/>
      </w:tblPr>
      <w:tblGrid>
        <w:gridCol w:w="535"/>
        <w:gridCol w:w="6041"/>
        <w:gridCol w:w="1555"/>
        <w:gridCol w:w="1219"/>
      </w:tblGrid>
      <w:tr w:rsidTr="00A15D69">
        <w:tblPrEx>
          <w:tblW w:w="0" w:type="auto"/>
          <w:tblLook w:val="04A0"/>
        </w:tblPrEx>
        <w:tc>
          <w:tcPr>
            <w:tcW w:w="535" w:type="dxa"/>
          </w:tcPr>
          <w:p w:rsidR="00E955BE" w:rsidRPr="008A5E23" w:rsidP="00A15D69">
            <w:pPr>
              <w:rPr>
                <w:rFonts w:ascii="Calibri" w:eastAsia="Times New Roman" w:hAnsi="Calibri" w:cs="Calibri"/>
                <w:b/>
                <w:sz w:val="20"/>
                <w:szCs w:val="20"/>
              </w:rPr>
            </w:pPr>
          </w:p>
        </w:tc>
        <w:tc>
          <w:tcPr>
            <w:tcW w:w="6041" w:type="dxa"/>
          </w:tcPr>
          <w:p w:rsidR="00E955BE" w:rsidRPr="008A5E23" w:rsidP="00A15D69">
            <w:pPr>
              <w:rPr>
                <w:rFonts w:ascii="Calibri" w:eastAsia="Times New Roman" w:hAnsi="Calibri" w:cs="Calibri"/>
                <w:b/>
                <w:sz w:val="20"/>
                <w:szCs w:val="20"/>
              </w:rPr>
            </w:pPr>
            <w:r w:rsidRPr="008A5E23">
              <w:rPr>
                <w:rFonts w:ascii="Calibri" w:eastAsia="Times New Roman" w:hAnsi="Calibri" w:cs="Calibri"/>
                <w:b/>
                <w:sz w:val="20"/>
                <w:szCs w:val="20"/>
              </w:rPr>
              <w:t>Item Description</w:t>
            </w:r>
          </w:p>
        </w:tc>
        <w:tc>
          <w:tcPr>
            <w:tcW w:w="1555" w:type="dxa"/>
          </w:tcPr>
          <w:p w:rsidR="00E955BE" w:rsidRPr="008A5E23" w:rsidP="00A15D69">
            <w:pPr>
              <w:rPr>
                <w:rFonts w:ascii="Calibri" w:eastAsia="Times New Roman" w:hAnsi="Calibri" w:cs="Calibri"/>
                <w:b/>
                <w:sz w:val="20"/>
                <w:szCs w:val="20"/>
              </w:rPr>
            </w:pPr>
            <w:r w:rsidRPr="008A5E23">
              <w:rPr>
                <w:rFonts w:ascii="Calibri" w:eastAsia="Times New Roman" w:hAnsi="Calibri" w:cs="Calibri"/>
                <w:b/>
                <w:sz w:val="20"/>
                <w:szCs w:val="20"/>
              </w:rPr>
              <w:t>Item Number</w:t>
            </w:r>
          </w:p>
        </w:tc>
        <w:tc>
          <w:tcPr>
            <w:tcW w:w="1219" w:type="dxa"/>
          </w:tcPr>
          <w:p w:rsidR="00E955BE" w:rsidRPr="008A5E23" w:rsidP="00A15D69">
            <w:pPr>
              <w:rPr>
                <w:rFonts w:ascii="Calibri" w:eastAsia="Times New Roman" w:hAnsi="Calibri" w:cs="Calibri"/>
                <w:b/>
                <w:sz w:val="20"/>
                <w:szCs w:val="20"/>
              </w:rPr>
            </w:pPr>
            <w:r w:rsidRPr="008A5E23">
              <w:rPr>
                <w:rFonts w:ascii="Calibri" w:eastAsia="Times New Roman" w:hAnsi="Calibri" w:cs="Calibri"/>
                <w:b/>
                <w:sz w:val="20"/>
                <w:szCs w:val="20"/>
              </w:rPr>
              <w:t>Quantity</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Reagent, DAB Detection</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760-500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25</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 xml:space="preserve">Reagent, Stainer, Amplification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760-080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20</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Reagent, Stainer, Reaction Buffer</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950-300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40</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c>
          <w:tcPr>
            <w:tcW w:w="6041" w:type="dxa"/>
          </w:tcPr>
          <w:p w:rsidR="00E955BE" w:rsidRPr="008A5E23" w:rsidP="00A15D69">
            <w:pPr>
              <w:rPr>
                <w:rFonts w:ascii="Calibri" w:eastAsia="Times New Roman" w:hAnsi="Calibri" w:cs="Calibri"/>
                <w:sz w:val="20"/>
                <w:szCs w:val="20"/>
                <w:highlight w:val="yellow"/>
              </w:rPr>
            </w:pPr>
            <w:r w:rsidRPr="008A5E23">
              <w:rPr>
                <w:rFonts w:ascii="Calibri" w:eastAsia="Times New Roman" w:hAnsi="Calibri" w:cs="Calibri"/>
                <w:sz w:val="20"/>
                <w:szCs w:val="20"/>
              </w:rPr>
              <w:t>Reagent, Hematoxylin</w:t>
            </w:r>
          </w:p>
        </w:tc>
        <w:tc>
          <w:tcPr>
            <w:tcW w:w="1555" w:type="dxa"/>
          </w:tcPr>
          <w:p w:rsidR="00E955BE" w:rsidRPr="008A5E23" w:rsidP="00A15D69">
            <w:pPr>
              <w:rPr>
                <w:rFonts w:ascii="Calibri" w:eastAsia="Times New Roman" w:hAnsi="Calibri" w:cs="Calibri"/>
                <w:sz w:val="20"/>
                <w:szCs w:val="20"/>
                <w:highlight w:val="yellow"/>
              </w:rPr>
            </w:pPr>
            <w:r w:rsidRPr="008A5E23">
              <w:rPr>
                <w:rFonts w:ascii="Calibri" w:eastAsia="Times New Roman" w:hAnsi="Calibri" w:cs="Calibri"/>
                <w:sz w:val="20"/>
                <w:szCs w:val="20"/>
              </w:rPr>
              <w:t>760-2021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5</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Reagent, Bluing Agent</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760-2037</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Staining Solution, Protease</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760-2018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10x EZ Stainer, Prep Solution, 2L</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950-102</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15</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Benchmark Ultra  LCS</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650-210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80</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9</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Solution, Ultra, Cell CC1</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950-224</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10</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Control, Negative Monoclonal</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760-2014</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11</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Elastin Van Gieson Kit 50 Test</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Cat. 09592229001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12</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Staining Kit, Complex Stains, Reticulum II</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860-024</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13</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 xml:space="preserve">Staining Kit, Complex Stains, Special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860-028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14</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DEPAR Solution, BMK Special Stains</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860-036</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15</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Liquid Coverslip, BMK Special Stains</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860-034</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10</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16</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Benchmark Special Stains Wash II</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Catalog 08309817001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17</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Benchmark Special Stains I Cleaning Kit</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860-049</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18</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Ventana H. Pylori (SP48) PAB</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790-1014</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19</w:t>
            </w:r>
          </w:p>
        </w:tc>
        <w:tc>
          <w:tcPr>
            <w:tcW w:w="6041" w:type="dxa"/>
          </w:tcPr>
          <w:p w:rsidR="00E955BE" w:rsidRPr="008A5E23" w:rsidP="00A15D69">
            <w:pPr>
              <w:spacing w:after="0" w:line="240" w:lineRule="auto"/>
              <w:rPr>
                <w:rFonts w:ascii="Calibri" w:hAnsi="Calibri" w:eastAsiaTheme="minorHAnsi" w:cs="Calibri"/>
                <w:kern w:val="2"/>
                <w:sz w:val="20"/>
                <w:szCs w:val="20"/>
                <w14:ligatures w14:val="standardContextual"/>
              </w:rPr>
            </w:pPr>
            <w:r w:rsidRPr="008A5E23">
              <w:rPr>
                <w:rFonts w:ascii="Calibri" w:hAnsi="Calibri" w:eastAsiaTheme="minorHAnsi" w:cs="Calibri"/>
                <w:kern w:val="2"/>
                <w:sz w:val="20"/>
                <w:szCs w:val="20"/>
                <w14:ligatures w14:val="standardContextual"/>
              </w:rPr>
              <w:t xml:space="preserve">CONFIRM ANTI-THRYOID   TRANSCRIPTION FACT </w:t>
            </w:r>
          </w:p>
          <w:p w:rsidR="00E955BE" w:rsidRPr="008A5E23" w:rsidP="00A15D69">
            <w:pPr>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790-4398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20</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 xml:space="preserve">Ribbon, Ebar Printer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1632900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21</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Kit Pack Ebar</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1418702</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5</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22</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 xml:space="preserve">Confirm Cytokeratin7 </w:t>
            </w:r>
            <w:r w:rsidRPr="008A5E23">
              <w:rPr>
                <w:rFonts w:ascii="Calibri" w:eastAsia="Times New Roman" w:hAnsi="Calibri" w:cs="Calibri"/>
                <w:sz w:val="20"/>
                <w:szCs w:val="20"/>
              </w:rPr>
              <w:t>Rabbitmono</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790-4462</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23</w:t>
            </w:r>
          </w:p>
        </w:tc>
        <w:tc>
          <w:tcPr>
            <w:tcW w:w="6041"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Antibody – KI 67 (30-9) Rabbit Monoclonal</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790-4286</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8</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24</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S IHC ANTIBODY ROUTINE: CONFIRM ANTI-S100             (POLYCLONAL) PAB</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760-2523</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6</w:t>
            </w:r>
          </w:p>
        </w:tc>
      </w:tr>
      <w:tr w:rsidTr="00A15D69">
        <w:tblPrEx>
          <w:tblW w:w="0" w:type="auto"/>
          <w:tblLook w:val="04A0"/>
        </w:tblPrEx>
        <w:tc>
          <w:tcPr>
            <w:tcW w:w="535"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25</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 </w:t>
            </w:r>
            <w:r w:rsidRPr="008A5E23">
              <w:rPr>
                <w:rFonts w:ascii="Calibri" w:hAnsi="Calibri" w:eastAsiaTheme="minorHAnsi" w:cs="Calibri"/>
                <w:kern w:val="2"/>
                <w:sz w:val="20"/>
                <w:szCs w:val="20"/>
                <w14:ligatures w14:val="standardContextual"/>
              </w:rPr>
              <w:t xml:space="preserve">CONFIRM CYTOKERATIN 20 RABBIT MONO   </w:t>
            </w:r>
            <w:r w:rsidRPr="008A5E23">
              <w:rPr>
                <w:rFonts w:ascii="Calibri" w:eastAsia="Times New Roman" w:hAnsi="Calibri" w:cs="Calibri"/>
                <w:sz w:val="20"/>
                <w:szCs w:val="20"/>
              </w:rPr>
              <w:t xml:space="preserve">           </w:t>
            </w:r>
          </w:p>
        </w:tc>
        <w:tc>
          <w:tcPr>
            <w:tcW w:w="1555"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790-4554</w:t>
            </w:r>
          </w:p>
        </w:tc>
        <w:tc>
          <w:tcPr>
            <w:tcW w:w="1219"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10</w:t>
            </w:r>
          </w:p>
        </w:tc>
      </w:tr>
      <w:tr w:rsidTr="00A15D69">
        <w:tblPrEx>
          <w:tblW w:w="0" w:type="auto"/>
          <w:tblLook w:val="04A0"/>
        </w:tblPrEx>
        <w:tc>
          <w:tcPr>
            <w:tcW w:w="535"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26</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CONFIRM CYTOKERATIN 20 RABBIT MONO</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790-4431</w:t>
            </w:r>
          </w:p>
        </w:tc>
        <w:tc>
          <w:tcPr>
            <w:tcW w:w="1219"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6</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27</w:t>
            </w:r>
          </w:p>
        </w:tc>
        <w:tc>
          <w:tcPr>
            <w:tcW w:w="6041" w:type="dxa"/>
          </w:tcPr>
          <w:p w:rsidR="00E955BE" w:rsidRPr="008A5E23" w:rsidP="00A15D69">
            <w:pPr>
              <w:spacing w:after="0" w:line="240" w:lineRule="auto"/>
              <w:rPr>
                <w:rFonts w:ascii="Calibri" w:hAnsi="Calibri" w:eastAsiaTheme="minorHAnsi" w:cs="Calibri"/>
                <w:kern w:val="2"/>
                <w:sz w:val="20"/>
                <w:szCs w:val="20"/>
                <w14:ligatures w14:val="standardContextual"/>
              </w:rPr>
            </w:pPr>
            <w:r w:rsidRPr="008A5E23">
              <w:rPr>
                <w:rFonts w:ascii="Calibri" w:hAnsi="Calibri" w:eastAsiaTheme="minorHAnsi" w:cs="Calibri"/>
                <w:kern w:val="2"/>
                <w:sz w:val="20"/>
                <w:szCs w:val="20"/>
                <w14:ligatures w14:val="standardContextual"/>
              </w:rPr>
              <w:t xml:space="preserve">ANTI-CHROMOGRANIN A (LK2H10) PAB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760-2519</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28</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hAnsi="Calibri" w:eastAsiaTheme="minorHAnsi" w:cs="Calibri"/>
                <w:kern w:val="2"/>
                <w:sz w:val="20"/>
                <w:szCs w:val="20"/>
                <w14:ligatures w14:val="standardContextual"/>
              </w:rPr>
              <w:t xml:space="preserve">CONFIRM CYTOKERATIN 20 RABBIT MONO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790-7061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29</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CD-138 (B-A38) PAB, CELL MARQUE</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790-4248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30</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hAnsi="Calibri" w:cs="Calibri"/>
                <w:sz w:val="20"/>
                <w:szCs w:val="20"/>
              </w:rPr>
              <w:t xml:space="preserve">CONFIRM ANTI-CD34 (QBEND/10) PRIMARY ANTIBODY </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790-2927</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31</w:t>
            </w:r>
          </w:p>
        </w:tc>
        <w:tc>
          <w:tcPr>
            <w:tcW w:w="6041" w:type="dxa"/>
          </w:tcPr>
          <w:p w:rsidR="00E955BE" w:rsidRPr="008A5E23" w:rsidP="00A15D69">
            <w:pPr>
              <w:spacing w:after="0" w:line="240" w:lineRule="auto"/>
              <w:rPr>
                <w:rFonts w:ascii="Calibri" w:hAnsi="Calibri" w:eastAsiaTheme="minorHAnsi" w:cs="Calibri"/>
                <w:kern w:val="2"/>
                <w:sz w:val="20"/>
                <w:szCs w:val="20"/>
                <w14:ligatures w14:val="standardContextual"/>
              </w:rPr>
            </w:pPr>
            <w:r w:rsidRPr="008A5E23">
              <w:rPr>
                <w:rFonts w:ascii="Calibri" w:hAnsi="Calibri" w:eastAsiaTheme="minorHAnsi" w:cs="Calibri"/>
                <w:kern w:val="2"/>
                <w:sz w:val="20"/>
                <w:szCs w:val="20"/>
                <w14:ligatures w14:val="standardContextual"/>
              </w:rPr>
              <w:t xml:space="preserve">CONFIRM ANTI-CD3 (2GV6)  RABBIT MONOCLONAL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790-4341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32</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CONFIRM ANTI-CD5 (SP19) RABBIT MONO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790-4451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33</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CONFIRM ANTI-CD20 (L26) PAB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760-2531</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34</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CD68 (SP251V18) RABBIT MONOCLONAL AB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790-7248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35</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VENTANA ANTI-CD10 (SP67)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790-4506</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36</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CONFIRM ANTI-SYNAPTOPHYSIN (SP11) RABBIT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790-4407</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rPr>
          <w:trHeight w:val="593"/>
        </w:trPr>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37</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CYTOKERATIN (CAM 5.2) PAB</w:t>
            </w: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790-4555</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38</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IHC ANCILLARY, HEMATOXYLIN II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790-2208</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39</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IHC ANCILLARIES, OPTIVIEW AMPLIFICATION              KIT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760-099</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w:t>
            </w:r>
          </w:p>
        </w:tc>
      </w:tr>
      <w:tr w:rsidTr="00A15D69">
        <w:tblPrEx>
          <w:tblW w:w="0" w:type="auto"/>
          <w:tblLook w:val="04A0"/>
        </w:tblPrEx>
        <w:tc>
          <w:tcPr>
            <w:tcW w:w="53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40</w:t>
            </w:r>
          </w:p>
        </w:tc>
        <w:tc>
          <w:tcPr>
            <w:tcW w:w="6041" w:type="dxa"/>
          </w:tcPr>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 IHC ANCILLARIES: OPTIVIEW DAB DETECTION</w:t>
            </w:r>
          </w:p>
          <w:p w:rsidR="00E955BE" w:rsidRPr="008A5E23" w:rsidP="00A15D69">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             KIT (250)             </w:t>
            </w:r>
          </w:p>
          <w:p w:rsidR="00E955BE" w:rsidRPr="008A5E23" w:rsidP="00A15D69">
            <w:pPr>
              <w:spacing w:after="0" w:line="240" w:lineRule="auto"/>
              <w:rPr>
                <w:rFonts w:ascii="Calibri" w:eastAsia="Times New Roman" w:hAnsi="Calibri" w:cs="Calibri"/>
                <w:sz w:val="20"/>
                <w:szCs w:val="20"/>
              </w:rPr>
            </w:pPr>
          </w:p>
        </w:tc>
        <w:tc>
          <w:tcPr>
            <w:tcW w:w="1555"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760-700</w:t>
            </w:r>
          </w:p>
        </w:tc>
        <w:tc>
          <w:tcPr>
            <w:tcW w:w="1219" w:type="dxa"/>
          </w:tcPr>
          <w:p w:rsidR="00E955BE" w:rsidRPr="008A5E23" w:rsidP="00A15D69">
            <w:pPr>
              <w:rPr>
                <w:rFonts w:ascii="Calibri" w:eastAsia="Times New Roman" w:hAnsi="Calibri" w:cs="Calibri"/>
                <w:sz w:val="20"/>
                <w:szCs w:val="20"/>
              </w:rPr>
            </w:pPr>
            <w:r w:rsidRPr="008A5E23">
              <w:rPr>
                <w:rFonts w:ascii="Calibri" w:eastAsia="Times New Roman" w:hAnsi="Calibri" w:cs="Calibri"/>
                <w:sz w:val="20"/>
                <w:szCs w:val="20"/>
              </w:rPr>
              <w:t>2</w:t>
            </w:r>
          </w:p>
        </w:tc>
      </w:tr>
    </w:tbl>
    <w:p w:rsidR="00E955BE" w:rsidRPr="008A5E23" w:rsidP="00E955BE">
      <w:pPr>
        <w:spacing w:after="0" w:line="240" w:lineRule="auto"/>
        <w:rPr>
          <w:rFonts w:ascii="Calibri" w:eastAsia="Times New Roman" w:hAnsi="Calibri" w:cs="Calibri"/>
          <w:sz w:val="20"/>
          <w:szCs w:val="20"/>
        </w:rPr>
      </w:pPr>
    </w:p>
    <w:p w:rsidR="00E955BE" w:rsidRPr="008A5E23" w:rsidP="00E955BE">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The requested items will be used on the Ventana </w:t>
      </w:r>
      <w:r w:rsidRPr="008A5E23">
        <w:rPr>
          <w:rFonts w:ascii="Calibri" w:eastAsia="Times New Roman" w:hAnsi="Calibri" w:cs="Calibri"/>
          <w:sz w:val="20"/>
          <w:szCs w:val="20"/>
        </w:rPr>
        <w:t>BenchMark</w:t>
      </w:r>
      <w:r w:rsidRPr="008A5E23">
        <w:rPr>
          <w:rFonts w:ascii="Calibri" w:eastAsia="Times New Roman" w:hAnsi="Calibri" w:cs="Calibri"/>
          <w:sz w:val="20"/>
          <w:szCs w:val="20"/>
        </w:rPr>
        <w:t xml:space="preserve"> Ultra system.  The requesting activity states that the government owns and operates a Ventana </w:t>
      </w:r>
      <w:r w:rsidRPr="008A5E23">
        <w:rPr>
          <w:rFonts w:ascii="Calibri" w:eastAsia="Times New Roman" w:hAnsi="Calibri" w:cs="Calibri"/>
          <w:sz w:val="20"/>
          <w:szCs w:val="20"/>
        </w:rPr>
        <w:t>BenchMark</w:t>
      </w:r>
      <w:r w:rsidRPr="008A5E23">
        <w:rPr>
          <w:rFonts w:ascii="Calibri" w:eastAsia="Times New Roman" w:hAnsi="Calibri" w:cs="Calibri"/>
          <w:sz w:val="20"/>
          <w:szCs w:val="20"/>
        </w:rPr>
        <w:t xml:space="preserve"> Ultra System and that the requested reagents and consumable supplies are the only supplies compatible with the instrument.  A sole source letter from Roche states that all Ventana detection reagents, ancillaries, antibodies and probes are developed and validated for exclusive use on the fully automated Ventana Benchmark IHC/ISH slide staining system and cannot be substituted. The proposed order will be considered a standing order; where, the supplies will be ordered throughout the period of performance, on an as-needed basis.  Network Contracting Office 17 will request the acquisition of these supplies from Roche on an IDIQ contract with a five-year ordering period.           </w:t>
      </w:r>
    </w:p>
    <w:p w:rsidR="00E955BE" w:rsidRPr="008A5E23" w:rsidP="00E955BE">
      <w:pPr>
        <w:spacing w:after="0" w:line="240" w:lineRule="auto"/>
        <w:rPr>
          <w:rFonts w:ascii="Calibri" w:eastAsia="Times New Roman" w:hAnsi="Calibri" w:cs="Calibri"/>
          <w:sz w:val="20"/>
          <w:szCs w:val="20"/>
        </w:rPr>
      </w:pPr>
    </w:p>
    <w:p w:rsidR="00E955BE" w:rsidRPr="008A5E23" w:rsidP="00E955BE">
      <w:pPr>
        <w:spacing w:after="0" w:line="240" w:lineRule="auto"/>
        <w:rPr>
          <w:rFonts w:ascii="Calibri" w:hAnsi="Calibri" w:cs="Calibri"/>
          <w:sz w:val="20"/>
          <w:szCs w:val="20"/>
        </w:rPr>
      </w:pPr>
      <w:r w:rsidRPr="008A5E23">
        <w:rPr>
          <w:rFonts w:ascii="Calibri" w:hAnsi="Calibri" w:cs="Calibri"/>
          <w:sz w:val="20"/>
          <w:szCs w:val="20"/>
        </w:rPr>
        <w:t xml:space="preserve">This notice is not to be considered a request for quotations or proposals. A contract will not be awarded based on an offer received in response to this notice; however, all responsible sources may submit a capability statement, proposal or quotation, which shall be considered by the agency.  Proposals or offers received will be used to determine if a comparable source is available and more advantageous to the government.  If no affirmative written response is received within 5 days from the publication of this notice, a contract/order will be issued to </w:t>
      </w:r>
      <w:r w:rsidRPr="008A5E23">
        <w:rPr>
          <w:rFonts w:ascii="Calibri" w:eastAsia="Times New Roman" w:hAnsi="Calibri" w:cs="Calibri"/>
          <w:sz w:val="20"/>
          <w:szCs w:val="20"/>
        </w:rPr>
        <w:t xml:space="preserve">Roche Diagnostics Corporation </w:t>
      </w:r>
      <w:r w:rsidRPr="008A5E23">
        <w:rPr>
          <w:rFonts w:ascii="Calibri" w:hAnsi="Calibri" w:cs="Calibri"/>
          <w:sz w:val="20"/>
          <w:szCs w:val="20"/>
        </w:rPr>
        <w:t>without any further notice.</w:t>
      </w:r>
    </w:p>
    <w:p w:rsidR="00E955BE" w:rsidRPr="008A5E23" w:rsidP="00E955BE">
      <w:pPr>
        <w:spacing w:after="0" w:line="240" w:lineRule="auto"/>
        <w:rPr>
          <w:rFonts w:ascii="Calibri" w:hAnsi="Calibri" w:cs="Calibri"/>
          <w:sz w:val="20"/>
          <w:szCs w:val="20"/>
        </w:rPr>
      </w:pPr>
    </w:p>
    <w:p w:rsidR="00E955BE" w:rsidRPr="008A5E23" w:rsidP="00E955BE">
      <w:pPr>
        <w:spacing w:after="0" w:line="240" w:lineRule="auto"/>
        <w:rPr>
          <w:rFonts w:ascii="Calibri" w:eastAsia="Times New Roman" w:hAnsi="Calibri" w:cs="Calibri"/>
          <w:sz w:val="20"/>
          <w:szCs w:val="20"/>
        </w:rPr>
      </w:pPr>
      <w:r w:rsidRPr="008A5E23">
        <w:rPr>
          <w:rFonts w:ascii="Calibri" w:eastAsia="Times New Roman" w:hAnsi="Calibri" w:cs="Calibri"/>
          <w:sz w:val="20"/>
          <w:szCs w:val="20"/>
        </w:rPr>
        <w:t xml:space="preserve">The proposed contract actions are for supplies, which the government intends to negotiate with only one source.  The anticipated statutory authorities permitting other than full and open competition for the requirement is 41 U.S.C. 3304(a)(1), as implemented by </w:t>
      </w:r>
      <w:r w:rsidRPr="008A5E23">
        <w:rPr>
          <w:rFonts w:ascii="Calibri" w:hAnsi="Calibri" w:cs="Calibri"/>
          <w:sz w:val="20"/>
          <w:szCs w:val="20"/>
        </w:rPr>
        <w:t xml:space="preserve">FAR 6.302-1, Only one responsible source and no other supplies or services will satisfy agency requirements.     </w:t>
      </w:r>
      <w:r w:rsidRPr="008A5E23">
        <w:rPr>
          <w:rFonts w:ascii="Calibri" w:eastAsia="Times New Roman" w:hAnsi="Calibri" w:cs="Calibri"/>
          <w:sz w:val="20"/>
          <w:szCs w:val="20"/>
        </w:rPr>
        <w:t xml:space="preserve">   </w:t>
      </w:r>
    </w:p>
    <w:p w:rsidR="00E955BE" w:rsidRPr="008A5E23" w:rsidP="00E955BE">
      <w:pPr>
        <w:spacing w:after="0" w:line="240" w:lineRule="auto"/>
        <w:rPr>
          <w:rFonts w:ascii="Calibri" w:eastAsia="Times New Roman" w:hAnsi="Calibri" w:cs="Calibri"/>
          <w:sz w:val="20"/>
          <w:szCs w:val="20"/>
        </w:rPr>
      </w:pPr>
    </w:p>
    <w:p w:rsidR="00E955BE" w:rsidRPr="008A5E23" w:rsidP="00E955BE">
      <w:pPr>
        <w:spacing w:after="0" w:line="240" w:lineRule="auto"/>
        <w:rPr>
          <w:rFonts w:ascii="Calibri" w:hAnsi="Calibri" w:cs="Calibri"/>
          <w:sz w:val="20"/>
          <w:szCs w:val="20"/>
        </w:rPr>
      </w:pPr>
      <w:r w:rsidRPr="008A5E23">
        <w:rPr>
          <w:rFonts w:ascii="Calibri" w:eastAsia="Times New Roman" w:hAnsi="Calibri" w:cs="Calibri"/>
          <w:sz w:val="20"/>
          <w:szCs w:val="20"/>
        </w:rPr>
        <w:t xml:space="preserve">The proposed sole source procurement will be made by an open market pricing agreement with Roche Diagnostics Corporation.          </w:t>
      </w:r>
    </w:p>
    <w:p w:rsidR="007E1F6F" w:rsidRPr="008A5E23">
      <w:pPr>
        <w:rPr>
          <w:rFonts w:ascii="Calibri" w:hAnsi="Calibri" w:cs="Calibri"/>
          <w:sz w:val="20"/>
          <w:szCs w:val="2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E1F6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E1F6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E1F6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E1F6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E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6F"/>
    <w:rPr>
      <w:rFonts w:eastAsiaTheme="majorEastAsia" w:cstheme="majorBidi"/>
      <w:color w:val="272727" w:themeColor="text1" w:themeTint="D8"/>
    </w:rPr>
  </w:style>
  <w:style w:type="paragraph" w:styleId="Quote">
    <w:name w:val="Quote"/>
    <w:basedOn w:val="Normal"/>
    <w:next w:val="Normal"/>
    <w:link w:val="QuoteChar"/>
    <w:uiPriority w:val="29"/>
    <w:qFormat/>
    <w:rsid w:val="007E1F6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E1F6F"/>
    <w:rPr>
      <w:i/>
      <w:iCs/>
      <w:color w:val="404040" w:themeColor="text1" w:themeTint="BF"/>
    </w:rPr>
  </w:style>
  <w:style w:type="paragraph" w:styleId="IntenseQuote">
    <w:name w:val="Intense Quote"/>
    <w:basedOn w:val="Normal"/>
    <w:next w:val="Normal"/>
    <w:link w:val="IntenseQuoteChar"/>
    <w:uiPriority w:val="30"/>
    <w:qFormat/>
    <w:rsid w:val="007E1F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E1F6F"/>
    <w:rPr>
      <w:i/>
      <w:iCs/>
      <w:color w:val="366092" w:themeColor="accent1" w:themeShade="BF"/>
    </w:rPr>
  </w:style>
  <w:style w:type="character" w:styleId="IntenseReference">
    <w:name w:val="Intense Reference"/>
    <w:basedOn w:val="DefaultParagraphFont"/>
    <w:uiPriority w:val="32"/>
    <w:qFormat/>
    <w:rsid w:val="007E1F6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2026-02-03T19:56:11Z</dcterms:created>
  <dcterms:modified xsi:type="dcterms:W3CDTF">2026-02-03T19:56:11Z</dcterms:modified>
</cp:coreProperties>
</file>