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48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Supplementary Information</w:t>
      </w:r>
    </w:p>
    <w:p>
      <w:pPr>
        <w:spacing w:after="240" w:before="120" w:line="360"/>
        <w:jc w:val="center"/>
      </w:pPr>
      <w:r>
        <w:rPr>
          <w:rFonts w:ascii="Arial" w:cs="Arial" w:eastAsia="Arial" w:hAnsi="Arial"/>
          <w:i/>
          <w:iCs/>
          <w:color w:val="000000"/>
          <w:sz w:val="26"/>
          <w:szCs w:val="26"/>
        </w:rPr>
        <w:t xml:space="preserve">Physics-constrained neural decomposition reveals an A-site chemistry hierarchy for soft-mode dielectric amplification in ABO₃ microwave ceramics</w:t>
      </w:r>
    </w:p>
    <w:p>
      <w:pPr>
        <w:spacing w:after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[Author Name]¹*, [Author Name]¹, [Author Name]²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Contents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Note 1: CM evaluation procedure (1,124 CM-computable compositions)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Note 2: Theoretical foundations and regularisation of the physics-constrained decomposition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Note 3: Model algorithms (PCNN training, conformal calibration, inverse design, applicability domain)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Table 1: Hyperparameter search results (Optuna 100 trials)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Table 2: Extended baseline comparison metrics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Table 4: Signed-error and coverage by ε_r subset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Table 5: Baseline model hyperparameters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Table 6: PCNN per-layer architecture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Figs. 1–24: Detailed diagnostics, ablations, validation, and the σ_conf gate β coefficient sensitivity sweep (Fig. S24)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Supplementary References: dataset source list (deposited with the dataset)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Note 1 | Clausius–Mossotti evaluation procedure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The Clausius–Mossotti (CM) relation was evaluated on each ABO₃ composition by summing the Shannon-tabulated ionic polarizabilities of the constituent A-, B-, and oxygen ions [Shannon 1993; recently extended for microwave frequencies by Liu 2024], scaled by stoichiometric occupancy. The molar volume V_m was computed from the experimental unit-cell volume reported in each source where available, or from a Vegard-rule estimate ⁷ using Shannon ionic radii where unavailable. Compositions for which one or more ionic species lacked a tabulated Shannon polarizability (e.g., uncommon oxidation states, transition metals in unusual coordination) were routed through the no-CM fallback network. Of the 1,304 compositions in the cleaned corpus, 1,124 admit a valid CM evaluation: 973 with an exact Shannon-polarizability CM and 151 double perovskites (A₂BB′O₆) evaluated under a virtual-crystal approximation (VCA). The VCA averages two distinct B-site cation environments into a fictitious mean B-site and is known to be an approximation for 1:1 cation-ordered double perovskites ⁸,⁹,¹⁰; we apply VCA-CM uniformly across the 151 double-perovskite compositions and rely on the L_VCA penalty (Supplementary Note 2, eq S7) to suppress δ_res leakage in these compositions. The remaining 180 compositions route through the no-CM fallback network. The CM baseline benchmark (Fig. 1, main text) is evaluated on all 1,124 CM-computable compositions, on which the parameter-free CM relation yields R² = −0.584 (MAPE 45.9%).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Note 2 | Theoretical foundations and regularisation of the physics-constrained decomposition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PCNN expresses the static relative permittivity as an additive sum of four physically interpretable contributions, each mapped to a distinct polarisation mechanism in ABO₃ perovskites: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(S1)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where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(eq. 1, main text) captures the electronic and static-ionic polarisability packed into the unit cell, is computed analytically from Shannon polarizabilities with no learnable parameters, and serves as a fixed, parameter-free physical anchor. The three neural correction branches account for the lattice-dynamical contributions the CM formalism omits — the soft-mode amplification described by the LST physics ⁶,¹¹,¹²,¹³, the polarisation enhancement formalised by the Berry-phase modern theory of polarization ¹⁶, the d⁰ B-site requirement for ferroelectric instability ⁴,¹⁷, and the Pb 6s² lone-pair stereoactivity that drives the Pb anomaly identified in main MS Results §2 ¹⁴,¹⁵,³⁹,⁴⁰.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Each correction branch carries a hard sign constraint matched to the direction of its physical effect, enforced architecturally through the output activation, not through a soft loss penalty. The LST branch is non-negative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Softplus(h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 ≥ 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(S2)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because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amplifies the static permittivity above the high-frequency electronic ceiling — the LST relation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/ε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∞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(ω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/ω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)² ≥ 1 ⁶ (eq. 2, main text) implies that the lattice term can only raise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 The octahedral-tilt branch is non-positive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−Softplus(h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 ≤ 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(S3)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because cooperative octahedral tilting (classified in the Glazer/Howard–Stokes taxonomy ²,³) stiffens the polar soft mode and suppresses the dielectric response; soft-mode-driven ferroelectricity additionally requires a d⁰ B-site cation ⁴. The residual branch is bounded and gated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· tanh(h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 · 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(S4)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where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is a fixed physics-based confidence gate (eq. 9, main text) that suppresses the residual where the CM baseline is approximate or the structure is unstable, confining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to a small safety valve and preventing it from absorbing physics that should be attributed to the named LST or tilt branches.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places the PCNN in the architecture-constrained family of physics-informed models, in which the physical sign of each mechanism is guaranteed by construction, distinct from the loss-penalised family in which the sign is only encouraged and can be violated. Imposing hard sign constraints preserves expressivity: sign-restricted (monotone) neural networks retain universal-approximation capacity ¹⁹,²⁰, so each branch can represent any continuous mapping consistent with its physical sign. Across the trunk and each branch head we use residual MLP blocks ²² with LayerNorm ²³, SiLU activations ²⁴ and dropout ²⁵, standard deep-learning components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perscript"/>
        </w:rPr>
        <w:t xml:space="preserve">Goodfellow 2016, LeCun 2015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data fidelity term convexly blends a log-domain and a standard mean-squared error (weight 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log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0.505 on the log term, which down-weights the leverage of the few very-high-permittivity compositions; eq. 11, main text), and three physics-motivated penalties regularise the attribution. The LST capacity penalty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⟨ ReLU(δ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− 5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)² ⟩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(S5)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is a fixed proxy for the LST capacity (ω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/ω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)² − 1, preventing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from exceeding its physically admissible upper bound. The factor of 5 is the cap on the LST </w:t>
      </w: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capacity ratio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(ω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/ω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)² − 1, equivalent to 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/ω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≈ √6 ≈ 2.45 — a loose upper bound that brackets the soft-mode-active near-T_c regime of incipient-ferroelectric titanates (cubic BaTiO₃ above T_c with 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≈ 60–80 cm⁻¹ ¹²,¹³, and PbTiO₃ near its ferroelectric transition; the soft-mode amplification context is given by Lines &amp; Glass ¹¹) rather than a precise compound-specific value, and does not bind in practice (the cap saturates for &lt;1% of the corpus). The GII stability penalty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GII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⟨ ReLU(ε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ε̂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)² 𝕀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GII&lt;0.3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⟩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(S6)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penalises predictions below the electronic CM floor for compositions with a low global instability index (GII &lt; 0.3 v.u., the conventional bond-valence cutoff for structurally stable perovskites¹,¹⁸,³⁸; cf. Kato 2018), encoding the expectation that stable, weakly anharmonic compositions retain at least their CM permittivity. The VCA consistency penalty</w:t>
      </w:r>
    </w:p>
    <w:p>
      <w:pPr>
        <w:tabs>
          <w:tab w:val="center" w:pos="4824"/>
          <w:tab w:val="right" w:pos="9648"/>
        </w:tabs>
        <w:spacing w:after="240" w:before="24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VCA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⟨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²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approx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⟩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(S7)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suppresses the residual branch where the CM baseline is virtual-crystal-approximated, preventing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from absorbing uncertainty that should remain attributed to the approximate baseline (c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approx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is the binary VCA flag of eq. 9, main text). Together these penalties make the four-way attribution identifiable while keeping every contribution within physically admissible bounds.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Identifiability — heuristic proposition.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Under the strict disjoint feature partition (no descriptor enters more than one branch, Supplementary Fig. S10) and the bounded confidence-gated residual (|δ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≤ 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·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with 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≈ 48.2 and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∈ [0,1]), the four-way decomposition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is identifiable up to a residual mass of at most ⟨s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·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⟩, which the saturation defence (main MS Results §1) shows is &lt; 1% in aggregate (residual share &lt; 1% of the correction budget, with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&gt; 0.7 throughout — the floor binds for 0 of 1,124 samples). This is a heuristic, not a formal uniqueness theorem: the disjoint-feature condition rules out direct double-counting at the input level but does not by itself preclude a soft re-routing of correction mass between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and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on a per-composition basis. The empirical demonstration that the gate does not bind anywhere (slack-floor prong; Results §1) is what shifts the four-way attribution from formally underdetermined to empirically pinned. The proposition is verified empirically by the 45-retraining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β perturbation sweep (Supplementary Fig. 24), in which the per-A-site hierarchy Pb &gt; Ca &gt; La &gt; Sr &gt; Ba is preserved across all 9 perturbations × 5 seeds with per-A-site 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varying by ≤ 0.02 from canonical. A first-principles ω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comparison on representative compositions would tighten this further from an empirical to a measured anchor.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Note 3 | Model algorithms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four core procedures of the framework are summarised below; full parameter values are given in Methods.</w:t>
      </w:r>
    </w:p>
    <w:p>
      <w:pPr>
        <w:spacing w:after="200" w:before="320" w:line="48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Algorithm S1 | PCNN forward pass and ensemble training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Inputs: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LST/tilt/residual feature partition (30/30/43); analytic CM baseline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and CM-validity flag; regime indicators; measured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Procedure: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Shared trunk: 103 features → residual MLP → 192-dimensional representation z.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regime_scale · Softplus(h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(z, LST features))   (≥ 0; regime_scale = 1.0, 1.5, 0.9, 0.7 for Reaney regimes Ia, Ib, II, III).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−Softplus(h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(z, tilt features))   (≤ 0).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4.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sigmoid(β₀ + β₁·c_approx + β₂·g_norm + β₃·p) with β = (−2.0, 3.0, 2.0, 2.0)   (fixed gate);  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· Tanh(h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(z, residual features, σ_conf context)) · 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5.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for CM-computable compositions; no-CM fallback MLP otherwise.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6. Optimise the eq. (11) loss with AdamW (the Adam optimiser ²¹ with decoupled weight decay; Methods), mixup augmentation, and stochastic weight averaging (SWA); repeat for 5 independently seeded models (seeds 0–4).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Outputs: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5-seed ensemble (prediction = seed mean); per-composition decomposition (ε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LST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tilt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δ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); ensemble standard deviation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00" w:before="320" w:line="48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Algorithm S2 | Split conformal calibration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Following the algorithmic-learning framework of Vovk and colleagues ²⁹ and the distribution-free split-conformal construction of Lei et al. ³⁶: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Inputs: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family-disjoint calibration set (n = 116) with ensemble predictions; nominal level 1 − α.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Procedure: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Nonconformity scores 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= |ε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r,i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ε̂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r,i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q̂(1−α) = the ⌈(n+1)(1−α)⌉/n empirical quantile of {s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}.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Prediction interval = [ε̂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q̂, ε̂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q̂].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Outputs: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calibrated intervals (q̂₉₀ = 14.38 ε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units); coverage validated out of calibration over repeated disjoint calibration/coverage splits of the holdout (Methods).</w:t>
      </w:r>
    </w:p>
    <w:p>
      <w:pPr>
        <w:spacing w:after="200" w:before="320" w:line="48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Algorithm S3 | Physics-constrained genetic-algorithm inverse design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Building on classical genetic-algorithm formulations ²⁸ and the adaptive-design-of-experiments tradition in materials informatics ²⁷,²⁶: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Inputs: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trained ensemble; A- and⁰ B-site composition simplices; hard validity constraints (charge balance |z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+ z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− 6| ≤ 0.1, Goldschmidt tolerance factor in [0.85, 1.05], d⁰ B-site fraction ≥ 0.5); fitness f = ε̂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− 0.5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Procedure: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Initialise a population of 100 physically valid compositions.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For 50 generations: tournament selection (k = 3), uniform crossover (rate 0.70), Gaussian composition mutation (rate 0.30, σ = 0.05), elitism (5), 5% random immigration.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Project each candidate to enforce charge balance; reject candidates that violate the validity constraints.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4. Evaluate fitness with the ensemble (≈ 5,000 forward evaluations per run).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Outputs: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per-run optimum with its 90% conformal interval; post-hoc applicability-domain and nearest-neighbour assessment of each candidate.</w:t>
      </w:r>
    </w:p>
    <w:p>
      <w:pPr>
        <w:spacing w:after="200" w:before="320" w:line="48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Algorithm S4 | Two-layer applicability domain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Inputs: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trained ensemble; standardised 103-feature inputs.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Procedure: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Physics gate: in-domain iff σ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conf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&lt; 0.35.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Density gate: Gaussian-kernel log-density on the standardised features exceeds the 10th percentile of the training distribution.</w:t>
      </w:r>
    </w:p>
    <w:p>
      <w:pPr>
        <w:spacing w:after="20" w:line="288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Applicability domain = intersection of the physics and density gates.</w:t>
      </w:r>
    </w:p>
    <w:p>
      <w:pPr>
        <w:spacing w:after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Outputs: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in-domain / out-of-domain label per composition; partitioned performance R²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versus R²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bscript"/>
        </w:rPr>
        <w:t xml:space="preserve">out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200" w:before="320" w:line="48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Statistical methods used throughout</w:t>
      </w:r>
    </w:p>
    <w:p>
      <w:pPr>
        <w:spacing w:after="2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Cross-validation ³⁰ is implemented as Family-GroupShuffleSplit, with the leave-one-family-out (LOFO) variant providing a stricter generalisation test in the spirit of the PRESS statistic ³¹. Permutation tests for the A-site and regime hierarchies follow the Fisher randomisation principle ³² over 2,000 label permutations. Confidence intervals on the conformal coverage and on the A-site means use the non-parametric bootstrap ³³ (2,000 resamples). The Shapley R² decomposition over the 2³ branch ablations (main MS Results §1) and the SHAP feature attribution (Supplementary Fig. 11) both build on the cooperative-game theoretic Shapley value ³⁴, with SHAP itself following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vertAlign w:val="superscript"/>
        </w:rPr>
        <w:t xml:space="preserve">Lundberg &amp; Lee 2017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1 | Hyperparameter search results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Optuna 100-trial search (Tree-structured Parzen Estimator (TPE) sampler ⁵) hyperparameters. Final reported values correspond to trial 98 of the search (R² = 0.928). Fixed, non-learnable parameters of the σ_conf physics-confidence gate (eq. 9, main text), the regime-prior multiplier (Fig. 4d), and the ensemble + genetic-algorithm seeds are listed at the foot of the table. λ_GII was re-tuned by a post-hoc grid search over {0.005, 0.010, 0.020, 0.030, 0.050, 0.075, 0.100} (selection metric: 5-fold Strat-GSS CV R² on the training set only; 0.030 was selected) after a data-loading correction; the original Optuna value (4.872 × 10⁻³) had been tuned with a corrupted GII = 0 array and is discarded.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Trunk hidden units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384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Trunk residual blocks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LST branch hidden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96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Tilt branch hidden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Residual branch hidden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Residual scale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44.9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Dropout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0.167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Hidden activation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SiLU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Normalisation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LayerNorm per branch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Optimiser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AdamW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Learning rate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1.107 × 10⁻³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Weight decay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2.301 × 10⁻⁵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Batch size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128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 epochs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Early stopping patience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Mixup α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0.025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 start fraction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0.765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 learning rate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2.513 × 10⁻⁵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λ_LST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1.484 × 10⁻³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 (Optuna)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λ_GII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 (post-hoc grid)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λ_VCA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4.470 × 10⁻²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 (Optuna)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Log-loss α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Tuned (Optuna)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σ_conf gate β₀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−2.0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(non-learnable)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σ_conf gate β₁ (c_approx)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(non-learnable)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σ_conf gate β₂ (g_norm)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(non-learnable)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σ_conf gate β₃ (p)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(non-learnable)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Regime prior (Ia, Ib, II, III)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1.0, 1.5, 0.9, 0.7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(non-learnable)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Ensemble seeds (5)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0, 1, 2, 3, 4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Genetic-algorithm seed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2 | Baseline comparison: extended metrics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Stratified Family-GroupShuffleSplit cross-validation (n_train = 1,188, 5 folds) and held-out evaluation (n_holdout = 116) for seven baselines plus the PCNN. CV→Holdout gap indicates train-to-test stability; positive values mean the model improves on holdout (over-cautious CV); negative values indicate in-family memorisation.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080"/>
        <w:gridCol w:w="1664"/>
        <w:gridCol w:w="1664"/>
        <w:gridCol w:w="2080"/>
      </w:tblGrid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CV R² ± std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Holdout R²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Holdout MAE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CV→Holdout gap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CM-only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−0.862 ± 0.355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−0.492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26.59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+0.370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Ridge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0.721 ± 0.190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0.867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9.19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+0.146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0.901 ± 0.057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0.894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7.87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−0.007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XGBoost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0.928 ± 0.053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0.879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8.08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−0.049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CatBoost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0.930 ± 0.041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0.910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7.04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−0.020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BPNN (MLP)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0.914 ± 0.093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0.957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5.40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+0.043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PIRNN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0.863 ± 0.181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0.937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6.01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+0.074</w:t>
            </w:r>
          </w:p>
        </w:tc>
      </w:tr>
      <w:tr>
        <w:tc>
          <w:tcPr>
            <w:tcW w:type="dxa" w:w="18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PCNN (ours)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0.893 ± 0.043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0.941</w:t>
            </w:r>
          </w:p>
        </w:tc>
        <w:tc>
          <w:tcPr>
            <w:tcW w:type="dxa" w:w="166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5.77</w:t>
            </w:r>
          </w:p>
        </w:tc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+0.048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4 | Signed-error and coverage by ε_r subset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Bias diagnostics on the 116-sample family-disjoint holdout, stratified by measured ε_r. Signed error = mean(predicted − measured): a small positive value indicates near-unbiased prediction; negative values indicate under-prediction. The model is near-unbiased overall and mildly under-predicts the highest-ε_r compositions, where the conformal-band coverage also softens.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2200"/>
        <w:gridCol w:w="1760"/>
        <w:gridCol w:w="1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Subset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Signed error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Within 90% band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Full holdout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+0.54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5.77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Top-20% ε_r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−4.05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7.50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Top-10% ε_r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−5.06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7.35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5 | Baseline model hyperparameters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Fixed hyperparameters of the seven comparison baselines (Supplementary Table 2). These are standard, robust settings held constant across all folds; every baseline uses the identical 103-feature inputs, scalers, and train/calibration split as the PCNN.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Fixed hyperparameters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CM-only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Analytic Clausius–Mossotti; no learnable parameters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Ridge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α = 10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 trees; max-features 0.33; min-samples-leaf 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XGBoost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 trees; max-depth 6; learning rate 0.05; subsample 0.8; colsample 0.8; λ = 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CatBoost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1,000 iterations; depth 7; learning rate 0.05; l2-leaf-reg 3; subsample 0.8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BPNN / MLP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hidden layers (256, 256, 128); SiLU; dropout 0.15; AdamW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PIRNN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Shared encoder (256) → sign-constrained heads; no feature partition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PCNN (ours)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See Supplementary Table 1 and Supplementary Note 3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6 | PCNN per-layer architecture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Layer-by-layer widths for the four-branch CMLTRPCNN. Total: 11 hidden layers and 2,224 hidden neurons (384 + 384 + 384 + 192 + 96 + 48 + 64 + 32 + 256 + 256 + 128) summed over parallel trunk + branch paths; the 320-neuron no-CM fallback MLP (256 + 64; SiLU, dropout 0.167) is parallel and is engaged only for the ≈14% of compositions without a valid CM baseline. The deepest single computational path (trunk + residual branch) is 7 hidden layers. Hidden activations: SiLU. Normalisation: LayerNorm per branch.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400"/>
        <w:gridCol w:w="1100"/>
        <w:gridCol w:w="24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Inputs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Hidden widths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 / sign constraint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Shared trunk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384 → 384 → 384 → 192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Two central 384-width layers form a residual block (skip connection)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LST branch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 + 30 = 222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96 → 48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(scalar)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Softplus → δ_LST ≥ 0 (eq. 6)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Tilt branch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 + 30 = 222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 → 32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(scalar)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−Softplus → δ_tilt ≤ 0 (eq. 7)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Residual branch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 + 43 + 1 = 236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→ 256 → 128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(scalar)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σ_conf × Tanh × s_res (eq. 8); σ_conf is fixed (no learnable parameters)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No-CM fallback MLP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→ 64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(scalar)</w:t>
            </w:r>
          </w:p>
        </w:tc>
        <w:tc>
          <w:tcPr>
            <w:tcW w:type="dxa" w:w="2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Engaged when CM is undefined (≈14% of compositions)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Table 7 | Reproducibility map: main display items → scripts → results → source data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Mapping between each main-text figure or table and the deposited artefact required to reproduce it. Reproduction scripts live under scripts/ in the GitHub/Zenodo code release; result JSONs are written to results/ by each script and underpin all reported numbers; source-data CSVs are deposited in the Zenodo dataset archive and provide the panel-level numerical data behind each figure or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000"/>
        <w:gridCol w:w="2600"/>
        <w:gridCol w:w="2810"/>
      </w:tblGrid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Main item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Reproduction script(s)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 file(s)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Source-data CSV(s)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scripts/04b_cm_baseline_validcm_v77.py → figures/gen_fig1_motivation.py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results/04b_cm_baseline_validcm_v77.json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F01a_cm_parity.csv; F01b_regime_residuals.csv; F01c_enhancement_hist.csv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scripts/43b_asite_flst_table_v77.py; scripts/39_physics_decomposition.py → figures/gen_fig4_discovery.py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results/43b_asite_flst_table_v77.json; results/39_physics_decomposition.json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F02a_asite_flst_hierarchy.csv; F02b_radius_trend.csv; F02c_regime_decomposition.csv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3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(schematic — no script)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scripts/43_counterfactual_permutation.py; scripts/38_ablation_study.py → figures/gen_fig5_causality.py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results/43_counterfactual_permutation.json; results/38_ablation_study.json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F04a_branch_ablation.csv; F04b_counterfactual.csv; F04c_tilt_zeroout.csv; F04d_regime_priors.csv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scripts/06_three_way_comparison.py; scripts/57_baseline_comparison.py → figures/gen_fig3_performance.py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results/06_three_way_comparison.json; results/57_baseline_comparison.json; results/58_train_test_gap.json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F05a_parity.csv; F05b_conformal_calibration.csv; F05c_baseline_cv.csv; F05d_train_test_gap.csv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Fig. 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scripts/42_lofo_v77.py; scripts/49_ad_v77.py; scripts/67_physics_ga_inverse_design.py → figures/gen_fig6_limits.py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results/42_lofo.json; results/49_ad_v77.json; results/67_ga_*.json; results/68_ga_postprocess.json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F06a_lofo.csv; F06b_confident_but_wrong.csv; F06c_ga_traces.csv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 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scripts/57_baseline_comparison.py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results/57_baseline_comparison.json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T01_baselines.csv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 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scripts/45_naive_rank_check.py; scripts/06_three_way_comparison.py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results/06_three_way_comparison.json; results/45_naive_rank_check.json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T02_pcnn_three_splits.csv</w:t>
            </w:r>
          </w:p>
        </w:tc>
      </w:tr>
      <w:tr>
        <w:tc>
          <w:tcPr>
            <w:tcW w:type="dxa" w:w="9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 Fig. 24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scripts/78_sigma_conf_beta_sweep.py → figures/gen_figS24_sigma_conf_sensitivity.py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results/78_sigma_conf_beta_sweep.json</w:t>
            </w:r>
          </w:p>
        </w:tc>
        <w:tc>
          <w:tcPr>
            <w:tcW w:type="dxa" w:w="28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S24_sigma_conf_sensitivity.csv</w:t>
            </w:r>
          </w:p>
        </w:tc>
      </w:tr>
    </w:tbl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Figures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371725"/>
            <wp:effectExtent t="0" r="0" b="0" l="0"/>
            <wp:docPr id="1" name="figS1_dataset_statistics.png" descr="Supplementary Figure" title="figS1_dataset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 | Dataset statistics.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Distribution of measured ε_r (panel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1,304 with median 37.0 and interquartile range [27.5, 49.4]), Reaney regime composition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Ia 60, Ib 354, II 331, III 559), and primary A-site occupancy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Ba 436, Ca 421, Sr 180, La 125, Pb 86, and 56 mixed La/Na/Bi/K-co-occupied compositions).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33725"/>
            <wp:effectExtent t="0" r="0" b="0" l="0"/>
            <wp:docPr id="1" name="figS2_error_stratification.png" descr="Supplementary Figure" title="figS2_error_stratific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 | Error stratification by regime and A-site.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Holdout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116) predicted-vs-measured ε_r, with PCNN predictions coloured separately by Reaney regime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and A-site cation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). Regime III dominates the holdout (74/116 = 64%) and shows the tightest agreement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= 0.95); Regime Ib (12/116) is sample-limited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= 0.13). Per-A-site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ranges from 0.78 (Ca) to 0.96 (Sr).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219450"/>
            <wp:effectExtent t="0" r="0" b="0" l="0"/>
            <wp:docPr id="1" name="figS3_optuna_convergence.png" descr="Supplementary Figure" title="figS3_optuna_converg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3 | Optuna hyperparameter convergence.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Hyperparameter search history across the 99 completed Optuna trials (of 100 sampled; TPE sampler). Best-trial formula-split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as a function of trial number, converging by trial ~60 to the best configuration (trial 98,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= 0.928).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33725"/>
            <wp:effectExtent t="0" r="0" b="0" l="0"/>
            <wp:docPr id="1" name="figS4_cv_folds.png" descr="Supplementary Figure" title="figS4_cv_fol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4 | Cross-validation diagnostics across folds.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Per-fold formula-split CV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(mean 0.946, SD 0.008) and Strat-GSS CV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(mean 0.893, SD 0.043) for the PCNN.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Per-fold Strat-GSS (grouped-shuffle) cross-validation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under the out-of-distribution split, showing fold-to-fold stability about the 0.893 mean.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638425"/>
            <wp:effectExtent t="0" r="0" b="0" l="0"/>
            <wp:docPr id="1" name="figS5_residuals.png" descr="Supplementary Figure" title="figS5_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5 | Residual diagnostics.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PCNN holdout residuals (measured − predicted ε_r) versus predicted ε_r, coloured by Reaney regime, with no strong heteroscedastic structure (Spearman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between |residual| and predicted σ = 0.28).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Residual distribution (mean −0.54, SD 8.03, skew 0.62) with a Gaussian fit, indicating a slight negative bias.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Normal quantile–quantile plot of the residuals (linear-fit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0.976), near-Gaussian in the central region with mildly heavier tails consistent with the Regime III-heavy holdout composition.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847975"/>
            <wp:effectExtent t="0" r="0" b="0" l="0"/>
            <wp:docPr id="1" name="figS6_baseline_comparison.png" descr="Supplementary Figure" title="figS6_baseline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6 | Baseline comparison, full Strat-GSS + holdout.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Per-baseline (CM-only, Ridge, Random Forest, XGBoost, CatBoost, BPNN/MLP, PIRNN, PCNN) Strat-GSS five-fold cross-validation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(mean ± SD as error bars,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),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and holdout MAE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). Several flexible baselines match or slightly exceed the PCNN on raw holdout accuracy (e.g. BPNN/MLP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= 0.957 vs PCNN 0.941), but the PCNN attains the lowest out-of-distribution cross-validation variance (SD 0.043 vs 0.181 for PIRNN) — the physics constraints buy generalisation stability at no cost to point accuracy.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638425"/>
            <wp:effectExtent t="0" r="0" b="0" l="0"/>
            <wp:docPr id="1" name="figS7_conformal.png" descr="Supplementary Figure" title="figS7_conform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7 | Conformal calibration details.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Empirical versus nominal coverage at α = 0.20, 0.15, 0.10, 0.05 (in-calibration: 80.2 / 85.3 / 90.5 / 95.7%; out-of-calibration bootstrap over 2,000 disjoint calibration/coverage splits of the 116-sample holdout: 80.1 ± 7.7 / 85.4 ± 6.9 / 89.9 ± 5.7 / 95.0 ± 4.2%), tracking the ideal diagonal.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Absolute residual |ε_r,pred − ε_r,measured| versus predicted ε_r, with the 90% conformal threshold (±14.4 ε_r units) and the 27%-of-predicted-value relative band marked.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Conformal parity: predicted ε_r with its 90% band (±14.4) versus measured ε_r, illustrating interval width across the prediction range.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33725"/>
            <wp:effectExtent t="0" r="0" b="0" l="0"/>
            <wp:docPr id="1" name="figS8_lofo.png" descr="Supplementary Figure" title="figS8_lof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8 | Leave-one-family-out (LOFO) generalisability, detailed.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A-site leave-one-family-out (LOFO)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²: La 0.849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125), Ca 0.610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421), Sr 0.434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180), Ba 0.008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436), Pb −0.097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86).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Regime LOFO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²: II 0.654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331), III 0.490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559), Ib −0.158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354), Ia −7.378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60). Transfer collapses for the extrapolative Pb family and the tilt-free Regime Ia, consistent with their data sparsity and out-of-distribution character.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667000"/>
            <wp:effectExtent t="0" r="0" b="0" l="0"/>
            <wp:docPr id="1" name="figS9_applicability_domain.png" descr="Supplementary Figure" title="figS9_applicability_do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9 | Applicability domain, physics and density gates.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Dual-layer applicability domain (Layer 1: physics-mechanism gate σ_conf; Layer 2: PCA + KDE density).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In-domain coverage of each layer — physics gate 56.4%, KDE density 94.9% and the combined domain 52.8% of the corpus.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Holdout reliability inside versus outside each domain (Layer 1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²_in 0.967 /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²_out 0.554; Layer 2 0.954 / 0.870; combined 0.933 / 0.858), confirming that in-domain predictions are markedly more reliable.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Combined in-domain fraction resolved by A-site cation (Pb 74%, La 72%, Ba 58%, Ca 53%, Sr 23%); Sr-rich compositions fall outside the domain most often.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857500"/>
            <wp:effectExtent t="0" r="0" b="0" l="0"/>
            <wp:docPr id="1" name="figS10_feature_partition.png" descr="Supplementary Figure" title="figS10_feature_parti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10 | Feature partition and crystal-system ablation.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The strict 30/30/43 LST/tilt/residual partition of the 103 physics features feeding the zero-parameter Clausius–Mossotti anchor; no feature appears in more than one branch.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Crystal-system feature ablation: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116) with the 8 crystal-system features zeroed (0.941 → 0.935, Δ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= −0.006, ΔMAE = +0.33), showing the crystal-system features have a minor, non-zero impact — the model is crystal-system-agnostic.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4457700"/>
            <wp:effectExtent t="0" r="0" b="0" l="0"/>
            <wp:docPr id="1" name="figS11_shap_importance.png" descr="Supplementary Figure" title="figS11_shap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11 | SHAP feature attribution.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GradientExplainer SHAP values over 400 test compositions (103 input features).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Top-20 features by mean |SHAP|, colour-coded by physics branch, with arrows giving the sign of the mean effect on ε_r; the leading individual predictors are the Clausius–Mossotti baseline (er_CM, 4.98), the tolerance-weighted soft-mode term (3.21) and the second-order Jahn–Teller (SOJT) weighting (weighted_SOJT, 3.15; SOJT off-centring in d⁰ B-site perovskites is reviewed in ¹⁷).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Aggregated mean |SHAP| by branch (LST 42.6 &gt; residual 22.0 &gt; tilt 15.4 &gt; auxiliary 2.1), confirming that the LST features carry the largest share of the model's feature attribution, consistent with the LST-branch dominance reported in Fig. 2.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81350"/>
            <wp:effectExtent t="0" r="0" b="0" l="0"/>
            <wp:docPr id="1" name="figS12_lofo_parity.png" descr="Supplementary Figure" title="figS12_lofo_par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12 | LOFO parity diagnostics.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Leave-one-family-out predicted-vs-measured ε_r parity, with the 1:1 line, resolved by A-site cation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; per-family holdout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² in the legend: La 0.849, Ca 0.610, Sr 0.434, Ba 0.008, Pb −0.097) and by Reaney regime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; Ia −7.38, Ib −0.16, II 0.65, III 0.49). The held-out Pb series (panel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is systematically underpredicted across the Pb-containing composition range.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4810125"/>
            <wp:effectExtent t="0" r="0" b="0" l="0"/>
            <wp:docPr id="1" name="figS13_counterfactual_heatmap.png" descr="Supplementary Figure" title="figS13_counterfactual_heat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13 | Counterfactual permutation analysis.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For each B-site family, the fraction of Δε_r assigned to the LST branch under permuted input. Mean across families = 96.0%; minimum = 80.3% on the smaller Y family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7), with all five B-site families containing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≥ 5 reported, confirming A-site control of the LST channel is B-site-independent.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971800"/>
            <wp:effectExtent t="0" r="0" b="0" l="0"/>
            <wp:docPr id="1" name="figS14_permutation_null.png" descr="Supplementary Figure" title="figS14_permutation_n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14 | Permutation null distributions.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Null distribution of the family-mean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range under 2,000 random permutations of the grouping labels.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A-site permutation null: the observed range (1.622; Pb 2.28 → Ba 0.66) lies far in the tail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≈ 17σ,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&lt; 0.0005; 0 of 2,000 permutations as extreme).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Regime permutation null: observed range 1.136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≈ 9σ,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&lt; 0.0005). Because A-site identity co-varies with Reaney regime across the corpus, the regime result corroborates, but does not independently confirm, the A-site ranking.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81350"/>
            <wp:effectExtent t="0" r="0" b="0" l="0"/>
            <wp:docPr id="1" name="figS15_sigma_conf_vs_error.png" descr="Supplementary Figure" title="figS15_sigma_conf_vs_err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15 | σ_conf vs absolute prediction error.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Per-composition predictive confidence σ_conf against |ε_r,pred − ε_r,measured| on the holdout set, coloured by Reaney regime, with the conformal q̂₉₀ = 14.38 and the Layer-1 physics gate (σ_conf = 0.35) marked.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Binned mean error versus σ_conf, which rises with σ_conf — showing σ_conf is a meaningful (physics-aware, epistemic) uncertainty signal, not a perfect error predictor.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4391025"/>
            <wp:effectExtent t="0" r="0" b="0" l="0"/>
            <wp:docPr id="1" name="figS16_reaney_plot.png" descr="Supplementary Figure" title="figS16_reaney_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16 | Reaney-regime plot.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Predicted ε_r as a function of Goldschmidt tolerance factor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with regime boundaries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0.965, 0.985) from Reaney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et al.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[4] marked. Compositions are coloured by A-site cation. Soft-mode-active regimes (Ib, II, III) show ε_r values 1.5–2.5× larger than untilted Regime Ia, consistent with the dominance of the LST contribution.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4486275"/>
            <wp:effectExtent t="0" r="0" b="0" l="0"/>
            <wp:docPr id="1" name="figS17_asite_radius_trend.png" descr="Supplementary Figure" title="figS17_asite_radius_tr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17 | A-site ionic radius trend.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Per-A-site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versus 12-coordinate Shannon ionic radius, with Pb shown as an off-trend outlier consistent with the canonical soft-mode/lone-pair perovskite ferroelectric picture . Across the Ba→Sr→La→Ca segment,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rises monotonically as the radius contracts; Ca²⁺ (1.34 Å) and La³⁺ (1.36 Å) are near-isoradial in 12-coordination, so the within-Ca/La gap reflects valence rather than radius and the four-point trend should be read qualitatively rather than as a precise Pearson estimate.
&lt;!-- Supplementary Fig. 18 (Sr-Ca-Ti discovery map) removed in the inverse-design-only version of this manuscript. --&gt;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752850"/>
            <wp:effectExtent t="0" r="0" b="0" l="0"/>
            <wp:docPr id="1" name="figS19_tolerance_histogram.png" descr="Supplementary Figure" title="figS19_tolerance_hist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19 | Tolerance-factor histogram.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Distribution of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across the corpus, stacked by primary A-site cation (Ba 436, Ca 421, Sr 180, La 125, Pb 86; the 56 mixed-A-site compositions are omitted), with the Reaney regime boundaries[4]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0.965, 0.985) marked; recent ML-based tolerance-factor work is reviewed in ³⁸. Regime III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≤ 0.965,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559) is the largest regime population and Regime Ia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60) the smallest.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848100"/>
            <wp:effectExtent t="0" r="0" b="0" l="0"/>
            <wp:docPr id="1" name="figS20_crystal_structure.png" descr="Supplementary Figure" title="figS20_crystal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20 | The three physics mechanisms encoded in the PCNN.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Schematic of the ABO₃ perovskite responses the model decomposes: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the ideal cubic lattice setting the Clausius–Mossotti baseline ε_r,CM (polarizability of the static lattice);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soft-mode displacement (predominantly B-site off-centring, with coupled A-O motion in titanates) giving the LST enhancement δ_LST ∝ 1/ω²_TO; and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octahedral tilting (Glazer taxonomy ²; Goldschmidt/Reaney, tolerance factor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&lt; 1) that suppresses ε_r (δ_tilt). A-site, B-site and oxygen sites are indicated in the legend.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5172075"/>
            <wp:effectExtent t="0" r="0" b="0" l="0"/>
            <wp:docPr id="1" name="figS21_descriptor_panels.png" descr="Supplementary Figure" title="figS21_descriptor_pan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21 | Structure-property correlations between 12 physical descriptors and PCNN-predicted ε_r.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Each panel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–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shows the predicted ε_r against one descriptor across all 1,304 ABO₃-type compositions, with points coloured by Reaney regime (Ia, Ib, II, III). The annotated Spearman rank correlation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quantifies the monotonic relation between each descriptor and the predicted permittivity. Panels: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Goldschmidt tolerance factor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−0.04).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Clausius–Mossotti baseline ε_r,CM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+0.41).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δ_LST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+0.87, the strongest single predictor, consistent with the LST-dominated mechanism reported in the main text).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octahedral tilt branch δ_tilt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+0.48).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residual branch δ_res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+0.61).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predictive confidence σ_conf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−0.06).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soft-mode enhancement factor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= δ_LST / ε_r,CM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+0.76).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h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B-site d fraction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+0.61).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total ionic polarizability α_total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−0.02).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j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A-site electronegativity χ_A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+0.41).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k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global instability index GII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−0.15).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ensemble standard deviation σ_ML (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ρ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+0.48). The ranking δ_LST &gt;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&gt; δ_res ≈ d_per_field &gt; χ_A confirms that the LST channel carries the largest single contribution to permittivity, in agreement with the SHAP attribution in Supplementary Fig. 11 and the branch-decomposition statistics in the main text.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3143250"/>
            <wp:effectExtent t="0" r="0" b="0" l="0"/>
            <wp:docPr id="1" name="figS22_element_attribution.png" descr="Supplementary Figure" title="figS22_element_at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22 | A-site-resolved physics decomposition.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Mean CM, LST, tilt and residual contributions to ε_r resolved by primary A-site cation, computed across all compositions of each family.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Stacked decomposition (ε_r,CM baseline plus δ_LST, δ_tilt, δ_res) per A-site, ordered by LST amplification: Pb (total ε_r ≈ 93,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83), Ca (56,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344), La (43,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121), Sr (38,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159), Ba (34,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= 368).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, The corresponding soft-mode enhancement factor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_LST = ⟨δ_LST/ε_r,CM⟩ (Pb 2.28 &gt; Ca 1.66 &gt; La 1.13 &gt; Sr 0.91 &gt; Ba 0.66), reproducing the A-site hierarchy of Fig. 2a.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figS23_latent_space.png" descr="Supplementary Figure" title="figS23_latent_sp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23 | Latent representation analysis.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Two-dimensional principal-component-analysis ³⁵ projection of the 192-dimensional trunk representation (PC1 43%, PC2 27% of variance; trunk hidden state averaged across 5 seeds), coloured by measured ε_r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), Reaney regime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and A-site cation (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). The trunk learns chemically coherent clusters that align with A-site identity (panel </w:t>
      </w: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) more than with regime, matching A-site dominance in the LST channel.</w:t>
      </w:r>
    </w:p>
    <w:p>
      <w:pPr>
        <w:spacing w:after="0" w:before="4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 w:before="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igS24_sigma_conf_sensitivity.png" descr="Supplementary Figure" title="figS24_sigma_conf_sensi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 w:before="0" w:line="280" w:lineRule="auto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Supplementary Fig. 24 | σ_conf gate β coefficient ±50% sensitivity sweep.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 Per-A-site mean f_LST (top panel) and per-A-site mean σ_conf (bottom panel) for 9 perturbations (baseline + ±50% on each of β₀, β₁, β₂, β₃) × 5 independently-seeded retrainings = 45 independently trained models. The Pb &gt; Ca &gt; La &gt; Sr &gt; Ba ordering is preserved in every perturbation with per-A-site mean f_LST varying by ≤ 0.02 from canonical (Pb 2.28 / Ca 1.66 / La 1.13 / Sr 0.91 / Ba 0.66) and holdout R² in the range 0.929–0.937 (canonical 0.941). σ_conf shifts as expected with the perturbations, confirming the gate is responsive while the hierarchy attribution is structurally invariant to the gate-coefficient choice within the ±50% band. Source data are provided as a Source Data file.</w:t>
      </w:r>
    </w:p>
    <w:p>
      <w:r>
        <w:br w:type="page"/>
      </w:r>
    </w:p>
    <w:p>
      <w:pPr>
        <w:pStyle w:val="Heading1"/>
        <w:spacing w:after="240" w:before="480" w:line="480" w:lineRule="auto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Supplementary References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 microwave-dielectric permittivity dataset (n = 1,304 ABO₃-type compositions) was compiled from a microwave-dielectric ceramics handbook and approximately 200 primary experimental literature sources. The complete enumerated list of these dataset sources is provided as a structured spreadsheet (XLSX) alongside the raw dataset in the Zenodo deposit [Zenodo dataset DOI to be inserted at submission]; that list is not reproduced here for brevity.</w:t>
      </w:r>
    </w:p>
    <w:p>
      <w:pPr>
        <w:spacing w:after="0" w:line="360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The methodological references cited inline within Supplementary Notes 1–3 and the Supplementary Figure legends (1–43, denoted by superscript numbers throughout the supplementary) are listed below; these are in addition to the numbered references [1]–[64] of the main manuscript.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Brown, I. D. The Chemical Bond in Inorganic Chemistry: The Bond Valence Model. (Oxford University Press, 2002).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Glazer, A. M. The classification of tilted octahedra in perovskites. Acta Crystallogr. B 28, 3384–3392 (1972).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Howard, C. J. &amp; Stokes, H. T. Group-theoretical analysis of octahedral tilting in perovskites. Acta Crystallogr. B 54, 782–789 (1998).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Hill, N. A. Why are there so few magnetic ferroelectrics? J. Phys. Chem. B 104, 6694–6709 (2000).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Bergstra, J., Bardenet, R., Bengio, Y. &amp; Kégl, B. Algorithms for hyper-parameter optimization. Advances in Neural Information Processing Systems 24, 2546–2554 (2011).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6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Bruce, A. D. &amp; Cowley, R. A. Long-wavelength soft modes, central peaks, and the Lyddane–Sachs–Teller relation. Phys. Rev. B 12, 4071–4083 (1975).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7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Vegard, L. Die Konstitution der Mischkristalle und die Raumfüllung der Atome. Z. Phys. 5, 17–26 (1921).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8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Megaw, H. D. Crystal Structures: A Working Approach. (Saunders, 1973).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9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Anderson, M. T., Greenwood, K. B., Taylor, G. A. &amp; Poeppelmeier, K. R. B-cation arrangements in double perovskites. Prog. Solid State Chem. 22, 197–233 (1993).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Vasala, S. &amp; Karppinen, M. A₂B′B″O₆ perovskites: a review. Prog. Solid State Chem. 43, 1–36 (2015).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11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Lines, M. E. &amp; Glass, A. M. Principles and Applications of Ferroelectrics and Related Materials. (Oxford University Press, 1977).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12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Cowley, R. A. Lattice dynamics and phase transitions of strontium titanate. Phys. Rev. 134, A981–A997 (1964).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13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Müller, K. A. &amp; Burkard, H. SrTiO₃: An intrinsic quantum paraelectric below 4 K. Phys. Rev. B 19, 3593–3602 (1979).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14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Waghmare, U. V. &amp; Rabe, K. M. Ab initio statistical mechanics of the ferroelectric phase transition in PbTiO₃. Phys. Rev. B 55, 6161–6173 (1997).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15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Watson, G. W. &amp; Parker, S. C. Origin of the lone pair of α-PbO from density functional theory calculations. J. Phys. Chem. B 103, 1258–1262 (1999).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16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King-Smith, R. D. &amp; Vanderbilt, D. Theory of polarization of crystalline solids. Phys. Rev. B 47, 1651–1654 (1993).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17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Pearson, R. G. A symmetry rule for predicting molecular structures. J. Am. Chem. Soc. 91, 4947–4955 (1969).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18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Salinas-Sanchez, A., Garcia-Munoz, J. L., Rodriguez-Carvajal, J., Saez-Puche, R. &amp; Martinez, J. L. Structural characterization of R₂BaCuO₅ (R = Y, Lu, Yb, Tm, Er, Ho, Dy, Gd, Eu, Sm, Nd, Sa, Pr) oxides by X-ray and neutron diffraction. J. Solid State Chem. 100, 201–211 (1992).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19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Cybenko, G. Approximation by superpositions of a sigmoidal function. Math. Control Signals Syst. 2, 303–314 (1989).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Goodfellow, I., Bengio, Y. &amp; Courville, A. Deep Learning. (MIT Press, 2016).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21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Kingma, D. P. &amp; Ba, J. Adam: A method for stochastic optimization. International Conference on Learning Representations (ICLR, 2015). arXiv:1412.6980.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22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He, K., Zhang, X., Ren, S. &amp; Sun, J. Deep residual learning for image recognition. Proceedings of the IEEE Conference on Computer Vision and Pattern Recognition 770–778 (2016).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23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Ba, J. L., Kiros, J. R. &amp; Hinton, G. E. Layer normalization. arXiv:1607.06450 (2016).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24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Elfwing, S., Uchibe, E. &amp; Doya, K. Sigmoid-weighted linear units for neural network function approximation in reinforcement learning. Neural Netw. 107, 3–11 (2018).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25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Srivastava, N., Hinton, G., Krizhevsky, A., Sutskever, I. &amp; Salakhutdinov, R. Dropout: A simple way to prevent neural networks from overfitting. J. Mach. Learn. Res. 15, 1929–1958 (2014).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26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Snoek, J., Larochelle, H. &amp; Adams, R. P. Practical Bayesian optimization of machine learning algorithms. Advances in Neural Information Processing Systems 25, 2951–2959 (2012).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27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Lookman, T., Balachandran, P. V., Xue, D. &amp; Yuan, R. Active learning in materials science with emphasis on adaptive sampling using uncertainties for targeted design. npj Comput. Mater. 5, 21 (2019).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28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Holland, J. H. Adaptation in Natural and Artificial Systems. (University of Michigan Press, 1975).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29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Vovk, V., Gammerman, A. &amp; Shafer, G. Algorithmic Learning in a Random World. (Springer, 2005).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Stone, M. Cross-validatory choice and assessment of statistical predictions. J. R. Stat. Soc. B 36, 111–147 (1974).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31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Allen, D. M. The relationship between variable selection and data augmentation and a method for prediction. Technometrics 16, 125–127 (1974).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32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Fisher, R. A. The Design of Experiments. (Oliver and Boyd, 1935).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33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Efron, B. Bootstrap methods: another look at the jackknife. Ann. Stat. 7, 1–26 (1979).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Shapley, L. S. A value for n-person games. In Contributions to the Theory of Games (eds. Kuhn, H. W. &amp; Tucker, A. W.) vol. II, 307–317 (Princeton University Press, 1953).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35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Pearson, K. On lines and planes of closest fit to systems of points in space. Philos. Mag. 2, 559–572 (1901).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36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Lei, J., G\u2019Sell, M., Rinaldo, A., Tibshirani, R. J. &amp; Wasserman, L. Distribution-free predictive inference for regression. J. Am. Stat. Assoc. 113, 1094–1111 (2018).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37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Lemanov, V. V. Improper ferroelastic SrTiO₃ and what we know today about its properties. Ferroelectrics 265, 1–21 (2002).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38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Brown, I. D. Recent developments in the methods and applications of the bond valence model. Chem. Rev. 109, 6858–6919 (2009).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39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Bilc, D. I. &amp; Singh, D. J. Frustration of tilts and A-site driven ferroelectricity in KNbO₃-LiNbO₃ alloys. Phys. Rev. Lett. 96, 147602 (2006).</w:t>
      </w:r>
    </w:p>
    <w:p>
      <w:pPr>
        <w:tabs>
          <w:tab w:val="left" w:pos="720"/>
        </w:tabs>
        <w:spacing w:after="80" w:line="320" w:lineRule="auto"/>
        <w:ind w:left="720" w:hanging="7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40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Stoltzfus, M. W., Woodward, P. M., Seshadri, R., Klepeis, J.-H. &amp; Bursten, B. Structure and bonding in SnWO₄, PbWO₄, and BiVO₄: lone pairs vs inert pairs. Inorg. Chem. 46, 3839–3850 (2007).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Supplementary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7de18602c3b8f53bcad50a9f86836644e47415d.png"/><Relationship Id="rId9" Type="http://schemas.openxmlformats.org/officeDocument/2006/relationships/image" Target="media/38dfe5565edbb5451a51a405abe3a65077e60694.png"/><Relationship Id="rId10" Type="http://schemas.openxmlformats.org/officeDocument/2006/relationships/image" Target="media/4671e813b8787878be1865ac105c57c46f43d554.png"/><Relationship Id="rId11" Type="http://schemas.openxmlformats.org/officeDocument/2006/relationships/image" Target="media/5846960a6da4f4cbe1d116a738b051e7fbdadc6f.png"/><Relationship Id="rId12" Type="http://schemas.openxmlformats.org/officeDocument/2006/relationships/image" Target="media/3ba519c178dd35bda191e61ea719892f4fa5829a.png"/><Relationship Id="rId13" Type="http://schemas.openxmlformats.org/officeDocument/2006/relationships/image" Target="media/f7ec9d653a26fde5d2c035e97d6e4ab57016761d.png"/><Relationship Id="rId14" Type="http://schemas.openxmlformats.org/officeDocument/2006/relationships/image" Target="media/670ee0bbceec7b712dff4a699f0913f26f7a161b.png"/><Relationship Id="rId15" Type="http://schemas.openxmlformats.org/officeDocument/2006/relationships/image" Target="media/3d8565316455ec50930b9b48955d0d7a13c72eae.png"/><Relationship Id="rId16" Type="http://schemas.openxmlformats.org/officeDocument/2006/relationships/image" Target="media/c873961457210a13163552e58fa88865fe55cd64.png"/><Relationship Id="rId17" Type="http://schemas.openxmlformats.org/officeDocument/2006/relationships/image" Target="media/ee2d8f4ee8f2ce504ff31a43cde56ec4aee55640.png"/><Relationship Id="rId18" Type="http://schemas.openxmlformats.org/officeDocument/2006/relationships/image" Target="media/a098a7d9fa8929e9089ce8feec1ca6805d7cf2af.png"/><Relationship Id="rId19" Type="http://schemas.openxmlformats.org/officeDocument/2006/relationships/image" Target="media/1ca80dfc8e0e66947d12b310d724b5b56161aa6e.png"/><Relationship Id="rId20" Type="http://schemas.openxmlformats.org/officeDocument/2006/relationships/image" Target="media/51e86fb0d9b2fceaddd3555d319b450b46f1faed.png"/><Relationship Id="rId21" Type="http://schemas.openxmlformats.org/officeDocument/2006/relationships/image" Target="media/490c8af07600ca8cd55867e4c635311738ad94ee.png"/><Relationship Id="rId22" Type="http://schemas.openxmlformats.org/officeDocument/2006/relationships/image" Target="media/8fa3ee328ae64e9ec89261d38aa9b94c8749f756.png"/><Relationship Id="rId23" Type="http://schemas.openxmlformats.org/officeDocument/2006/relationships/image" Target="media/4d278f061e0814e22f6be23888bca60f1916f54f.png"/><Relationship Id="rId24" Type="http://schemas.openxmlformats.org/officeDocument/2006/relationships/image" Target="media/2d4e9ea537e1ccd5b4e86882aab30857b9d9cc98.png"/><Relationship Id="rId25" Type="http://schemas.openxmlformats.org/officeDocument/2006/relationships/image" Target="media/6a4ab3343cef8bb6fdc252501636ad8d9bf53100.png"/><Relationship Id="rId26" Type="http://schemas.openxmlformats.org/officeDocument/2006/relationships/image" Target="media/75714b89e3da11c9c0a0be13c2635cc936b0a56c.png"/><Relationship Id="rId27" Type="http://schemas.openxmlformats.org/officeDocument/2006/relationships/image" Target="media/582a052cba8da7705701c29f46678e2c3d62feac.png"/><Relationship Id="rId28" Type="http://schemas.openxmlformats.org/officeDocument/2006/relationships/image" Target="media/8243c1fef6b15fb1d14d06a4ae75fd64fcbde94c.png"/><Relationship Id="rId29" Type="http://schemas.openxmlformats.org/officeDocument/2006/relationships/image" Target="media/884b685d361263fa34e6c897126c0b16d0a377df.png"/><Relationship Id="rId30" Type="http://schemas.openxmlformats.org/officeDocument/2006/relationships/image" Target="media/b28812b4a87aa99b56dead672565cd1266f5928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PCNN ABO3 Supplementary Information</dc:title>
  <dc:creator>PCNN Authors</dc:creator>
  <dc:description>Nature Communications submission, supplementary</dc:description>
  <cp:lastModifiedBy>Un-named</cp:lastModifiedBy>
  <cp:revision>1</cp:revision>
  <dcterms:created xsi:type="dcterms:W3CDTF">2026-05-29T09:56:27.425Z</dcterms:created>
  <dcterms:modified xsi:type="dcterms:W3CDTF">2026-05-29T09:56:27.429Z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