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footer+xml" PartName="/word/footer5.xml"/>
  <Override ContentType="application/vnd.openxmlformats-officedocument.wordprocessingml.footer+xml" PartName="/word/footer6.xml"/>
  <Override ContentType="application/vnd.openxmlformats-officedocument.wordprocessingml.footer+xml" PartName="/word/footer7.xml"/>
  <Override ContentType="application/vnd.openxmlformats-officedocument.wordprocessingml.footer+xml" PartName="/word/footer8.xml"/>
  <Override ContentType="application/vnd.openxmlformats-officedocument.wordprocessingml.footer+xml" PartName="/word/footer9.xml"/>
  <Override ContentType="application/vnd.openxmlformats-officedocument.wordprocessingml.footer+xml" PartName="/word/footer10.xml"/>
  <Override ContentType="application/vnd.openxmlformats-officedocument.wordprocessingml.footer+xml" PartName="/word/footer11.xml"/>
  <Override ContentType="application/vnd.openxmlformats-officedocument.wordprocessingml.footer+xml" PartName="/word/footer12.xml"/>
  <Override ContentType="application/vnd.openxmlformats-officedocument.wordprocessingml.footer+xml" PartName="/word/footer13.xml"/>
  <Override ContentType="application/vnd.openxmlformats-officedocument.wordprocessingml.footer+xml" PartName="/word/footer14.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20" w:line="360" w:lineRule="auto"/>
        <w:jc w:val="left"/>
      </w:pPr>
      <w:r>
        <w:rPr>
          <w:rFonts w:ascii="Arial" w:cs="Arial" w:eastAsia="Arial" w:hAnsi="Arial"/>
          <w:b/>
          <w:bCs/>
          <w:sz w:val="30"/>
          <w:szCs w:val="30"/>
        </w:rPr>
        <w:t xml:space="preserve">Physics-constrained neural decomposition reveals an A-site chemistry hierarchy for soft-mode dielectric amplification in ABO</w:t>
      </w:r>
      <w:r>
        <w:rPr>
          <w:rFonts w:ascii="Arial" w:cs="Arial" w:eastAsia="Arial" w:hAnsi="Arial"/>
          <w:b/>
          <w:bCs/>
          <w:sz w:val="30"/>
          <w:szCs w:val="30"/>
          <w:vertAlign w:val="subscript"/>
        </w:rPr>
        <w:t xml:space="preserve">3</w:t>
      </w:r>
      <w:r>
        <w:rPr>
          <w:rFonts w:ascii="Arial" w:cs="Arial" w:eastAsia="Arial" w:hAnsi="Arial"/>
          <w:b/>
          <w:bCs/>
          <w:sz w:val="30"/>
          <w:szCs w:val="30"/>
        </w:rPr>
        <w:t xml:space="preserve"> microwave ceramics</w:t>
      </w:r>
    </w:p>
    <w:p>
      <w:pPr>
        <w:spacing w:after="120" w:before="240" w:line="360"/>
        <w:jc w:val="center"/>
      </w:pPr>
      <w:r>
        <w:rPr>
          <w:rFonts w:ascii="Arial" w:cs="Arial" w:eastAsia="Arial" w:hAnsi="Arial"/>
          <w:sz w:val="22"/>
          <w:szCs w:val="22"/>
        </w:rPr>
        <w:t xml:space="preserve">[Author Name]</w:t>
      </w:r>
      <w:r>
        <w:rPr>
          <w:rFonts w:ascii="Arial" w:cs="Arial" w:eastAsia="Arial" w:hAnsi="Arial"/>
          <w:sz w:val="22"/>
          <w:szCs w:val="22"/>
          <w:vertAlign w:val="superscript"/>
        </w:rPr>
        <w:t xml:space="preserve">1</w:t>
      </w:r>
      <w:r>
        <w:rPr>
          <w:rFonts w:ascii="Arial" w:cs="Arial" w:eastAsia="Arial" w:hAnsi="Arial"/>
          <w:sz w:val="22"/>
          <w:szCs w:val="22"/>
        </w:rPr>
        <w:t xml:space="preserve">*, [Author Name]</w:t>
      </w:r>
      <w:r>
        <w:rPr>
          <w:rFonts w:ascii="Arial" w:cs="Arial" w:eastAsia="Arial" w:hAnsi="Arial"/>
          <w:sz w:val="22"/>
          <w:szCs w:val="22"/>
          <w:vertAlign w:val="superscript"/>
        </w:rPr>
        <w:t xml:space="preserve">1</w:t>
      </w:r>
      <w:r>
        <w:rPr>
          <w:rFonts w:ascii="Arial" w:cs="Arial" w:eastAsia="Arial" w:hAnsi="Arial"/>
          <w:sz w:val="22"/>
          <w:szCs w:val="22"/>
        </w:rPr>
        <w:t xml:space="preserve">, [Author Name]</w:t>
      </w:r>
      <w:r>
        <w:rPr>
          <w:rFonts w:ascii="Arial" w:cs="Arial" w:eastAsia="Arial" w:hAnsi="Arial"/>
          <w:sz w:val="22"/>
          <w:szCs w:val="22"/>
          <w:vertAlign w:val="superscript"/>
        </w:rPr>
        <w:t xml:space="preserve">2</w:t>
      </w:r>
    </w:p>
    <w:p>
      <w:pPr>
        <w:spacing w:after="120" w:before="120" w:line="360"/>
        <w:jc w:val="center"/>
      </w:pPr>
      <w:r>
        <w:rPr>
          <w:rFonts w:ascii="Arial" w:cs="Arial" w:eastAsia="Arial" w:hAnsi="Arial"/>
          <w:sz w:val="20"/>
          <w:szCs w:val="20"/>
          <w:vertAlign w:val="superscript"/>
        </w:rPr>
        <w:t xml:space="preserve">1</w:t>
      </w:r>
      <w:r>
        <w:rPr>
          <w:rFonts w:ascii="Arial" w:cs="Arial" w:eastAsia="Arial" w:hAnsi="Arial"/>
          <w:sz w:val="20"/>
          <w:szCs w:val="20"/>
        </w:rPr>
        <w:t xml:space="preserve">[Institution 1, City, Country]    </w:t>
      </w:r>
      <w:r>
        <w:rPr>
          <w:rFonts w:ascii="Arial" w:cs="Arial" w:eastAsia="Arial" w:hAnsi="Arial"/>
          <w:sz w:val="20"/>
          <w:szCs w:val="20"/>
          <w:vertAlign w:val="superscript"/>
        </w:rPr>
        <w:t xml:space="preserve">2</w:t>
      </w:r>
      <w:r>
        <w:rPr>
          <w:rFonts w:ascii="Arial" w:cs="Arial" w:eastAsia="Arial" w:hAnsi="Arial"/>
          <w:sz w:val="20"/>
          <w:szCs w:val="20"/>
        </w:rPr>
        <w:t xml:space="preserve">[Institution 2, City, Country]</w:t>
      </w:r>
    </w:p>
    <w:p>
      <w:pPr>
        <w:spacing w:after="240" w:before="120" w:line="360"/>
        <w:jc w:val="center"/>
      </w:pPr>
      <w:r>
        <w:rPr>
          <w:rFonts w:ascii="Arial" w:cs="Arial" w:eastAsia="Arial" w:hAnsi="Arial"/>
          <w:i/>
          <w:iCs/>
          <w:sz w:val="20"/>
          <w:szCs w:val="20"/>
        </w:rPr>
        <w:t xml:space="preserve">*Corresponding author: [email]</w:t>
      </w:r>
    </w:p>
    <w:p>
      <w:pPr>
        <w:pStyle w:val="Heading1"/>
        <w:spacing w:after="240" w:before="360" w:line="480" w:lineRule="auto"/>
      </w:pPr>
      <w:r>
        <w:rPr>
          <w:rFonts w:ascii="Arial" w:cs="Arial" w:eastAsia="Arial" w:hAnsi="Arial"/>
          <w:b/>
          <w:bCs/>
          <w:color w:val="000000"/>
          <w:sz w:val="28"/>
          <w:szCs w:val="28"/>
        </w:rPr>
        <w:t xml:space="preserve">Abstract</w:t>
      </w:r>
    </w:p>
    <w:p>
      <w:pPr>
        <w:spacing w:after="120" w:line="252" w:lineRule="auto"/>
        <w:jc w:val="left"/>
      </w:pPr>
      <w:r>
        <w:rPr>
          <w:rFonts w:ascii="Arial" w:cs="Arial" w:eastAsia="Arial" w:hAnsi="Arial"/>
          <w:b w:val="false"/>
          <w:bCs w:val="false"/>
          <w:i w:val="false"/>
          <w:iCs w:val="false"/>
          <w:sz w:val="22"/>
          <w:szCs w:val="22"/>
        </w:rPr>
        <w:t xml:space="preserve">Soft-mode amplification is widely held to govern the microwave dielectric response of ABO</w:t>
      </w:r>
      <w:r>
        <w:rPr>
          <w:rFonts w:ascii="Arial" w:cs="Arial" w:eastAsia="Arial" w:hAnsi="Arial"/>
          <w:b w:val="false"/>
          <w:bCs w:val="false"/>
          <w:i w:val="false"/>
          <w:iCs w:val="false"/>
          <w:sz w:val="22"/>
          <w:szCs w:val="22"/>
          <w:vertAlign w:val="subscript"/>
        </w:rPr>
        <w:t xml:space="preserve">3</w:t>
      </w:r>
      <w:r>
        <w:rPr>
          <w:rFonts w:ascii="Arial" w:cs="Arial" w:eastAsia="Arial" w:hAnsi="Arial"/>
          <w:b w:val="false"/>
          <w:bCs w:val="false"/>
          <w:i w:val="false"/>
          <w:iCs w:val="false"/>
          <w:sz w:val="22"/>
          <w:szCs w:val="22"/>
        </w:rPr>
        <w:t xml:space="preserve"> ceramics, yet quantitative attribution across composition and an explicit A-site link remain lacking. Our physics-constrained network partitions each prediction into named physical contributions (ε</w:t>
      </w:r>
      <w:r>
        <w:rPr>
          <w:rFonts w:ascii="Arial" w:cs="Arial" w:eastAsia="Arial" w:hAnsi="Arial"/>
          <w:b w:val="false"/>
          <w:bCs w:val="false"/>
          <w:i w:val="false"/>
          <w:iCs w:val="false"/>
          <w:sz w:val="22"/>
          <w:szCs w:val="22"/>
          <w:vertAlign w:val="subscript"/>
        </w:rPr>
        <w:t xml:space="preserve">r</w:t>
      </w:r>
      <w:r>
        <w:rPr>
          <w:rFonts w:ascii="Arial" w:cs="Arial" w:eastAsia="Arial" w:hAnsi="Arial"/>
          <w:b w:val="false"/>
          <w:bCs w:val="false"/>
          <w:i w:val="false"/>
          <w:iCs w:val="false"/>
          <w:sz w:val="22"/>
          <w:szCs w:val="22"/>
        </w:rPr>
        <w:t xml:space="preserve"> = ε</w:t>
      </w:r>
      <w:r>
        <w:rPr>
          <w:rFonts w:ascii="Arial" w:cs="Arial" w:eastAsia="Arial" w:hAnsi="Arial"/>
          <w:b w:val="false"/>
          <w:bCs w:val="false"/>
          <w:i w:val="false"/>
          <w:iCs w:val="false"/>
          <w:sz w:val="22"/>
          <w:szCs w:val="22"/>
          <w:vertAlign w:val="subscript"/>
        </w:rPr>
        <w:t xml:space="preserve">CM</w:t>
      </w:r>
      <w:r>
        <w:rPr>
          <w:rFonts w:ascii="Arial" w:cs="Arial" w:eastAsia="Arial" w:hAnsi="Arial"/>
          <w:b w:val="false"/>
          <w:bCs w:val="false"/>
          <w:i w:val="false"/>
          <w:iCs w:val="false"/>
          <w:sz w:val="22"/>
          <w:szCs w:val="22"/>
        </w:rPr>
        <w:t xml:space="preserve"> + δ</w:t>
      </w:r>
      <w:r>
        <w:rPr>
          <w:rFonts w:ascii="Arial" w:cs="Arial" w:eastAsia="Arial" w:hAnsi="Arial"/>
          <w:b w:val="false"/>
          <w:bCs w:val="false"/>
          <w:i w:val="false"/>
          <w:iCs w:val="false"/>
          <w:sz w:val="22"/>
          <w:szCs w:val="22"/>
          <w:vertAlign w:val="subscript"/>
        </w:rPr>
        <w:t xml:space="preserve">LST</w:t>
      </w:r>
      <w:r>
        <w:rPr>
          <w:rFonts w:ascii="Arial" w:cs="Arial" w:eastAsia="Arial" w:hAnsi="Arial"/>
          <w:b w:val="false"/>
          <w:bCs w:val="false"/>
          <w:i w:val="false"/>
          <w:iCs w:val="false"/>
          <w:sz w:val="22"/>
          <w:szCs w:val="22"/>
        </w:rPr>
        <w:t xml:space="preserve"> + δ</w:t>
      </w:r>
      <w:r>
        <w:rPr>
          <w:rFonts w:ascii="Arial" w:cs="Arial" w:eastAsia="Arial" w:hAnsi="Arial"/>
          <w:b w:val="false"/>
          <w:bCs w:val="false"/>
          <w:i w:val="false"/>
          <w:iCs w:val="false"/>
          <w:sz w:val="22"/>
          <w:szCs w:val="22"/>
          <w:vertAlign w:val="subscript"/>
        </w:rPr>
        <w:t xml:space="preserve">tilt</w:t>
      </w:r>
      <w:r>
        <w:rPr>
          <w:rFonts w:ascii="Arial" w:cs="Arial" w:eastAsia="Arial" w:hAnsi="Arial"/>
          <w:b w:val="false"/>
          <w:bCs w:val="false"/>
          <w:i w:val="false"/>
          <w:iCs w:val="false"/>
          <w:sz w:val="22"/>
          <w:szCs w:val="22"/>
        </w:rPr>
        <w:t xml:space="preserve"> + δ</w:t>
      </w:r>
      <w:r>
        <w:rPr>
          <w:rFonts w:ascii="Arial" w:cs="Arial" w:eastAsia="Arial" w:hAnsi="Arial"/>
          <w:b w:val="false"/>
          <w:bCs w:val="false"/>
          <w:i w:val="false"/>
          <w:iCs w:val="false"/>
          <w:sz w:val="22"/>
          <w:szCs w:val="22"/>
          <w:vertAlign w:val="subscript"/>
        </w:rPr>
        <w:t xml:space="preserve">res</w:t>
      </w:r>
      <w:r>
        <w:rPr>
          <w:rFonts w:ascii="Arial" w:cs="Arial" w:eastAsia="Arial" w:hAnsi="Arial"/>
          <w:b w:val="false"/>
          <w:bCs w:val="false"/>
          <w:i w:val="false"/>
          <w:iCs w:val="false"/>
          <w:sz w:val="22"/>
          <w:szCs w:val="22"/>
        </w:rPr>
        <w:t xml:space="preserve">; held-out R</w:t>
      </w:r>
      <w:r>
        <w:rPr>
          <w:rFonts w:ascii="Arial" w:cs="Arial" w:eastAsia="Arial" w:hAnsi="Arial"/>
          <w:b w:val="false"/>
          <w:bCs w:val="false"/>
          <w:i w:val="false"/>
          <w:iCs w:val="false"/>
          <w:sz w:val="22"/>
          <w:szCs w:val="22"/>
          <w:vertAlign w:val="superscript"/>
        </w:rPr>
        <w:t xml:space="preserve">2</w:t>
      </w:r>
      <w:r>
        <w:rPr>
          <w:rFonts w:ascii="Arial" w:cs="Arial" w:eastAsia="Arial" w:hAnsi="Arial"/>
          <w:b w:val="false"/>
          <w:bCs w:val="false"/>
          <w:i w:val="false"/>
          <w:iCs w:val="false"/>
          <w:sz w:val="22"/>
          <w:szCs w:val="22"/>
        </w:rPr>
        <w:t xml:space="preserve"> = 0.941) across 1,304 ABO</w:t>
      </w:r>
      <w:r>
        <w:rPr>
          <w:rFonts w:ascii="Arial" w:cs="Arial" w:eastAsia="Arial" w:hAnsi="Arial"/>
          <w:b w:val="false"/>
          <w:bCs w:val="false"/>
          <w:i w:val="false"/>
          <w:iCs w:val="false"/>
          <w:sz w:val="22"/>
          <w:szCs w:val="22"/>
          <w:vertAlign w:val="subscript"/>
        </w:rPr>
        <w:t xml:space="preserve">3</w:t>
      </w:r>
      <w:r>
        <w:rPr>
          <w:rFonts w:ascii="Arial" w:cs="Arial" w:eastAsia="Arial" w:hAnsi="Arial"/>
          <w:b w:val="false"/>
          <w:bCs w:val="false"/>
          <w:i w:val="false"/>
          <w:iCs w:val="false"/>
          <w:sz w:val="22"/>
          <w:szCs w:val="22"/>
        </w:rPr>
        <w:t xml:space="preserve">-type dielectrics. The decomposition assigns 54.1% of ε</w:t>
      </w:r>
      <w:r>
        <w:rPr>
          <w:rFonts w:ascii="Arial" w:cs="Arial" w:eastAsia="Arial" w:hAnsi="Arial"/>
          <w:b w:val="false"/>
          <w:bCs w:val="false"/>
          <w:i w:val="false"/>
          <w:iCs w:val="false"/>
          <w:sz w:val="22"/>
          <w:szCs w:val="22"/>
          <w:vertAlign w:val="subscript"/>
        </w:rPr>
        <w:t xml:space="preserve">r</w:t>
      </w:r>
      <w:r>
        <w:rPr>
          <w:rFonts w:ascii="Arial" w:cs="Arial" w:eastAsia="Arial" w:hAnsi="Arial"/>
          <w:b w:val="false"/>
          <w:bCs w:val="false"/>
          <w:i w:val="false"/>
          <w:iCs w:val="false"/>
          <w:sz w:val="22"/>
          <w:szCs w:val="22"/>
        </w:rPr>
        <w:t xml:space="preserve"> among CM-computable compositions to the soft-mode branch δ</w:t>
      </w:r>
      <w:r>
        <w:rPr>
          <w:rFonts w:ascii="Arial" w:cs="Arial" w:eastAsia="Arial" w:hAnsi="Arial"/>
          <w:b w:val="false"/>
          <w:bCs w:val="false"/>
          <w:i w:val="false"/>
          <w:iCs w:val="false"/>
          <w:sz w:val="22"/>
          <w:szCs w:val="22"/>
          <w:vertAlign w:val="subscript"/>
        </w:rPr>
        <w:t xml:space="preserve">LST</w:t>
      </w:r>
      <w:r>
        <w:rPr>
          <w:rFonts w:ascii="Arial" w:cs="Arial" w:eastAsia="Arial" w:hAnsi="Arial"/>
          <w:b w:val="false"/>
          <w:bCs w:val="false"/>
          <w:i w:val="false"/>
          <w:iCs w:val="false"/>
          <w:sz w:val="22"/>
          <w:szCs w:val="22"/>
        </w:rPr>
        <w:t xml:space="preserve">, and 96% of the model-attributed correction above the CM baseline to that branch across B-site families. An A-site amplification hierarchy — Pb &gt; Ca &gt; La &gt; Sr &gt; Ba (permutation p &lt; 10</w:t>
      </w:r>
      <w:r>
        <w:rPr>
          <w:rFonts w:ascii="Arial" w:cs="Arial" w:eastAsia="Arial" w:hAnsi="Arial"/>
          <w:b w:val="false"/>
          <w:bCs w:val="false"/>
          <w:i w:val="false"/>
          <w:iCs w:val="false"/>
          <w:sz w:val="22"/>
          <w:szCs w:val="22"/>
          <w:vertAlign w:val="superscript"/>
        </w:rPr>
        <w:t xml:space="preserve">−3</w:t>
      </w:r>
      <w:r>
        <w:rPr>
          <w:rFonts w:ascii="Arial" w:cs="Arial" w:eastAsia="Arial" w:hAnsi="Arial"/>
          <w:b w:val="false"/>
          <w:bCs w:val="false"/>
          <w:i w:val="false"/>
          <w:iCs w:val="false"/>
          <w:sz w:val="22"/>
          <w:szCs w:val="22"/>
        </w:rPr>
        <w:t xml:space="preserve">) — emerges from the LST attribution, and Pb-rich compositions form a distinct extrapolation boundary (leave-Pb-out R</w:t>
      </w:r>
      <w:r>
        <w:rPr>
          <w:rFonts w:ascii="Arial" w:cs="Arial" w:eastAsia="Arial" w:hAnsi="Arial"/>
          <w:b w:val="false"/>
          <w:bCs w:val="false"/>
          <w:i w:val="false"/>
          <w:iCs w:val="false"/>
          <w:sz w:val="22"/>
          <w:szCs w:val="22"/>
          <w:vertAlign w:val="superscript"/>
        </w:rPr>
        <w:t xml:space="preserve">2</w:t>
      </w:r>
      <w:r>
        <w:rPr>
          <w:rFonts w:ascii="Arial" w:cs="Arial" w:eastAsia="Arial" w:hAnsi="Arial"/>
          <w:b w:val="false"/>
          <w:bCs w:val="false"/>
          <w:i w:val="false"/>
          <w:iCs w:val="false"/>
          <w:sz w:val="22"/>
          <w:szCs w:val="22"/>
        </w:rPr>
        <w:t xml:space="preserve"> = −0.097) consistent with 6s</w:t>
      </w:r>
      <w:r>
        <w:rPr>
          <w:rFonts w:ascii="Arial" w:cs="Arial" w:eastAsia="Arial" w:hAnsi="Arial"/>
          <w:b w:val="false"/>
          <w:bCs w:val="false"/>
          <w:i w:val="false"/>
          <w:iCs w:val="false"/>
          <w:sz w:val="22"/>
          <w:szCs w:val="22"/>
          <w:vertAlign w:val="superscript"/>
        </w:rPr>
        <w:t xml:space="preserve">2</w:t>
      </w:r>
      <w:r>
        <w:rPr>
          <w:rFonts w:ascii="Arial" w:cs="Arial" w:eastAsia="Arial" w:hAnsi="Arial"/>
          <w:b w:val="false"/>
          <w:bCs w:val="false"/>
          <w:i w:val="false"/>
          <w:iCs w:val="false"/>
          <w:sz w:val="22"/>
          <w:szCs w:val="22"/>
        </w:rPr>
        <w:t xml:space="preserve"> lone-pair-driven polarization. In generative screening, the model proposes Pb-free candidates (computational; ε</w:t>
      </w:r>
      <w:r>
        <w:rPr>
          <w:rFonts w:ascii="Arial" w:cs="Arial" w:eastAsia="Arial" w:hAnsi="Arial"/>
          <w:b w:val="false"/>
          <w:bCs w:val="false"/>
          <w:i w:val="false"/>
          <w:iCs w:val="false"/>
          <w:sz w:val="22"/>
          <w:szCs w:val="22"/>
          <w:vertAlign w:val="subscript"/>
        </w:rPr>
        <w:t xml:space="preserve">r</w:t>
      </w:r>
      <w:r>
        <w:rPr>
          <w:rFonts w:ascii="Arial" w:cs="Arial" w:eastAsia="Arial" w:hAnsi="Arial"/>
          <w:b w:val="false"/>
          <w:bCs w:val="false"/>
          <w:i w:val="false"/>
          <w:iCs w:val="false"/>
          <w:sz w:val="22"/>
          <w:szCs w:val="22"/>
        </w:rPr>
        <w:t xml:space="preserve"> ≥ 80, awaiting synthesis), linking A-site chemistry to the lattice-driven response for Pb-free microwave dielectrics.</w:t>
      </w:r>
    </w:p>
    <w:p>
      <w:pPr>
        <w:sectPr>
          <w:footerReference w:type="default" r:id="rId7"/>
          <w:pgSz w:w="12240" w:h="15840" w:orient="portrait"/>
          <w:pgMar w:top="1296" w:right="1296" w:bottom="1296" w:left="1296" w:header="708" w:footer="708" w:gutter="0"/>
          <w:pgNumType/>
          <w:docGrid w:linePitch="360"/>
        </w:sectPr>
      </w:pPr>
    </w:p>
    <w:p>
      <w:pPr>
        <w:pStyle w:val="Heading1"/>
        <w:spacing w:after="240" w:before="360" w:line="480" w:lineRule="auto"/>
      </w:pPr>
      <w:r>
        <w:rPr>
          <w:rFonts w:ascii="Arial" w:cs="Arial" w:eastAsia="Arial" w:hAnsi="Arial"/>
          <w:b/>
          <w:bCs/>
          <w:color w:val="000000"/>
          <w:sz w:val="28"/>
          <w:szCs w:val="28"/>
        </w:rPr>
        <w:t xml:space="preserve">Introduction</w:t>
      </w:r>
    </w:p>
    <w:p>
      <w:pPr>
        <w:spacing w:after="120" w:line="252" w:lineRule="auto"/>
        <w:jc w:val="left"/>
      </w:pPr>
      <w:r>
        <w:rPr>
          <w:rFonts w:ascii="Arial" w:cs="Arial" w:eastAsia="Arial" w:hAnsi="Arial"/>
          <w:b w:val="false"/>
          <w:bCs w:val="false"/>
          <w:i w:val="false"/>
          <w:iCs w:val="false"/>
          <w:sz w:val="22"/>
          <w:szCs w:val="22"/>
        </w:rPr>
        <w:t xml:space="preserve">Microwave dielectric ceramics underpin modern wireless communication technologies, from 5G base-station filters to satellite resonators [1,2]. Their relative permittivity (ε</w:t>
      </w:r>
      <w:r>
        <w:rPr>
          <w:rFonts w:ascii="Arial" w:cs="Arial" w:eastAsia="Arial" w:hAnsi="Arial"/>
          <w:b w:val="false"/>
          <w:bCs w:val="false"/>
          <w:i w:val="false"/>
          <w:iCs w:val="false"/>
          <w:sz w:val="22"/>
          <w:szCs w:val="22"/>
          <w:vertAlign w:val="subscript"/>
        </w:rPr>
        <w:t xml:space="preserve">r</w:t>
      </w:r>
      <w:r>
        <w:rPr>
          <w:rFonts w:ascii="Arial" w:cs="Arial" w:eastAsia="Arial" w:hAnsi="Arial"/>
          <w:b w:val="false"/>
          <w:bCs w:val="false"/>
          <w:i w:val="false"/>
          <w:iCs w:val="false"/>
          <w:sz w:val="22"/>
          <w:szCs w:val="22"/>
        </w:rPr>
        <w:t xml:space="preserve">) sets device size: a resonator's linear dimensions scale as ε</w:t>
      </w:r>
      <w:r>
        <w:rPr>
          <w:rFonts w:ascii="Arial" w:cs="Arial" w:eastAsia="Arial" w:hAnsi="Arial"/>
          <w:b w:val="false"/>
          <w:bCs w:val="false"/>
          <w:i w:val="false"/>
          <w:iCs w:val="false"/>
          <w:sz w:val="22"/>
          <w:szCs w:val="22"/>
          <w:vertAlign w:val="subscript"/>
        </w:rPr>
        <w:t xml:space="preserve">r</w:t>
      </w:r>
      <w:r>
        <w:rPr>
          <w:rFonts w:ascii="Arial" w:cs="Arial" w:eastAsia="Arial" w:hAnsi="Arial"/>
          <w:b w:val="false"/>
          <w:bCs w:val="false"/>
          <w:i w:val="false"/>
          <w:iCs w:val="false"/>
          <w:sz w:val="22"/>
          <w:szCs w:val="22"/>
          <w:vertAlign w:val="superscript"/>
        </w:rPr>
        <w:t xml:space="preserve">−1/2</w:t>
      </w:r>
      <w:r>
        <w:rPr>
          <w:rFonts w:ascii="Arial" w:cs="Arial" w:eastAsia="Arial" w:hAnsi="Arial"/>
          <w:b w:val="false"/>
          <w:bCs w:val="false"/>
          <w:i w:val="false"/>
          <w:iCs w:val="false"/>
          <w:sz w:val="22"/>
          <w:szCs w:val="22"/>
        </w:rPr>
        <w:t xml:space="preserve"> at fixed frequency, so higher-permittivity ceramics enable smaller components [3]. Decades of empirical optimisation have produced ABO</w:t>
      </w:r>
      <w:r>
        <w:rPr>
          <w:rFonts w:ascii="Arial" w:cs="Arial" w:eastAsia="Arial" w:hAnsi="Arial"/>
          <w:b w:val="false"/>
          <w:bCs w:val="false"/>
          <w:i w:val="false"/>
          <w:iCs w:val="false"/>
          <w:sz w:val="22"/>
          <w:szCs w:val="22"/>
          <w:vertAlign w:val="subscript"/>
        </w:rPr>
        <w:t xml:space="preserve">3</w:t>
      </w:r>
      <w:r>
        <w:rPr>
          <w:rFonts w:ascii="Arial" w:cs="Arial" w:eastAsia="Arial" w:hAnsi="Arial"/>
          <w:b w:val="false"/>
          <w:bCs w:val="false"/>
          <w:i w:val="false"/>
          <w:iCs w:val="false"/>
          <w:sz w:val="22"/>
          <w:szCs w:val="22"/>
        </w:rPr>
        <w:t xml:space="preserve"> perovskite families spanning low-permittivity Ba-based compositions to highly polarizable Pb- and Ca-rich titanates (ε</w:t>
      </w:r>
      <w:r>
        <w:rPr>
          <w:rFonts w:ascii="Arial" w:cs="Arial" w:eastAsia="Arial" w:hAnsi="Arial"/>
          <w:b w:val="false"/>
          <w:bCs w:val="false"/>
          <w:i w:val="false"/>
          <w:iCs w:val="false"/>
          <w:sz w:val="22"/>
          <w:szCs w:val="22"/>
          <w:vertAlign w:val="subscript"/>
        </w:rPr>
        <w:t xml:space="preserve">r</w:t>
      </w:r>
      <w:r>
        <w:rPr>
          <w:rFonts w:ascii="Arial" w:cs="Arial" w:eastAsia="Arial" w:hAnsi="Arial"/>
          <w:b w:val="false"/>
          <w:bCs w:val="false"/>
          <w:i w:val="false"/>
          <w:iCs w:val="false"/>
          <w:sz w:val="22"/>
          <w:szCs w:val="22"/>
        </w:rPr>
        <w:t xml:space="preserve"> ≈ 20–140) [4,5]. Yet the composition–property mapping is complex, and the rational design of lead-free, high-permittivity compositions has lagged practical demand.</w:t>
      </w:r>
    </w:p>
    <w:p>
      <w:pPr>
        <w:spacing w:after="120" w:line="252" w:lineRule="auto"/>
        <w:jc w:val="left"/>
      </w:pPr>
      <w:r>
        <w:rPr>
          <w:rFonts w:ascii="Arial" w:cs="Arial" w:eastAsia="Arial" w:hAnsi="Arial"/>
          <w:b w:val="false"/>
          <w:bCs w:val="false"/>
          <w:i w:val="false"/>
          <w:iCs w:val="false"/>
          <w:sz w:val="22"/>
          <w:szCs w:val="22"/>
        </w:rPr>
        <w:t xml:space="preserve">The dielectric response of ABO</w:t>
      </w:r>
      <w:r>
        <w:rPr>
          <w:rFonts w:ascii="Arial" w:cs="Arial" w:eastAsia="Arial" w:hAnsi="Arial"/>
          <w:b w:val="false"/>
          <w:bCs w:val="false"/>
          <w:i w:val="false"/>
          <w:iCs w:val="false"/>
          <w:sz w:val="22"/>
          <w:szCs w:val="22"/>
          <w:vertAlign w:val="subscript"/>
        </w:rPr>
        <w:t xml:space="preserve">3</w:t>
      </w:r>
      <w:r>
        <w:rPr>
          <w:rFonts w:ascii="Arial" w:cs="Arial" w:eastAsia="Arial" w:hAnsi="Arial"/>
          <w:b w:val="false"/>
          <w:bCs w:val="false"/>
          <w:i w:val="false"/>
          <w:iCs w:val="false"/>
          <w:sz w:val="22"/>
          <w:szCs w:val="22"/>
        </w:rPr>
        <w:t xml:space="preserve"> perovskites emerges from coupled electronic polarization, lattice dynamics, and structural instability. The Clausius–Mossotti (CM) relation gives a parameter-free baseline for ε</w:t>
      </w:r>
      <w:r>
        <w:rPr>
          <w:rFonts w:ascii="Arial" w:cs="Arial" w:eastAsia="Arial" w:hAnsi="Arial"/>
          <w:b w:val="false"/>
          <w:bCs w:val="false"/>
          <w:i w:val="false"/>
          <w:iCs w:val="false"/>
          <w:sz w:val="22"/>
          <w:szCs w:val="22"/>
          <w:vertAlign w:val="subscript"/>
        </w:rPr>
        <w:t xml:space="preserve">r</w:t>
      </w:r>
      <w:r>
        <w:rPr>
          <w:rFonts w:ascii="Arial" w:cs="Arial" w:eastAsia="Arial" w:hAnsi="Arial"/>
          <w:b w:val="false"/>
          <w:bCs w:val="false"/>
          <w:i w:val="false"/>
          <w:iCs w:val="false"/>
          <w:sz w:val="22"/>
          <w:szCs w:val="22"/>
        </w:rPr>
        <w:t xml:space="preserve"> from the ionic polarizabilities packed into the unit cell [6,7]. Across our corpus, however, CM systematically underestimates ε</w:t>
      </w:r>
      <w:r>
        <w:rPr>
          <w:rFonts w:ascii="Arial" w:cs="Arial" w:eastAsia="Arial" w:hAnsi="Arial"/>
          <w:b w:val="false"/>
          <w:bCs w:val="false"/>
          <w:i w:val="false"/>
          <w:iCs w:val="false"/>
          <w:sz w:val="22"/>
          <w:szCs w:val="22"/>
          <w:vertAlign w:val="subscript"/>
        </w:rPr>
        <w:t xml:space="preserve">r</w:t>
      </w:r>
      <w:r>
        <w:rPr>
          <w:rFonts w:ascii="Arial" w:cs="Arial" w:eastAsia="Arial" w:hAnsi="Arial"/>
          <w:b w:val="false"/>
          <w:bCs w:val="false"/>
          <w:i w:val="false"/>
          <w:iCs w:val="false"/>
          <w:sz w:val="22"/>
          <w:szCs w:val="22"/>
        </w:rPr>
        <w:t xml:space="preserve"> and fails as a predictive descriptor (R</w:t>
      </w:r>
      <w:r>
        <w:rPr>
          <w:rFonts w:ascii="Arial" w:cs="Arial" w:eastAsia="Arial" w:hAnsi="Arial"/>
          <w:b w:val="false"/>
          <w:bCs w:val="false"/>
          <w:i w:val="false"/>
          <w:iCs w:val="false"/>
          <w:sz w:val="22"/>
          <w:szCs w:val="22"/>
          <w:vertAlign w:val="superscript"/>
        </w:rPr>
        <w:t xml:space="preserve">2</w:t>
      </w:r>
      <w:r>
        <w:rPr>
          <w:rFonts w:ascii="Arial" w:cs="Arial" w:eastAsia="Arial" w:hAnsi="Arial"/>
          <w:b w:val="false"/>
          <w:bCs w:val="false"/>
          <w:i w:val="false"/>
          <w:iCs w:val="false"/>
          <w:sz w:val="22"/>
          <w:szCs w:val="22"/>
        </w:rPr>
        <w:t xml:space="preserve"> = −0.58 on the 1,124 CM-computable compositions). The shortfall reflects lattice-dynamical polarization absent from the CM formalism: as a transverse-optical soft mode softens toward a ferroelectric instability, the Lyddane–Sachs–Teller (LST) relation drives ε</w:t>
      </w:r>
      <w:r>
        <w:rPr>
          <w:rFonts w:ascii="Arial" w:cs="Arial" w:eastAsia="Arial" w:hAnsi="Arial"/>
          <w:b w:val="false"/>
          <w:bCs w:val="false"/>
          <w:i w:val="false"/>
          <w:iCs w:val="false"/>
          <w:sz w:val="22"/>
          <w:szCs w:val="22"/>
          <w:vertAlign w:val="subscript"/>
        </w:rPr>
        <w:t xml:space="preserve">r</w:t>
      </w:r>
      <w:r>
        <w:rPr>
          <w:rFonts w:ascii="Arial" w:cs="Arial" w:eastAsia="Arial" w:hAnsi="Arial"/>
          <w:b w:val="false"/>
          <w:bCs w:val="false"/>
          <w:i w:val="false"/>
          <w:iCs w:val="false"/>
          <w:sz w:val="22"/>
          <w:szCs w:val="22"/>
        </w:rPr>
        <w:t xml:space="preserve"> upward [8,9], a coupling recently traced from first principles in individual niobates [10].</w:t>
      </w:r>
    </w:p>
    <w:p>
      <w:pPr>
        <w:spacing w:after="120" w:line="252" w:lineRule="auto"/>
        <w:jc w:val="left"/>
      </w:pPr>
      <w:r>
        <w:rPr>
          <w:rFonts w:ascii="Arial" w:cs="Arial" w:eastAsia="Arial" w:hAnsi="Arial"/>
          <w:b w:val="false"/>
          <w:bCs w:val="false"/>
          <w:i w:val="false"/>
          <w:iCs w:val="false"/>
          <w:sz w:val="22"/>
          <w:szCs w:val="22"/>
        </w:rPr>
        <w:t xml:space="preserve">Competing with this enhancement, cooperative octahedral tilting — classified into Reaney regimes by the Goldschmidt tolerance factor — suppresses the polar response [4,11,12]. Although both mechanisms are well established individually, the soft-mode contribution lacks quantitative attribution across broad microwave-dielectric ABO</w:t>
      </w:r>
      <w:r>
        <w:rPr>
          <w:rFonts w:ascii="Arial" w:cs="Arial" w:eastAsia="Arial" w:hAnsi="Arial"/>
          <w:b w:val="false"/>
          <w:bCs w:val="false"/>
          <w:i w:val="false"/>
          <w:iCs w:val="false"/>
          <w:sz w:val="22"/>
          <w:szCs w:val="22"/>
          <w:vertAlign w:val="subscript"/>
        </w:rPr>
        <w:t xml:space="preserve">3</w:t>
      </w:r>
      <w:r>
        <w:rPr>
          <w:rFonts w:ascii="Arial" w:cs="Arial" w:eastAsia="Arial" w:hAnsi="Arial"/>
          <w:b w:val="false"/>
          <w:bCs w:val="false"/>
          <w:i w:val="false"/>
          <w:iCs w:val="false"/>
          <w:sz w:val="22"/>
          <w:szCs w:val="22"/>
        </w:rPr>
        <w:t xml:space="preserve"> composition spaces. Its dependence on A-site chemistry, long suspected [13,14], remains statistically unestablished.</w:t>
      </w:r>
    </w:p>
    <w:p>
      <w:pPr>
        <w:spacing w:after="120" w:line="252" w:lineRule="auto"/>
        <w:jc w:val="left"/>
      </w:pPr>
      <w:r>
        <w:rPr>
          <w:rFonts w:ascii="Arial" w:cs="Arial" w:eastAsia="Arial" w:hAnsi="Arial"/>
          <w:b w:val="false"/>
          <w:bCs w:val="false"/>
          <w:i w:val="false"/>
          <w:iCs w:val="false"/>
          <w:sz w:val="22"/>
          <w:szCs w:val="22"/>
        </w:rPr>
        <w:t xml:space="preserve">Machine learning has accelerated materials discovery broadly [15,16] and dielectric prediction in particular, from composition-based regressors and perovskite-specific models trained on first-principles and experimental data [17–21] to graph networks that infer dielectric tensors from universal atomic embeddings [22]. Generative, active-learning and automated-synthesis approaches have since advanced the discovery and inverse design of functional dielectrics [23–26]. Yet these models are accurate without being mechanistic: they map composition to ε</w:t>
      </w:r>
      <w:r>
        <w:rPr>
          <w:rFonts w:ascii="Arial" w:cs="Arial" w:eastAsia="Arial" w:hAnsi="Arial"/>
          <w:b w:val="false"/>
          <w:bCs w:val="false"/>
          <w:i w:val="false"/>
          <w:iCs w:val="false"/>
          <w:sz w:val="22"/>
          <w:szCs w:val="22"/>
          <w:vertAlign w:val="subscript"/>
        </w:rPr>
        <w:t xml:space="preserve">r</w:t>
      </w:r>
      <w:r>
        <w:rPr>
          <w:rFonts w:ascii="Arial" w:cs="Arial" w:eastAsia="Arial" w:hAnsi="Arial"/>
          <w:b w:val="false"/>
          <w:bCs w:val="false"/>
          <w:i w:val="false"/>
          <w:iCs w:val="false"/>
          <w:sz w:val="22"/>
          <w:szCs w:val="22"/>
        </w:rPr>
        <w:t xml:space="preserve"> without exposing which physics produced it. The objective is therefore a quantitatively interpretable framework in which each predicted contribution maps to a named physical mechanism, rather than predictive accuracy alone. Practical microwave-dielectric ceramics — compositionally complex, substitutionally disordered solid solutions — are also largely absent from the high-throughput first-principles dielectric databases that anchor many computational screens, motivating an approach grounded directly in experimental measurements.</w:t>
      </w:r>
    </w:p>
    <w:p>
      <w:pPr>
        <w:spacing w:after="120" w:line="252" w:lineRule="auto"/>
        <w:jc w:val="left"/>
      </w:pPr>
      <w:r>
        <w:rPr>
          <w:rFonts w:ascii="Arial" w:cs="Arial" w:eastAsia="Arial" w:hAnsi="Arial"/>
          <w:b w:val="false"/>
          <w:bCs w:val="false"/>
          <w:i w:val="false"/>
          <w:iCs w:val="false"/>
          <w:sz w:val="22"/>
          <w:szCs w:val="22"/>
        </w:rPr>
        <w:t xml:space="preserve">Here we present a physics-constrained neural network (PCNN) — an architecture-level realisation of physics-informed learning [27], distinct from loss-penalised formulations — built around this decomposition. Trained on 1,304 experimentally measured ABO</w:t>
      </w:r>
      <w:r>
        <w:rPr>
          <w:rFonts w:ascii="Arial" w:cs="Arial" w:eastAsia="Arial" w:hAnsi="Arial"/>
          <w:b w:val="false"/>
          <w:bCs w:val="false"/>
          <w:i w:val="false"/>
          <w:iCs w:val="false"/>
          <w:sz w:val="22"/>
          <w:szCs w:val="22"/>
          <w:vertAlign w:val="subscript"/>
        </w:rPr>
        <w:t xml:space="preserve">3</w:t>
      </w:r>
      <w:r>
        <w:rPr>
          <w:rFonts w:ascii="Arial" w:cs="Arial" w:eastAsia="Arial" w:hAnsi="Arial"/>
          <w:b w:val="false"/>
          <w:bCs w:val="false"/>
          <w:i w:val="false"/>
          <w:iCs w:val="false"/>
          <w:sz w:val="22"/>
          <w:szCs w:val="22"/>
        </w:rPr>
        <w:t xml:space="preserve">-type microwave dielectrics, it expresses each prediction as a sum of named physical contributions:</w:t>
      </w:r>
    </w:p>
    <w:p>
      <w:pPr>
        <w:tabs>
          <w:tab w:val="center" w:pos="4824"/>
          <w:tab w:val="right" w:pos="9648"/>
        </w:tabs>
        <w:spacing w:after="240" w:before="240" w:line="360" w:lineRule="auto"/>
        <w:jc w:val="left"/>
      </w:pPr>
      <w:r>
        <w:rPr>
          <w:rFonts w:ascii="Arial" w:cs="Arial" w:eastAsia="Arial" w:hAnsi="Arial"/>
          <w:sz w:val="22"/>
          <w:szCs w:val="22"/>
        </w:rPr>
        <w:t xml:space="preserve">	</w:t>
      </w:r>
      <w:r>
        <w:rPr>
          <w:rFonts w:ascii="Arial" w:cs="Arial" w:eastAsia="Arial" w:hAnsi="Arial"/>
          <w:b w:val="false"/>
          <w:bCs w:val="false"/>
          <w:i/>
          <w:iCs/>
          <w:sz w:val="22"/>
          <w:szCs w:val="22"/>
        </w:rPr>
        <w:t xml:space="preserve">ε</w:t>
      </w:r>
      <w:r>
        <w:rPr>
          <w:rFonts w:ascii="Arial" w:cs="Arial" w:eastAsia="Arial" w:hAnsi="Arial"/>
          <w:b w:val="false"/>
          <w:bCs w:val="false"/>
          <w:i/>
          <w:iCs/>
          <w:sz w:val="22"/>
          <w:szCs w:val="22"/>
          <w:vertAlign w:val="subscript"/>
        </w:rPr>
        <w:t xml:space="preserve">r</w:t>
      </w:r>
      <w:r>
        <w:rPr>
          <w:rFonts w:ascii="Arial" w:cs="Arial" w:eastAsia="Arial" w:hAnsi="Arial"/>
          <w:b w:val="false"/>
          <w:bCs w:val="false"/>
          <w:i/>
          <w:iCs/>
          <w:sz w:val="22"/>
          <w:szCs w:val="22"/>
        </w:rPr>
        <w:t xml:space="preserve"> = ε</w:t>
      </w:r>
      <w:r>
        <w:rPr>
          <w:rFonts w:ascii="Arial" w:cs="Arial" w:eastAsia="Arial" w:hAnsi="Arial"/>
          <w:b w:val="false"/>
          <w:bCs w:val="false"/>
          <w:i/>
          <w:iCs/>
          <w:sz w:val="22"/>
          <w:szCs w:val="22"/>
          <w:vertAlign w:val="subscript"/>
        </w:rPr>
        <w:t xml:space="preserve">CM</w:t>
      </w:r>
      <w:r>
        <w:rPr>
          <w:rFonts w:ascii="Arial" w:cs="Arial" w:eastAsia="Arial" w:hAnsi="Arial"/>
          <w:b w:val="false"/>
          <w:bCs w:val="false"/>
          <w:i/>
          <w:iCs/>
          <w:sz w:val="22"/>
          <w:szCs w:val="22"/>
        </w:rPr>
        <w:t xml:space="preserve"> + δ</w:t>
      </w:r>
      <w:r>
        <w:rPr>
          <w:rFonts w:ascii="Arial" w:cs="Arial" w:eastAsia="Arial" w:hAnsi="Arial"/>
          <w:b w:val="false"/>
          <w:bCs w:val="false"/>
          <w:i/>
          <w:iCs/>
          <w:sz w:val="22"/>
          <w:szCs w:val="22"/>
          <w:vertAlign w:val="subscript"/>
        </w:rPr>
        <w:t xml:space="preserve">LST</w:t>
      </w:r>
      <w:r>
        <w:rPr>
          <w:rFonts w:ascii="Arial" w:cs="Arial" w:eastAsia="Arial" w:hAnsi="Arial"/>
          <w:b w:val="false"/>
          <w:bCs w:val="false"/>
          <w:i/>
          <w:iCs/>
          <w:sz w:val="22"/>
          <w:szCs w:val="22"/>
        </w:rPr>
        <w:t xml:space="preserve"> + δ</w:t>
      </w:r>
      <w:r>
        <w:rPr>
          <w:rFonts w:ascii="Arial" w:cs="Arial" w:eastAsia="Arial" w:hAnsi="Arial"/>
          <w:b w:val="false"/>
          <w:bCs w:val="false"/>
          <w:i/>
          <w:iCs/>
          <w:sz w:val="22"/>
          <w:szCs w:val="22"/>
          <w:vertAlign w:val="subscript"/>
        </w:rPr>
        <w:t xml:space="preserve">tilt</w:t>
      </w:r>
      <w:r>
        <w:rPr>
          <w:rFonts w:ascii="Arial" w:cs="Arial" w:eastAsia="Arial" w:hAnsi="Arial"/>
          <w:b w:val="false"/>
          <w:bCs w:val="false"/>
          <w:i/>
          <w:iCs/>
          <w:sz w:val="22"/>
          <w:szCs w:val="22"/>
        </w:rPr>
        <w:t xml:space="preserve"> + δ</w:t>
      </w:r>
      <w:r>
        <w:rPr>
          <w:rFonts w:ascii="Arial" w:cs="Arial" w:eastAsia="Arial" w:hAnsi="Arial"/>
          <w:b w:val="false"/>
          <w:bCs w:val="false"/>
          <w:i/>
          <w:iCs/>
          <w:sz w:val="22"/>
          <w:szCs w:val="22"/>
          <w:vertAlign w:val="subscript"/>
        </w:rPr>
        <w:t xml:space="preserve">res</w:t>
      </w:r>
    </w:p>
    <w:p>
      <w:pPr>
        <w:spacing w:after="120" w:line="252" w:lineRule="auto"/>
        <w:jc w:val="left"/>
      </w:pPr>
      <w:r>
        <w:rPr>
          <w:rFonts w:ascii="Arial" w:cs="Arial" w:eastAsia="Arial" w:hAnsi="Arial"/>
          <w:b w:val="false"/>
          <w:bCs w:val="false"/>
          <w:i w:val="false"/>
          <w:iCs w:val="false"/>
          <w:sz w:val="22"/>
          <w:szCs w:val="22"/>
        </w:rPr>
        <w:t xml:space="preserve">By construction, soft-mode amplification contributes positively to ε</w:t>
      </w:r>
      <w:r>
        <w:rPr>
          <w:rFonts w:ascii="Arial" w:cs="Arial" w:eastAsia="Arial" w:hAnsi="Arial"/>
          <w:b w:val="false"/>
          <w:bCs w:val="false"/>
          <w:i w:val="false"/>
          <w:iCs w:val="false"/>
          <w:sz w:val="22"/>
          <w:szCs w:val="22"/>
          <w:vertAlign w:val="subscript"/>
        </w:rPr>
        <w:t xml:space="preserve">r</w:t>
      </w:r>
      <w:r>
        <w:rPr>
          <w:rFonts w:ascii="Arial" w:cs="Arial" w:eastAsia="Arial" w:hAnsi="Arial"/>
          <w:b w:val="false"/>
          <w:bCs w:val="false"/>
          <w:i w:val="false"/>
          <w:iCs w:val="false"/>
          <w:sz w:val="22"/>
          <w:szCs w:val="22"/>
        </w:rPr>
        <w:t xml:space="preserve">, whereas octahedral tilting contributes negatively. We refer to this model as CM-LST-Tilt-Residual-PCNN (</w:t>
      </w:r>
      <w:r>
        <w:rPr>
          <w:rFonts w:ascii="Arial" w:cs="Arial" w:eastAsia="Arial" w:hAnsi="Arial"/>
          <w:b/>
          <w:bCs/>
          <w:i w:val="false"/>
          <w:iCs w:val="false"/>
          <w:sz w:val="22"/>
          <w:szCs w:val="22"/>
        </w:rPr>
        <w:t xml:space="preserve">CMLTRPCNN</w:t>
      </w:r>
      <w:r>
        <w:rPr>
          <w:rFonts w:ascii="Arial" w:cs="Arial" w:eastAsia="Arial" w:hAnsi="Arial"/>
          <w:b w:val="false"/>
          <w:bCs w:val="false"/>
          <w:i w:val="false"/>
          <w:iCs w:val="false"/>
          <w:sz w:val="22"/>
          <w:szCs w:val="22"/>
        </w:rPr>
        <w:t xml:space="preserve">), after its four branches: Clausius–Mossotti (ε</w:t>
      </w:r>
      <w:r>
        <w:rPr>
          <w:rFonts w:ascii="Arial" w:cs="Arial" w:eastAsia="Arial" w:hAnsi="Arial"/>
          <w:b w:val="false"/>
          <w:bCs w:val="false"/>
          <w:i w:val="false"/>
          <w:iCs w:val="false"/>
          <w:sz w:val="22"/>
          <w:szCs w:val="22"/>
          <w:vertAlign w:val="subscript"/>
        </w:rPr>
        <w:t xml:space="preserve">CM</w:t>
      </w:r>
      <w:r>
        <w:rPr>
          <w:rFonts w:ascii="Arial" w:cs="Arial" w:eastAsia="Arial" w:hAnsi="Arial"/>
          <w:b w:val="false"/>
          <w:bCs w:val="false"/>
          <w:i w:val="false"/>
          <w:iCs w:val="false"/>
          <w:sz w:val="22"/>
          <w:szCs w:val="22"/>
        </w:rPr>
        <w:t xml:space="preserve">), Lyddane–Sachs–Teller (δ</w:t>
      </w:r>
      <w:r>
        <w:rPr>
          <w:rFonts w:ascii="Arial" w:cs="Arial" w:eastAsia="Arial" w:hAnsi="Arial"/>
          <w:b w:val="false"/>
          <w:bCs w:val="false"/>
          <w:i w:val="false"/>
          <w:iCs w:val="false"/>
          <w:sz w:val="22"/>
          <w:szCs w:val="22"/>
          <w:vertAlign w:val="subscript"/>
        </w:rPr>
        <w:t xml:space="preserve">LST</w:t>
      </w:r>
      <w:r>
        <w:rPr>
          <w:rFonts w:ascii="Arial" w:cs="Arial" w:eastAsia="Arial" w:hAnsi="Arial"/>
          <w:b w:val="false"/>
          <w:bCs w:val="false"/>
          <w:i w:val="false"/>
          <w:iCs w:val="false"/>
          <w:sz w:val="22"/>
          <w:szCs w:val="22"/>
        </w:rPr>
        <w:t xml:space="preserve">), tilt (δ</w:t>
      </w:r>
      <w:r>
        <w:rPr>
          <w:rFonts w:ascii="Arial" w:cs="Arial" w:eastAsia="Arial" w:hAnsi="Arial"/>
          <w:b w:val="false"/>
          <w:bCs w:val="false"/>
          <w:i w:val="false"/>
          <w:iCs w:val="false"/>
          <w:sz w:val="22"/>
          <w:szCs w:val="22"/>
          <w:vertAlign w:val="subscript"/>
        </w:rPr>
        <w:t xml:space="preserve">tilt</w:t>
      </w:r>
      <w:r>
        <w:rPr>
          <w:rFonts w:ascii="Arial" w:cs="Arial" w:eastAsia="Arial" w:hAnsi="Arial"/>
          <w:b w:val="false"/>
          <w:bCs w:val="false"/>
          <w:i w:val="false"/>
          <w:iCs w:val="false"/>
          <w:sz w:val="22"/>
          <w:szCs w:val="22"/>
        </w:rPr>
        <w:t xml:space="preserve">) and residual (δ</w:t>
      </w:r>
      <w:r>
        <w:rPr>
          <w:rFonts w:ascii="Arial" w:cs="Arial" w:eastAsia="Arial" w:hAnsi="Arial"/>
          <w:b w:val="false"/>
          <w:bCs w:val="false"/>
          <w:i w:val="false"/>
          <w:iCs w:val="false"/>
          <w:sz w:val="22"/>
          <w:szCs w:val="22"/>
          <w:vertAlign w:val="subscript"/>
        </w:rPr>
        <w:t xml:space="preserve">res</w:t>
      </w:r>
      <w:r>
        <w:rPr>
          <w:rFonts w:ascii="Arial" w:cs="Arial" w:eastAsia="Arial" w:hAnsi="Arial"/>
          <w:b w:val="false"/>
          <w:bCs w:val="false"/>
          <w:i w:val="false"/>
          <w:iCs w:val="false"/>
          <w:sz w:val="22"/>
          <w:szCs w:val="22"/>
        </w:rPr>
        <w:t xml:space="preserve">); for brevity we use PCNN throughout.</w:t>
      </w:r>
    </w:p>
    <w:p>
      <w:pPr>
        <w:spacing w:after="120" w:line="252" w:lineRule="auto"/>
        <w:jc w:val="left"/>
      </w:pPr>
      <w:r>
        <w:rPr>
          <w:rFonts w:ascii="Arial" w:cs="Arial" w:eastAsia="Arial" w:hAnsi="Arial"/>
          <w:b w:val="false"/>
          <w:bCs w:val="false"/>
          <w:i w:val="false"/>
          <w:iCs w:val="false"/>
          <w:sz w:val="22"/>
          <w:szCs w:val="22"/>
        </w:rPr>
        <w:t xml:space="preserve">Using this decomposition, we quantify how lattice dynamics organize dielectric amplification across ABO</w:t>
      </w:r>
      <w:r>
        <w:rPr>
          <w:rFonts w:ascii="Arial" w:cs="Arial" w:eastAsia="Arial" w:hAnsi="Arial"/>
          <w:b w:val="false"/>
          <w:bCs w:val="false"/>
          <w:i w:val="false"/>
          <w:iCs w:val="false"/>
          <w:sz w:val="22"/>
          <w:szCs w:val="22"/>
          <w:vertAlign w:val="subscript"/>
        </w:rPr>
        <w:t xml:space="preserve">3</w:t>
      </w:r>
      <w:r>
        <w:rPr>
          <w:rFonts w:ascii="Arial" w:cs="Arial" w:eastAsia="Arial" w:hAnsi="Arial"/>
          <w:b w:val="false"/>
          <w:bCs w:val="false"/>
          <w:i w:val="false"/>
          <w:iCs w:val="false"/>
          <w:sz w:val="22"/>
          <w:szCs w:val="22"/>
        </w:rPr>
        <w:t xml:space="preserve"> chemistry space, with the soft-mode term δ</w:t>
      </w:r>
      <w:r>
        <w:rPr>
          <w:rFonts w:ascii="Arial" w:cs="Arial" w:eastAsia="Arial" w:hAnsi="Arial"/>
          <w:b w:val="false"/>
          <w:bCs w:val="false"/>
          <w:i w:val="false"/>
          <w:iCs w:val="false"/>
          <w:sz w:val="22"/>
          <w:szCs w:val="22"/>
          <w:vertAlign w:val="subscript"/>
        </w:rPr>
        <w:t xml:space="preserve">LST</w:t>
      </w:r>
      <w:r>
        <w:rPr>
          <w:rFonts w:ascii="Arial" w:cs="Arial" w:eastAsia="Arial" w:hAnsi="Arial"/>
          <w:b w:val="false"/>
          <w:bCs w:val="false"/>
          <w:i w:val="false"/>
          <w:iCs w:val="false"/>
          <w:sz w:val="22"/>
          <w:szCs w:val="22"/>
        </w:rPr>
        <w:t xml:space="preserve"> accounting for 54.1% of ε</w:t>
      </w:r>
      <w:r>
        <w:rPr>
          <w:rFonts w:ascii="Arial" w:cs="Arial" w:eastAsia="Arial" w:hAnsi="Arial"/>
          <w:b w:val="false"/>
          <w:bCs w:val="false"/>
          <w:i w:val="false"/>
          <w:iCs w:val="false"/>
          <w:sz w:val="22"/>
          <w:szCs w:val="22"/>
          <w:vertAlign w:val="subscript"/>
        </w:rPr>
        <w:t xml:space="preserve">r</w:t>
      </w:r>
      <w:r>
        <w:rPr>
          <w:rFonts w:ascii="Arial" w:cs="Arial" w:eastAsia="Arial" w:hAnsi="Arial"/>
          <w:b w:val="false"/>
          <w:bCs w:val="false"/>
          <w:i w:val="false"/>
          <w:iCs w:val="false"/>
          <w:sz w:val="22"/>
          <w:szCs w:val="22"/>
        </w:rPr>
        <w:t xml:space="preserve">. The model (i) establishes the A-site amplification hierarchy Pb &gt; Ca &gt; La &gt; Sr &gt; Ba (permutation p &lt; 10</w:t>
      </w:r>
      <w:r>
        <w:rPr>
          <w:rFonts w:ascii="Arial" w:cs="Arial" w:eastAsia="Arial" w:hAnsi="Arial"/>
          <w:b w:val="false"/>
          <w:bCs w:val="false"/>
          <w:i w:val="false"/>
          <w:iCs w:val="false"/>
          <w:sz w:val="22"/>
          <w:szCs w:val="22"/>
          <w:vertAlign w:val="superscript"/>
        </w:rPr>
        <w:t xml:space="preserve">−3</w:t>
      </w:r>
      <w:r>
        <w:rPr>
          <w:rFonts w:ascii="Arial" w:cs="Arial" w:eastAsia="Arial" w:hAnsi="Arial"/>
          <w:b w:val="false"/>
          <w:bCs w:val="false"/>
          <w:i w:val="false"/>
          <w:iCs w:val="false"/>
          <w:sz w:val="22"/>
          <w:szCs w:val="22"/>
        </w:rPr>
        <w:t xml:space="preserve">); (ii) shows by counterfactual analysis that A-site chemistry controls the soft-mode channel independently of the B-site, with 96% of the model-attributed correction assigned to δ</w:t>
      </w:r>
      <w:r>
        <w:rPr>
          <w:rFonts w:ascii="Arial" w:cs="Arial" w:eastAsia="Arial" w:hAnsi="Arial"/>
          <w:b w:val="false"/>
          <w:bCs w:val="false"/>
          <w:i w:val="false"/>
          <w:iCs w:val="false"/>
          <w:sz w:val="22"/>
          <w:szCs w:val="22"/>
          <w:vertAlign w:val="subscript"/>
        </w:rPr>
        <w:t xml:space="preserve">LST</w:t>
      </w:r>
      <w:r>
        <w:rPr>
          <w:rFonts w:ascii="Arial" w:cs="Arial" w:eastAsia="Arial" w:hAnsi="Arial"/>
          <w:b w:val="false"/>
          <w:bCs w:val="false"/>
          <w:i w:val="false"/>
          <w:iCs w:val="false"/>
          <w:sz w:val="22"/>
          <w:szCs w:val="22"/>
        </w:rPr>
        <w:t xml:space="preserve">; (iii) identifies Pb-based compositions as a distinct chemical extrapolation boundary consistent with Pb 6s</w:t>
      </w:r>
      <w:r>
        <w:rPr>
          <w:rFonts w:ascii="Arial" w:cs="Arial" w:eastAsia="Arial" w:hAnsi="Arial"/>
          <w:b w:val="false"/>
          <w:bCs w:val="false"/>
          <w:i w:val="false"/>
          <w:iCs w:val="false"/>
          <w:sz w:val="22"/>
          <w:szCs w:val="22"/>
          <w:vertAlign w:val="superscript"/>
        </w:rPr>
        <w:t xml:space="preserve">2</w:t>
      </w:r>
      <w:r>
        <w:rPr>
          <w:rFonts w:ascii="Arial" w:cs="Arial" w:eastAsia="Arial" w:hAnsi="Arial"/>
          <w:b w:val="false"/>
          <w:bCs w:val="false"/>
          <w:i w:val="false"/>
          <w:iCs w:val="false"/>
          <w:sz w:val="22"/>
          <w:szCs w:val="22"/>
        </w:rPr>
        <w:t xml:space="preserve"> lone-pair-driven polarization; and (iv) proposes lead-free candidates with predicted ε</w:t>
      </w:r>
      <w:r>
        <w:rPr>
          <w:rFonts w:ascii="Arial" w:cs="Arial" w:eastAsia="Arial" w:hAnsi="Arial"/>
          <w:b w:val="false"/>
          <w:bCs w:val="false"/>
          <w:i w:val="false"/>
          <w:iCs w:val="false"/>
          <w:sz w:val="22"/>
          <w:szCs w:val="22"/>
          <w:vertAlign w:val="subscript"/>
        </w:rPr>
        <w:t xml:space="preserve">r</w:t>
      </w:r>
      <w:r>
        <w:rPr>
          <w:rFonts w:ascii="Arial" w:cs="Arial" w:eastAsia="Arial" w:hAnsi="Arial"/>
          <w:b w:val="false"/>
          <w:bCs w:val="false"/>
          <w:i w:val="false"/>
          <w:iCs w:val="false"/>
          <w:sz w:val="22"/>
          <w:szCs w:val="22"/>
        </w:rPr>
        <w:t xml:space="preserve"> ≥ 80.</w:t>
      </w:r>
    </w:p>
    <w:p>
      <w:pPr>
        <w:spacing w:after="120" w:line="252" w:lineRule="auto"/>
        <w:jc w:val="left"/>
      </w:pPr>
      <w:r>
        <w:rPr>
          <w:rFonts w:ascii="Arial" w:cs="Arial" w:eastAsia="Arial" w:hAnsi="Arial"/>
          <w:b w:val="false"/>
          <w:bCs w:val="false"/>
          <w:i w:val="false"/>
          <w:iCs w:val="false"/>
          <w:sz w:val="22"/>
          <w:szCs w:val="22"/>
        </w:rPr>
        <w:t xml:space="preserve">The PCNN integrates lattice-dynamical physics into a chemically interpretable network. By partitioning ε</w:t>
      </w:r>
      <w:r>
        <w:rPr>
          <w:rFonts w:ascii="Arial" w:cs="Arial" w:eastAsia="Arial" w:hAnsi="Arial"/>
          <w:b w:val="false"/>
          <w:bCs w:val="false"/>
          <w:i w:val="false"/>
          <w:iCs w:val="false"/>
          <w:sz w:val="22"/>
          <w:szCs w:val="22"/>
          <w:vertAlign w:val="subscript"/>
        </w:rPr>
        <w:t xml:space="preserve">r</w:t>
      </w:r>
      <w:r>
        <w:rPr>
          <w:rFonts w:ascii="Arial" w:cs="Arial" w:eastAsia="Arial" w:hAnsi="Arial"/>
          <w:b w:val="false"/>
          <w:bCs w:val="false"/>
          <w:i w:val="false"/>
          <w:iCs w:val="false"/>
          <w:sz w:val="22"/>
          <w:szCs w:val="22"/>
        </w:rPr>
        <w:t xml:space="preserve"> into physically signed contributions, the decomposition resolves how A-site chemistry redistributes the dielectric response between the electronic baseline and the soft-mode channel.</w:t>
      </w:r>
    </w:p>
    <w:p>
      <w:pPr>
        <w:pStyle w:val="Heading1"/>
        <w:spacing w:after="240" w:before="360" w:line="480" w:lineRule="auto"/>
      </w:pPr>
      <w:r>
        <w:rPr>
          <w:rFonts w:ascii="Arial" w:cs="Arial" w:eastAsia="Arial" w:hAnsi="Arial"/>
          <w:b/>
          <w:bCs/>
          <w:color w:val="000000"/>
          <w:sz w:val="28"/>
          <w:szCs w:val="28"/>
        </w:rPr>
        <w:t xml:space="preserve">Results</w:t>
      </w:r>
    </w:p>
    <w:p>
      <w:pPr>
        <w:spacing w:after="160" w:before="220" w:line="480" w:lineRule="auto"/>
      </w:pPr>
      <w:r>
        <w:rPr>
          <w:rFonts w:ascii="Arial" w:cs="Arial" w:eastAsia="Arial" w:hAnsi="Arial"/>
          <w:b/>
          <w:bCs/>
          <w:i/>
          <w:iCs/>
          <w:color w:val="000000"/>
          <w:sz w:val="22"/>
          <w:szCs w:val="22"/>
        </w:rPr>
        <w:t xml:space="preserve">Soft-mode amplification is the largest attributed contributor to permittivity across composition space</w:t>
      </w:r>
    </w:p>
    <w:p>
      <w:pPr>
        <w:spacing w:after="120" w:line="252" w:lineRule="auto"/>
        <w:jc w:val="left"/>
      </w:pPr>
      <w:r>
        <w:rPr>
          <w:rFonts w:ascii="Arial" w:cs="Arial" w:eastAsia="Arial" w:hAnsi="Arial"/>
          <w:b w:val="false"/>
          <w:bCs w:val="false"/>
          <w:i w:val="false"/>
          <w:iCs w:val="false"/>
          <w:sz w:val="22"/>
          <w:szCs w:val="22"/>
        </w:rPr>
        <w:t xml:space="preserve">Across 1,124 ABO</w:t>
      </w:r>
      <w:r>
        <w:rPr>
          <w:rFonts w:ascii="Arial" w:cs="Arial" w:eastAsia="Arial" w:hAnsi="Arial"/>
          <w:b w:val="false"/>
          <w:bCs w:val="false"/>
          <w:i w:val="false"/>
          <w:iCs w:val="false"/>
          <w:sz w:val="22"/>
          <w:szCs w:val="22"/>
          <w:vertAlign w:val="subscript"/>
        </w:rPr>
        <w:t xml:space="preserve">3</w:t>
      </w:r>
      <w:r>
        <w:rPr>
          <w:rFonts w:ascii="Arial" w:cs="Arial" w:eastAsia="Arial" w:hAnsi="Arial"/>
          <w:b w:val="false"/>
          <w:bCs w:val="false"/>
          <w:i w:val="false"/>
          <w:iCs w:val="false"/>
          <w:sz w:val="22"/>
          <w:szCs w:val="22"/>
        </w:rPr>
        <w:t xml:space="preserve"> ceramics for which a Clausius–Mossotti (CM) baseline is defined (of 1,304; the remaining 180 route through a no-CM fallback, Methods), soft-mode amplification — the lattice contribution the classical electronic CM baseline omits (Fig. 1) — is the largest attributed contributor to microwave permittivity (54.1% of </w:t>
      </w:r>
      <w:r>
        <w:rPr>
          <w:rFonts w:ascii="Arial" w:cs="Arial" w:eastAsia="Arial" w:hAnsi="Arial"/>
          <w:b w:val="false"/>
          <w:bCs w:val="false"/>
          <w:i/>
          <w:iCs/>
          <w:sz w:val="22"/>
          <w:szCs w:val="22"/>
        </w:rPr>
        <w:t xml:space="preserve">ε</w:t>
      </w:r>
      <w:r>
        <w:rPr>
          <w:rFonts w:ascii="Arial" w:cs="Arial" w:eastAsia="Arial" w:hAnsi="Arial"/>
          <w:b w:val="false"/>
          <w:bCs w:val="false"/>
          <w:i w:val="false"/>
          <w:iCs w:val="false"/>
          <w:sz w:val="22"/>
          <w:szCs w:val="22"/>
          <w:vertAlign w:val="subscript"/>
        </w:rPr>
        <w:t xml:space="preserve">r</w:t>
      </w:r>
      <w:r>
        <w:rPr>
          <w:rFonts w:ascii="Arial" w:cs="Arial" w:eastAsia="Arial" w:hAnsi="Arial"/>
          <w:b w:val="false"/>
          <w:bCs w:val="false"/>
          <w:i w:val="false"/>
          <w:iCs w:val="false"/>
          <w:sz w:val="22"/>
          <w:szCs w:val="22"/>
        </w:rPr>
        <w:t xml:space="preserve">, versus 46.2% from the electronic baseline, with octahedral tilt at −0.7% and the residual at 0.4%; ε</w:t>
      </w:r>
      <w:r>
        <w:rPr>
          <w:rFonts w:ascii="Arial" w:cs="Arial" w:eastAsia="Arial" w:hAnsi="Arial"/>
          <w:b w:val="false"/>
          <w:bCs w:val="false"/>
          <w:i w:val="false"/>
          <w:iCs w:val="false"/>
          <w:sz w:val="22"/>
          <w:szCs w:val="22"/>
          <w:vertAlign w:val="subscript"/>
        </w:rPr>
        <w:t xml:space="preserve">r</w:t>
      </w:r>
      <w:r>
        <w:rPr>
          <w:rFonts w:ascii="Arial" w:cs="Arial" w:eastAsia="Arial" w:hAnsi="Arial"/>
          <w:b w:val="false"/>
          <w:bCs w:val="false"/>
          <w:i w:val="false"/>
          <w:iCs w:val="false"/>
          <w:sz w:val="22"/>
          <w:szCs w:val="22"/>
        </w:rPr>
        <w:t xml:space="preserve">-weighted shares that sum to exactly 100% by construction; Fig. 2c).</w:t>
      </w:r>
    </w:p>
    <w:p>
      <w:pPr>
        <w:spacing w:after="120" w:line="252" w:lineRule="auto"/>
        <w:jc w:val="left"/>
      </w:pPr>
      <w:r>
        <w:rPr>
          <w:rFonts w:ascii="Arial" w:cs="Arial" w:eastAsia="Arial" w:hAnsi="Arial"/>
          <w:b w:val="false"/>
          <w:bCs w:val="false"/>
          <w:i w:val="false"/>
          <w:iCs w:val="false"/>
          <w:sz w:val="22"/>
          <w:szCs w:val="22"/>
        </w:rPr>
        <w:t xml:space="preserve">To make this attribution per composition we trained a physics-constrained neural network (PCNN) that expresses each prediction as an additive sum of named branches, </w:t>
      </w:r>
      <w:r>
        <w:rPr>
          <w:rFonts w:ascii="Arial" w:cs="Arial" w:eastAsia="Arial" w:hAnsi="Arial"/>
          <w:b w:val="false"/>
          <w:bCs w:val="false"/>
          <w:i/>
          <w:iCs/>
          <w:sz w:val="22"/>
          <w:szCs w:val="22"/>
        </w:rPr>
        <w:t xml:space="preserve">ε</w:t>
      </w:r>
      <w:r>
        <w:rPr>
          <w:rFonts w:ascii="Arial" w:cs="Arial" w:eastAsia="Arial" w:hAnsi="Arial"/>
          <w:b w:val="false"/>
          <w:bCs w:val="false"/>
          <w:i w:val="false"/>
          <w:iCs w:val="false"/>
          <w:sz w:val="22"/>
          <w:szCs w:val="22"/>
          <w:vertAlign w:val="subscript"/>
        </w:rPr>
        <w:t xml:space="preserve">r</w:t>
      </w:r>
      <w:r>
        <w:rPr>
          <w:rFonts w:ascii="Arial" w:cs="Arial" w:eastAsia="Arial" w:hAnsi="Arial"/>
          <w:b w:val="false"/>
          <w:bCs w:val="false"/>
          <w:i w:val="false"/>
          <w:iCs w:val="false"/>
          <w:sz w:val="22"/>
          <w:szCs w:val="22"/>
        </w:rPr>
        <w:t xml:space="preserve"> = </w:t>
      </w:r>
      <w:r>
        <w:rPr>
          <w:rFonts w:ascii="Arial" w:cs="Arial" w:eastAsia="Arial" w:hAnsi="Arial"/>
          <w:b w:val="false"/>
          <w:bCs w:val="false"/>
          <w:i/>
          <w:iCs/>
          <w:sz w:val="22"/>
          <w:szCs w:val="22"/>
        </w:rPr>
        <w:t xml:space="preserve">ε</w:t>
      </w:r>
      <w:r>
        <w:rPr>
          <w:rFonts w:ascii="Arial" w:cs="Arial" w:eastAsia="Arial" w:hAnsi="Arial"/>
          <w:b w:val="false"/>
          <w:bCs w:val="false"/>
          <w:i w:val="false"/>
          <w:iCs w:val="false"/>
          <w:sz w:val="22"/>
          <w:szCs w:val="22"/>
          <w:vertAlign w:val="subscript"/>
        </w:rPr>
        <w:t xml:space="preserve">r,CM</w:t>
      </w:r>
      <w:r>
        <w:rPr>
          <w:rFonts w:ascii="Arial" w:cs="Arial" w:eastAsia="Arial" w:hAnsi="Arial"/>
          <w:b w:val="false"/>
          <w:bCs w:val="false"/>
          <w:i w:val="false"/>
          <w:iCs w:val="false"/>
          <w:sz w:val="22"/>
          <w:szCs w:val="22"/>
        </w:rPr>
        <w:t xml:space="preserve"> + </w:t>
      </w:r>
      <w:r>
        <w:rPr>
          <w:rFonts w:ascii="Arial" w:cs="Arial" w:eastAsia="Arial" w:hAnsi="Arial"/>
          <w:b w:val="false"/>
          <w:bCs w:val="false"/>
          <w:i/>
          <w:iCs/>
          <w:sz w:val="22"/>
          <w:szCs w:val="22"/>
        </w:rPr>
        <w:t xml:space="preserve">δ</w:t>
      </w:r>
      <w:r>
        <w:rPr>
          <w:rFonts w:ascii="Arial" w:cs="Arial" w:eastAsia="Arial" w:hAnsi="Arial"/>
          <w:b w:val="false"/>
          <w:bCs w:val="false"/>
          <w:i w:val="false"/>
          <w:iCs w:val="false"/>
          <w:sz w:val="22"/>
          <w:szCs w:val="22"/>
          <w:vertAlign w:val="subscript"/>
        </w:rPr>
        <w:t xml:space="preserve">LST</w:t>
      </w:r>
      <w:r>
        <w:rPr>
          <w:rFonts w:ascii="Arial" w:cs="Arial" w:eastAsia="Arial" w:hAnsi="Arial"/>
          <w:b w:val="false"/>
          <w:bCs w:val="false"/>
          <w:i w:val="false"/>
          <w:iCs w:val="false"/>
          <w:sz w:val="22"/>
          <w:szCs w:val="22"/>
        </w:rPr>
        <w:t xml:space="preserve"> + </w:t>
      </w:r>
      <w:r>
        <w:rPr>
          <w:rFonts w:ascii="Arial" w:cs="Arial" w:eastAsia="Arial" w:hAnsi="Arial"/>
          <w:b w:val="false"/>
          <w:bCs w:val="false"/>
          <w:i/>
          <w:iCs/>
          <w:sz w:val="22"/>
          <w:szCs w:val="22"/>
        </w:rPr>
        <w:t xml:space="preserve">δ</w:t>
      </w:r>
      <w:r>
        <w:rPr>
          <w:rFonts w:ascii="Arial" w:cs="Arial" w:eastAsia="Arial" w:hAnsi="Arial"/>
          <w:b w:val="false"/>
          <w:bCs w:val="false"/>
          <w:i w:val="false"/>
          <w:iCs w:val="false"/>
          <w:sz w:val="22"/>
          <w:szCs w:val="22"/>
          <w:vertAlign w:val="subscript"/>
        </w:rPr>
        <w:t xml:space="preserve">tilt</w:t>
      </w:r>
      <w:r>
        <w:rPr>
          <w:rFonts w:ascii="Arial" w:cs="Arial" w:eastAsia="Arial" w:hAnsi="Arial"/>
          <w:b w:val="false"/>
          <w:bCs w:val="false"/>
          <w:i w:val="false"/>
          <w:iCs w:val="false"/>
          <w:sz w:val="22"/>
          <w:szCs w:val="22"/>
        </w:rPr>
        <w:t xml:space="preserve"> + </w:t>
      </w:r>
      <w:r>
        <w:rPr>
          <w:rFonts w:ascii="Arial" w:cs="Arial" w:eastAsia="Arial" w:hAnsi="Arial"/>
          <w:b w:val="false"/>
          <w:bCs w:val="false"/>
          <w:i/>
          <w:iCs/>
          <w:sz w:val="22"/>
          <w:szCs w:val="22"/>
        </w:rPr>
        <w:t xml:space="preserve">δ</w:t>
      </w:r>
      <w:r>
        <w:rPr>
          <w:rFonts w:ascii="Arial" w:cs="Arial" w:eastAsia="Arial" w:hAnsi="Arial"/>
          <w:b w:val="false"/>
          <w:bCs w:val="false"/>
          <w:i w:val="false"/>
          <w:iCs w:val="false"/>
          <w:sz w:val="22"/>
          <w:szCs w:val="22"/>
          <w:vertAlign w:val="subscript"/>
        </w:rPr>
        <w:t xml:space="preserve">res</w:t>
      </w:r>
      <w:r>
        <w:rPr>
          <w:rFonts w:ascii="Arial" w:cs="Arial" w:eastAsia="Arial" w:hAnsi="Arial"/>
          <w:b w:val="false"/>
          <w:bCs w:val="false"/>
          <w:i w:val="false"/>
          <w:iCs w:val="false"/>
          <w:sz w:val="22"/>
          <w:szCs w:val="22"/>
        </w:rPr>
        <w:t xml:space="preserve">, with every branch constrained to the sign of the mechanism it represents (architecture below; theoretical foundation and regularisation in Supplementary Note 2); because the branches carry physical units, the trained model yields, for each composition, the fraction of </w:t>
      </w:r>
      <w:r>
        <w:rPr>
          <w:rFonts w:ascii="Arial" w:cs="Arial" w:eastAsia="Arial" w:hAnsi="Arial"/>
          <w:b w:val="false"/>
          <w:bCs w:val="false"/>
          <w:i/>
          <w:iCs/>
          <w:sz w:val="22"/>
          <w:szCs w:val="22"/>
        </w:rPr>
        <w:t xml:space="preserve">ε</w:t>
      </w:r>
      <w:r>
        <w:rPr>
          <w:rFonts w:ascii="Arial" w:cs="Arial" w:eastAsia="Arial" w:hAnsi="Arial"/>
          <w:b w:val="false"/>
          <w:bCs w:val="false"/>
          <w:i w:val="false"/>
          <w:iCs w:val="false"/>
          <w:sz w:val="22"/>
          <w:szCs w:val="22"/>
          <w:vertAlign w:val="subscript"/>
        </w:rPr>
        <w:t xml:space="preserve">r</w:t>
      </w:r>
      <w:r>
        <w:rPr>
          <w:rFonts w:ascii="Arial" w:cs="Arial" w:eastAsia="Arial" w:hAnsi="Arial"/>
          <w:b w:val="false"/>
          <w:bCs w:val="false"/>
          <w:i w:val="false"/>
          <w:iCs w:val="false"/>
          <w:sz w:val="22"/>
          <w:szCs w:val="22"/>
        </w:rPr>
        <w:t xml:space="preserve"> supplied by each mechanism. Classical CM theory, which derives </w:t>
      </w:r>
      <w:r>
        <w:rPr>
          <w:rFonts w:ascii="Arial" w:cs="Arial" w:eastAsia="Arial" w:hAnsi="Arial"/>
          <w:b w:val="false"/>
          <w:bCs w:val="false"/>
          <w:i/>
          <w:iCs/>
          <w:sz w:val="22"/>
          <w:szCs w:val="22"/>
        </w:rPr>
        <w:t xml:space="preserve">ε</w:t>
      </w:r>
      <w:r>
        <w:rPr>
          <w:rFonts w:ascii="Arial" w:cs="Arial" w:eastAsia="Arial" w:hAnsi="Arial"/>
          <w:b w:val="false"/>
          <w:bCs w:val="false"/>
          <w:i w:val="false"/>
          <w:iCs w:val="false"/>
          <w:sz w:val="22"/>
          <w:szCs w:val="22"/>
          <w:vertAlign w:val="subscript"/>
        </w:rPr>
        <w:t xml:space="preserve">r</w:t>
      </w:r>
      <w:r>
        <w:rPr>
          <w:rFonts w:ascii="Arial" w:cs="Arial" w:eastAsia="Arial" w:hAnsi="Arial"/>
          <w:b w:val="false"/>
          <w:bCs w:val="false"/>
          <w:i w:val="false"/>
          <w:iCs w:val="false"/>
          <w:sz w:val="22"/>
          <w:szCs w:val="22"/>
        </w:rPr>
        <w:t xml:space="preserve"> from electronic ionic polarizabilities alone, systematically underpredicts the measured response (CM evaluation procedure in Supplementary Note 1), so the soft-mode contribution the PCNN isolates is the lattice term the CM formalism omits.</w:t>
      </w:r>
    </w:p>
    <w:p>
      <w:pPr>
        <w:spacing w:after="120" w:line="252" w:lineRule="auto"/>
        <w:jc w:val="left"/>
      </w:pPr>
      <w:r>
        <w:rPr>
          <w:rFonts w:ascii="Arial" w:cs="Arial" w:eastAsia="Arial" w:hAnsi="Arial"/>
          <w:b w:val="false"/>
          <w:bCs w:val="false"/>
          <w:i w:val="false"/>
          <w:iCs w:val="false"/>
          <w:sz w:val="22"/>
          <w:szCs w:val="22"/>
        </w:rPr>
        <w:t xml:space="preserve">This split is structurally organised: the electronic baseline carries the bulk of </w:t>
      </w:r>
      <w:r>
        <w:rPr>
          <w:rFonts w:ascii="Arial" w:cs="Arial" w:eastAsia="Arial" w:hAnsi="Arial"/>
          <w:b w:val="false"/>
          <w:bCs w:val="false"/>
          <w:i/>
          <w:iCs/>
          <w:sz w:val="22"/>
          <w:szCs w:val="22"/>
        </w:rPr>
        <w:t xml:space="preserve">ε</w:t>
      </w:r>
      <w:r>
        <w:rPr>
          <w:rFonts w:ascii="Arial" w:cs="Arial" w:eastAsia="Arial" w:hAnsi="Arial"/>
          <w:b w:val="false"/>
          <w:bCs w:val="false"/>
          <w:i w:val="false"/>
          <w:iCs w:val="false"/>
          <w:sz w:val="22"/>
          <w:szCs w:val="22"/>
          <w:vertAlign w:val="subscript"/>
        </w:rPr>
        <w:t xml:space="preserve">r</w:t>
      </w:r>
      <w:r>
        <w:rPr>
          <w:rFonts w:ascii="Arial" w:cs="Arial" w:eastAsia="Arial" w:hAnsi="Arial"/>
          <w:b w:val="false"/>
          <w:bCs w:val="false"/>
          <w:i w:val="false"/>
          <w:iCs w:val="false"/>
          <w:sz w:val="22"/>
          <w:szCs w:val="22"/>
        </w:rPr>
        <w:t xml:space="preserve"> in the low-tilt regimes (</w:t>
      </w:r>
      <w:r>
        <w:rPr>
          <w:rFonts w:ascii="Arial" w:cs="Arial" w:eastAsia="Arial" w:hAnsi="Arial"/>
          <w:b w:val="false"/>
          <w:bCs w:val="false"/>
          <w:i/>
          <w:iCs/>
          <w:sz w:val="22"/>
          <w:szCs w:val="22"/>
        </w:rPr>
        <w:t xml:space="preserve">ε</w:t>
      </w:r>
      <w:r>
        <w:rPr>
          <w:rFonts w:ascii="Arial" w:cs="Arial" w:eastAsia="Arial" w:hAnsi="Arial"/>
          <w:b w:val="false"/>
          <w:bCs w:val="false"/>
          <w:i w:val="false"/>
          <w:iCs w:val="false"/>
          <w:sz w:val="22"/>
          <w:szCs w:val="22"/>
          <w:vertAlign w:val="subscript"/>
        </w:rPr>
        <w:t xml:space="preserve">r,CM</w:t>
      </w:r>
      <w:r>
        <w:rPr>
          <w:rFonts w:ascii="Arial" w:cs="Arial" w:eastAsia="Arial" w:hAnsi="Arial"/>
          <w:b w:val="false"/>
          <w:bCs w:val="false"/>
          <w:i w:val="false"/>
          <w:iCs w:val="false"/>
          <w:sz w:val="22"/>
          <w:szCs w:val="22"/>
        </w:rPr>
        <w:t xml:space="preserve"> = 72.9% in Ia, 65.6% in Ib), whereas soft-mode amplification becomes the majority contribution in the tilted regimes II (</w:t>
      </w:r>
      <w:r>
        <w:rPr>
          <w:rFonts w:ascii="Arial" w:cs="Arial" w:eastAsia="Arial" w:hAnsi="Arial"/>
          <w:b w:val="false"/>
          <w:bCs w:val="false"/>
          <w:i/>
          <w:iCs/>
          <w:sz w:val="22"/>
          <w:szCs w:val="22"/>
        </w:rPr>
        <w:t xml:space="preserve">δ</w:t>
      </w:r>
      <w:r>
        <w:rPr>
          <w:rFonts w:ascii="Arial" w:cs="Arial" w:eastAsia="Arial" w:hAnsi="Arial"/>
          <w:b w:val="false"/>
          <w:bCs w:val="false"/>
          <w:i w:val="false"/>
          <w:iCs w:val="false"/>
          <w:sz w:val="22"/>
          <w:szCs w:val="22"/>
          <w:vertAlign w:val="subscript"/>
        </w:rPr>
        <w:t xml:space="preserve">LST</w:t>
      </w:r>
      <w:r>
        <w:rPr>
          <w:rFonts w:ascii="Arial" w:cs="Arial" w:eastAsia="Arial" w:hAnsi="Arial"/>
          <w:b w:val="false"/>
          <w:bCs w:val="false"/>
          <w:i w:val="false"/>
          <w:iCs w:val="false"/>
          <w:sz w:val="22"/>
          <w:szCs w:val="22"/>
        </w:rPr>
        <w:t xml:space="preserve"> = 57.0%) and III (60.9%) — a crossover from electronic- to lattice-driven permittivity (Fig. 2c). We interpret </w:t>
      </w:r>
      <w:r>
        <w:rPr>
          <w:rFonts w:ascii="Arial" w:cs="Arial" w:eastAsia="Arial" w:hAnsi="Arial"/>
          <w:b w:val="false"/>
          <w:bCs w:val="false"/>
          <w:i/>
          <w:iCs/>
          <w:sz w:val="22"/>
          <w:szCs w:val="22"/>
        </w:rPr>
        <w:t xml:space="preserve">δ</w:t>
      </w:r>
      <w:r>
        <w:rPr>
          <w:rFonts w:ascii="Arial" w:cs="Arial" w:eastAsia="Arial" w:hAnsi="Arial"/>
          <w:b w:val="false"/>
          <w:bCs w:val="false"/>
          <w:i w:val="false"/>
          <w:iCs w:val="false"/>
          <w:sz w:val="22"/>
          <w:szCs w:val="22"/>
          <w:vertAlign w:val="subscript"/>
        </w:rPr>
        <w:t xml:space="preserve">LST</w:t>
      </w:r>
      <w:r>
        <w:rPr>
          <w:rFonts w:ascii="Arial" w:cs="Arial" w:eastAsia="Arial" w:hAnsi="Arial"/>
          <w:b w:val="false"/>
          <w:bCs w:val="false"/>
          <w:i w:val="false"/>
          <w:iCs w:val="false"/>
          <w:sz w:val="22"/>
          <w:szCs w:val="22"/>
        </w:rPr>
        <w:t xml:space="preserve"> as the model's allocation of </w:t>
      </w:r>
      <w:r>
        <w:rPr>
          <w:rFonts w:ascii="Arial" w:cs="Arial" w:eastAsia="Arial" w:hAnsi="Arial"/>
          <w:b w:val="false"/>
          <w:bCs w:val="false"/>
          <w:i/>
          <w:iCs/>
          <w:sz w:val="22"/>
          <w:szCs w:val="22"/>
        </w:rPr>
        <w:t xml:space="preserve">ε</w:t>
      </w:r>
      <w:r>
        <w:rPr>
          <w:rFonts w:ascii="Arial" w:cs="Arial" w:eastAsia="Arial" w:hAnsi="Arial"/>
          <w:b w:val="false"/>
          <w:bCs w:val="false"/>
          <w:i w:val="false"/>
          <w:iCs w:val="false"/>
          <w:sz w:val="22"/>
          <w:szCs w:val="22"/>
          <w:vertAlign w:val="subscript"/>
        </w:rPr>
        <w:t xml:space="preserve">r</w:t>
      </w:r>
      <w:r>
        <w:rPr>
          <w:rFonts w:ascii="Arial" w:cs="Arial" w:eastAsia="Arial" w:hAnsi="Arial"/>
          <w:b w:val="false"/>
          <w:bCs w:val="false"/>
          <w:i w:val="false"/>
          <w:iCs w:val="false"/>
          <w:sz w:val="22"/>
          <w:szCs w:val="22"/>
        </w:rPr>
        <w:t xml:space="preserve">, the lattice contribution the CM baseline omits, consistent with Lyddane–Sachs–Teller physics and the Born-charge / soft-mode picture of ABO</w:t>
      </w:r>
      <w:r>
        <w:rPr>
          <w:rFonts w:ascii="Arial" w:cs="Arial" w:eastAsia="Arial" w:hAnsi="Arial"/>
          <w:b w:val="false"/>
          <w:bCs w:val="false"/>
          <w:i w:val="false"/>
          <w:iCs w:val="false"/>
          <w:sz w:val="22"/>
          <w:szCs w:val="22"/>
          <w:vertAlign w:val="subscript"/>
        </w:rPr>
        <w:t xml:space="preserve">3</w:t>
      </w:r>
      <w:r>
        <w:rPr>
          <w:rFonts w:ascii="Arial" w:cs="Arial" w:eastAsia="Arial" w:hAnsi="Arial"/>
          <w:b w:val="false"/>
          <w:bCs w:val="false"/>
          <w:i w:val="false"/>
          <w:iCs w:val="false"/>
          <w:sz w:val="22"/>
          <w:szCs w:val="22"/>
        </w:rPr>
        <w:t xml:space="preserve"> polarization [10,28], rather than an independently measured soft-mode amplitude, since the model lacks phonon-frequency inputs and confirming the assignment would require an external </w:t>
      </w:r>
      <w:r>
        <w:rPr>
          <w:rFonts w:ascii="Arial" w:cs="Arial" w:eastAsia="Arial" w:hAnsi="Arial"/>
          <w:b w:val="false"/>
          <w:bCs w:val="false"/>
          <w:i/>
          <w:iCs/>
          <w:sz w:val="22"/>
          <w:szCs w:val="22"/>
        </w:rPr>
        <w:t xml:space="preserve">ω</w:t>
      </w:r>
      <w:r>
        <w:rPr>
          <w:rFonts w:ascii="Arial" w:cs="Arial" w:eastAsia="Arial" w:hAnsi="Arial"/>
          <w:b w:val="false"/>
          <w:bCs w:val="false"/>
          <w:i w:val="false"/>
          <w:iCs w:val="false"/>
          <w:sz w:val="22"/>
          <w:szCs w:val="22"/>
          <w:vertAlign w:val="subscript"/>
        </w:rPr>
        <w:t xml:space="preserve">TO</w:t>
      </w:r>
      <w:r>
        <w:rPr>
          <w:rFonts w:ascii="Arial" w:cs="Arial" w:eastAsia="Arial" w:hAnsi="Arial"/>
          <w:b w:val="false"/>
          <w:bCs w:val="false"/>
          <w:i w:val="false"/>
          <w:iCs w:val="false"/>
          <w:sz w:val="22"/>
          <w:szCs w:val="22"/>
        </w:rPr>
        <w:t xml:space="preserve"> probe.</w:t>
      </w:r>
    </w:p>
    <w:p>
      <w:pPr>
        <w:spacing w:after="120" w:line="252" w:lineRule="auto"/>
        <w:jc w:val="left"/>
      </w:pPr>
      <w:r>
        <w:rPr>
          <w:rFonts w:ascii="Arial" w:cs="Arial" w:eastAsia="Arial" w:hAnsi="Arial"/>
          <w:b w:val="false"/>
          <w:bCs w:val="false"/>
          <w:i w:val="false"/>
          <w:iCs w:val="false"/>
          <w:sz w:val="22"/>
          <w:szCs w:val="22"/>
        </w:rPr>
        <w:t xml:space="preserve">This allocation is data-driven rather than constraint-imposed: the non-negativity bound on </w:t>
      </w:r>
      <w:r>
        <w:rPr>
          <w:rFonts w:ascii="Arial" w:cs="Arial" w:eastAsia="Arial" w:hAnsi="Arial"/>
          <w:b w:val="false"/>
          <w:bCs w:val="false"/>
          <w:i/>
          <w:iCs/>
          <w:sz w:val="22"/>
          <w:szCs w:val="22"/>
        </w:rPr>
        <w:t xml:space="preserve">δ</w:t>
      </w:r>
      <w:r>
        <w:rPr>
          <w:rFonts w:ascii="Arial" w:cs="Arial" w:eastAsia="Arial" w:hAnsi="Arial"/>
          <w:b w:val="false"/>
          <w:bCs w:val="false"/>
          <w:i w:val="false"/>
          <w:iCs w:val="false"/>
          <w:sz w:val="22"/>
          <w:szCs w:val="22"/>
          <w:vertAlign w:val="subscript"/>
        </w:rPr>
        <w:t xml:space="preserve">LST</w:t>
      </w:r>
      <w:r>
        <w:rPr>
          <w:rFonts w:ascii="Arial" w:cs="Arial" w:eastAsia="Arial" w:hAnsi="Arial"/>
          <w:b w:val="false"/>
          <w:bCs w:val="false"/>
          <w:i w:val="false"/>
          <w:iCs w:val="false"/>
          <w:sz w:val="22"/>
          <w:szCs w:val="22"/>
        </w:rPr>
        <w:t xml:space="preserve"> is slack for every composition (</w:t>
      </w:r>
      <w:r>
        <w:rPr>
          <w:rFonts w:ascii="Arial" w:cs="Arial" w:eastAsia="Arial" w:hAnsi="Arial"/>
          <w:b w:val="false"/>
          <w:bCs w:val="false"/>
          <w:i/>
          <w:iCs/>
          <w:sz w:val="22"/>
          <w:szCs w:val="22"/>
        </w:rPr>
        <w:t xml:space="preserve">δ</w:t>
      </w:r>
      <w:r>
        <w:rPr>
          <w:rFonts w:ascii="Arial" w:cs="Arial" w:eastAsia="Arial" w:hAnsi="Arial"/>
          <w:b w:val="false"/>
          <w:bCs w:val="false"/>
          <w:i w:val="false"/>
          <w:iCs w:val="false"/>
          <w:sz w:val="22"/>
          <w:szCs w:val="22"/>
          <w:vertAlign w:val="subscript"/>
        </w:rPr>
        <w:t xml:space="preserve">LST</w:t>
      </w:r>
      <w:r>
        <w:rPr>
          <w:rFonts w:ascii="Arial" w:cs="Arial" w:eastAsia="Arial" w:hAnsi="Arial"/>
          <w:b w:val="false"/>
          <w:bCs w:val="false"/>
          <w:i w:val="false"/>
          <w:iCs w:val="false"/>
          <w:sz w:val="22"/>
          <w:szCs w:val="22"/>
        </w:rPr>
        <w:t xml:space="preserve"> &gt; 0.7 throughout), the residual carries &lt; 1% of the correction budget, and the attribution holds out of sample (a 59% soft-mode share on the 88 held-out valid-CM compositions versus 54% across the corpus). Magnitude and variance tell complementary stories: the electronic CM baseline is a near-uniform floor (coefficient of variation 0.28) that supplies ~46% of the permittivity but only ~11% of its composition-to-composition variance, whereas </w:t>
      </w:r>
      <w:r>
        <w:rPr>
          <w:rFonts w:ascii="Arial" w:cs="Arial" w:eastAsia="Arial" w:hAnsi="Arial"/>
          <w:b w:val="false"/>
          <w:bCs w:val="false"/>
          <w:i/>
          <w:iCs/>
          <w:sz w:val="22"/>
          <w:szCs w:val="22"/>
        </w:rPr>
        <w:t xml:space="preserve">δ</w:t>
      </w:r>
      <w:r>
        <w:rPr>
          <w:rFonts w:ascii="Arial" w:cs="Arial" w:eastAsia="Arial" w:hAnsi="Arial"/>
          <w:b w:val="false"/>
          <w:bCs w:val="false"/>
          <w:i w:val="false"/>
          <w:iCs w:val="false"/>
          <w:sz w:val="22"/>
          <w:szCs w:val="22"/>
          <w:vertAlign w:val="subscript"/>
        </w:rPr>
        <w:t xml:space="preserve">LST</w:t>
      </w:r>
      <w:r>
        <w:rPr>
          <w:rFonts w:ascii="Arial" w:cs="Arial" w:eastAsia="Arial" w:hAnsi="Arial"/>
          <w:b w:val="false"/>
          <w:bCs w:val="false"/>
          <w:i w:val="false"/>
          <w:iCs w:val="false"/>
          <w:sz w:val="22"/>
          <w:szCs w:val="22"/>
        </w:rPr>
        <w:t xml:space="preserve"> (coefficient of variation 1.05) carries ~87%, a Shapley decomposition over the 2</w:t>
      </w:r>
      <w:r>
        <w:rPr>
          <w:rFonts w:ascii="Arial" w:cs="Arial" w:eastAsia="Arial" w:hAnsi="Arial"/>
          <w:b w:val="false"/>
          <w:bCs w:val="false"/>
          <w:i w:val="false"/>
          <w:iCs w:val="false"/>
          <w:sz w:val="22"/>
          <w:szCs w:val="22"/>
          <w:vertAlign w:val="superscript"/>
        </w:rPr>
        <w:t xml:space="preserve">3</w:t>
      </w:r>
      <w:r>
        <w:rPr>
          <w:rFonts w:ascii="Arial" w:cs="Arial" w:eastAsia="Arial" w:hAnsi="Arial"/>
          <w:b w:val="false"/>
          <w:bCs w:val="false"/>
          <w:i w:val="false"/>
          <w:iCs w:val="false"/>
          <w:sz w:val="22"/>
          <w:szCs w:val="22"/>
        </w:rPr>
        <w:t xml:space="preserve"> branch ablations assigns a marginal </w:t>
      </w:r>
      <w:r>
        <w:rPr>
          <w:rFonts w:ascii="Arial" w:cs="Arial" w:eastAsia="Arial" w:hAnsi="Arial"/>
          <w:b w:val="false"/>
          <w:bCs w:val="false"/>
          <w:i/>
          <w:iCs/>
          <w:sz w:val="22"/>
          <w:szCs w:val="22"/>
        </w:rPr>
        <w:t xml:space="preserve">R</w:t>
      </w:r>
      <w:r>
        <w:rPr>
          <w:rFonts w:ascii="Arial" w:cs="Arial" w:eastAsia="Arial" w:hAnsi="Arial"/>
          <w:b w:val="false"/>
          <w:bCs w:val="false"/>
          <w:i w:val="false"/>
          <w:iCs w:val="false"/>
          <w:sz w:val="22"/>
          <w:szCs w:val="22"/>
          <w:vertAlign w:val="superscript"/>
        </w:rPr>
        <w:t xml:space="preserve">2</w:t>
      </w:r>
      <w:r>
        <w:rPr>
          <w:rFonts w:ascii="Arial" w:cs="Arial" w:eastAsia="Arial" w:hAnsi="Arial"/>
          <w:b w:val="false"/>
          <w:bCs w:val="false"/>
          <w:i w:val="false"/>
          <w:iCs w:val="false"/>
          <w:sz w:val="22"/>
          <w:szCs w:val="22"/>
        </w:rPr>
        <w:t xml:space="preserve"> of 0.909 to </w:t>
      </w:r>
      <w:r>
        <w:rPr>
          <w:rFonts w:ascii="Arial" w:cs="Arial" w:eastAsia="Arial" w:hAnsi="Arial"/>
          <w:b w:val="false"/>
          <w:bCs w:val="false"/>
          <w:i/>
          <w:iCs/>
          <w:sz w:val="22"/>
          <w:szCs w:val="22"/>
        </w:rPr>
        <w:t xml:space="preserve">δ</w:t>
      </w:r>
      <w:r>
        <w:rPr>
          <w:rFonts w:ascii="Arial" w:cs="Arial" w:eastAsia="Arial" w:hAnsi="Arial"/>
          <w:b w:val="false"/>
          <w:bCs w:val="false"/>
          <w:i w:val="false"/>
          <w:iCs w:val="false"/>
          <w:sz w:val="22"/>
          <w:szCs w:val="22"/>
          <w:vertAlign w:val="subscript"/>
        </w:rPr>
        <w:t xml:space="preserve">LST</w:t>
      </w:r>
      <w:r>
        <w:rPr>
          <w:rFonts w:ascii="Arial" w:cs="Arial" w:eastAsia="Arial" w:hAnsi="Arial"/>
          <w:b w:val="false"/>
          <w:bCs w:val="false"/>
          <w:i w:val="false"/>
          <w:iCs w:val="false"/>
          <w:sz w:val="22"/>
          <w:szCs w:val="22"/>
        </w:rPr>
        <w:t xml:space="preserve"> versus 0.049 to CM and 0.0001 to tilt, and removing </w:t>
      </w:r>
      <w:r>
        <w:rPr>
          <w:rFonts w:ascii="Arial" w:cs="Arial" w:eastAsia="Arial" w:hAnsi="Arial"/>
          <w:b w:val="false"/>
          <w:bCs w:val="false"/>
          <w:i/>
          <w:iCs/>
          <w:sz w:val="22"/>
          <w:szCs w:val="22"/>
        </w:rPr>
        <w:t xml:space="preserve">δ</w:t>
      </w:r>
      <w:r>
        <w:rPr>
          <w:rFonts w:ascii="Arial" w:cs="Arial" w:eastAsia="Arial" w:hAnsi="Arial"/>
          <w:b w:val="false"/>
          <w:bCs w:val="false"/>
          <w:i w:val="false"/>
          <w:iCs w:val="false"/>
          <w:sz w:val="22"/>
          <w:szCs w:val="22"/>
          <w:vertAlign w:val="subscript"/>
        </w:rPr>
        <w:t xml:space="preserve">LST</w:t>
      </w:r>
      <w:r>
        <w:rPr>
          <w:rFonts w:ascii="Arial" w:cs="Arial" w:eastAsia="Arial" w:hAnsi="Arial"/>
          <w:b w:val="false"/>
          <w:bCs w:val="false"/>
          <w:i w:val="false"/>
          <w:iCs w:val="false"/>
          <w:sz w:val="22"/>
          <w:szCs w:val="22"/>
        </w:rPr>
        <w:t xml:space="preserve"> alone collapses </w:t>
      </w:r>
      <w:r>
        <w:rPr>
          <w:rFonts w:ascii="Arial" w:cs="Arial" w:eastAsia="Arial" w:hAnsi="Arial"/>
          <w:b w:val="false"/>
          <w:bCs w:val="false"/>
          <w:i/>
          <w:iCs/>
          <w:sz w:val="22"/>
          <w:szCs w:val="22"/>
        </w:rPr>
        <w:t xml:space="preserve">R</w:t>
      </w:r>
      <w:r>
        <w:rPr>
          <w:rFonts w:ascii="Arial" w:cs="Arial" w:eastAsia="Arial" w:hAnsi="Arial"/>
          <w:b w:val="false"/>
          <w:bCs w:val="false"/>
          <w:i w:val="false"/>
          <w:iCs w:val="false"/>
          <w:sz w:val="22"/>
          <w:szCs w:val="22"/>
          <w:vertAlign w:val="superscript"/>
        </w:rPr>
        <w:t xml:space="preserve">2</w:t>
      </w:r>
      <w:r>
        <w:rPr>
          <w:rFonts w:ascii="Arial" w:cs="Arial" w:eastAsia="Arial" w:hAnsi="Arial"/>
          <w:b w:val="false"/>
          <w:bCs w:val="false"/>
          <w:i w:val="false"/>
          <w:iCs w:val="false"/>
          <w:sz w:val="22"/>
          <w:szCs w:val="22"/>
        </w:rPr>
        <w:t xml:space="preserve"> by 0.688. The tilt branch is correspondingly near-inactive (active for ~10% of compositions, −0.7% of </w:t>
      </w:r>
      <w:r>
        <w:rPr>
          <w:rFonts w:ascii="Arial" w:cs="Arial" w:eastAsia="Arial" w:hAnsi="Arial"/>
          <w:b w:val="false"/>
          <w:bCs w:val="false"/>
          <w:i/>
          <w:iCs/>
          <w:sz w:val="22"/>
          <w:szCs w:val="22"/>
        </w:rPr>
        <w:t xml:space="preserve">ε</w:t>
      </w:r>
      <w:r>
        <w:rPr>
          <w:rFonts w:ascii="Arial" w:cs="Arial" w:eastAsia="Arial" w:hAnsi="Arial"/>
          <w:b w:val="false"/>
          <w:bCs w:val="false"/>
          <w:i w:val="false"/>
          <w:iCs w:val="false"/>
          <w:sz w:val="22"/>
          <w:szCs w:val="22"/>
          <w:vertAlign w:val="subscript"/>
        </w:rPr>
        <w:t xml:space="preserve">r</w:t>
      </w:r>
      <w:r>
        <w:rPr>
          <w:rFonts w:ascii="Arial" w:cs="Arial" w:eastAsia="Arial" w:hAnsi="Arial"/>
          <w:b w:val="false"/>
          <w:bCs w:val="false"/>
          <w:i w:val="false"/>
          <w:iCs w:val="false"/>
          <w:sz w:val="22"/>
          <w:szCs w:val="22"/>
        </w:rPr>
        <w:t xml:space="preserve">), a small, physically expected correction rather than an independent predictor.</w:t>
      </w:r>
    </w:p>
    <w:p>
      <w:pPr>
        <w:spacing w:after="120" w:line="252" w:lineRule="auto"/>
        <w:jc w:val="left"/>
      </w:pPr>
      <w:r>
        <w:rPr>
          <w:rFonts w:ascii="Arial" w:cs="Arial" w:eastAsia="Arial" w:hAnsi="Arial"/>
          <w:b w:val="false"/>
          <w:bCs w:val="false"/>
          <w:i w:val="false"/>
          <w:iCs w:val="false"/>
          <w:sz w:val="22"/>
          <w:szCs w:val="22"/>
        </w:rPr>
        <w:t xml:space="preserve">A purely electronic theory falls short of this regime. Evaluated on the same 1,124 CM-computable compositions, the bare CM relation [7], the canonical baseline relating composition to permittivity through Shannon ionic polarizabilities [6], returns </w:t>
      </w:r>
      <w:r>
        <w:rPr>
          <w:rFonts w:ascii="Arial" w:cs="Arial" w:eastAsia="Arial" w:hAnsi="Arial"/>
          <w:b w:val="false"/>
          <w:bCs w:val="false"/>
          <w:i/>
          <w:iCs/>
          <w:sz w:val="22"/>
          <w:szCs w:val="22"/>
        </w:rPr>
        <w:t xml:space="preserve">R</w:t>
      </w:r>
      <w:r>
        <w:rPr>
          <w:rFonts w:ascii="Arial" w:cs="Arial" w:eastAsia="Arial" w:hAnsi="Arial"/>
          <w:b w:val="false"/>
          <w:bCs w:val="false"/>
          <w:i w:val="false"/>
          <w:iCs w:val="false"/>
          <w:sz w:val="22"/>
          <w:szCs w:val="22"/>
          <w:vertAlign w:val="superscript"/>
        </w:rPr>
        <w:t xml:space="preserve">2</w:t>
      </w:r>
      <w:r>
        <w:rPr>
          <w:rFonts w:ascii="Arial" w:cs="Arial" w:eastAsia="Arial" w:hAnsi="Arial"/>
          <w:b w:val="false"/>
          <w:bCs w:val="false"/>
          <w:i w:val="false"/>
          <w:iCs w:val="false"/>
          <w:sz w:val="22"/>
          <w:szCs w:val="22"/>
        </w:rPr>
        <w:t xml:space="preserve"> = −0.584 (worse than predicting the dataset mean) and MAPE = 45.9% (Fig. 1a), with the deficit largest in the tilted regimes (Regime II </w:t>
      </w:r>
      <w:r>
        <w:rPr>
          <w:rFonts w:ascii="Arial" w:cs="Arial" w:eastAsia="Arial" w:hAnsi="Arial"/>
          <w:b w:val="false"/>
          <w:bCs w:val="false"/>
          <w:i/>
          <w:iCs/>
          <w:sz w:val="22"/>
          <w:szCs w:val="22"/>
        </w:rPr>
        <w:t xml:space="preserve">R</w:t>
      </w:r>
      <w:r>
        <w:rPr>
          <w:rFonts w:ascii="Arial" w:cs="Arial" w:eastAsia="Arial" w:hAnsi="Arial"/>
          <w:b w:val="false"/>
          <w:bCs w:val="false"/>
          <w:i w:val="false"/>
          <w:iCs w:val="false"/>
          <w:sz w:val="22"/>
          <w:szCs w:val="22"/>
          <w:vertAlign w:val="superscript"/>
        </w:rPr>
        <w:t xml:space="preserve">2</w:t>
      </w:r>
      <w:r>
        <w:rPr>
          <w:rFonts w:ascii="Arial" w:cs="Arial" w:eastAsia="Arial" w:hAnsi="Arial"/>
          <w:b w:val="false"/>
          <w:bCs w:val="false"/>
          <w:i w:val="false"/>
          <w:iCs w:val="false"/>
          <w:sz w:val="22"/>
          <w:szCs w:val="22"/>
        </w:rPr>
        <w:t xml:space="preserve"> = −1.38; Fig. 1b) where soft-mode amplification is strongest. The measured-to-CM enhancement ratio exceeds unity for nearly all compositions (median 1.92×; Fig. 1c), and the gap between this baseline and the measured </w:t>
      </w:r>
      <w:r>
        <w:rPr>
          <w:rFonts w:ascii="Arial" w:cs="Arial" w:eastAsia="Arial" w:hAnsi="Arial"/>
          <w:b w:val="false"/>
          <w:bCs w:val="false"/>
          <w:i/>
          <w:iCs/>
          <w:sz w:val="22"/>
          <w:szCs w:val="22"/>
        </w:rPr>
        <w:t xml:space="preserve">ε</w:t>
      </w:r>
      <w:r>
        <w:rPr>
          <w:rFonts w:ascii="Arial" w:cs="Arial" w:eastAsia="Arial" w:hAnsi="Arial"/>
          <w:b w:val="false"/>
          <w:bCs w:val="false"/>
          <w:i w:val="false"/>
          <w:iCs w:val="false"/>
          <w:sz w:val="22"/>
          <w:szCs w:val="22"/>
          <w:vertAlign w:val="subscript"/>
        </w:rPr>
        <w:t xml:space="preserve">r</w:t>
      </w:r>
      <w:r>
        <w:rPr>
          <w:rFonts w:ascii="Arial" w:cs="Arial" w:eastAsia="Arial" w:hAnsi="Arial"/>
          <w:b w:val="false"/>
          <w:bCs w:val="false"/>
          <w:i w:val="false"/>
          <w:iCs w:val="false"/>
          <w:sz w:val="22"/>
          <w:szCs w:val="22"/>
        </w:rPr>
        <w:t xml:space="preserve"> ≈ 80–143 of Ca- and Sr-rich titanates is consistent with the lattice-dynamical enhancement expected from Lyddane-Sachs-Teller physics [8,29] that the CM formalism omits, the contribution the PCNN isolates. The full per-regime distribution of the CM residual is shown in Supplementary Fig. 16, and the tolerance-factor histogram of the cleaned corpus in Supplementary Fig. 19.</w:t>
      </w:r>
    </w:p>
    <w:p>
      <w:pPr>
        <w:sectPr>
          <w:footerReference w:type="default" r:id="rId8"/>
          <w:type w:val="continuous"/>
          <w:pgSz w:w="12240" w:h="15840" w:orient="portrait"/>
          <w:pgMar w:top="1296" w:right="1296" w:bottom="1296" w:left="1296" w:header="708" w:footer="708" w:gutter="0"/>
          <w:pgNumType/>
          <w:docGrid w:linePitch="360"/>
        </w:sectPr>
      </w:pPr>
    </w:p>
    <w:p>
      <w:pPr>
        <w:spacing w:after="120" w:before="360"/>
      </w:pPr>
      <w:r>
        <w:rPr>
          <w:rFonts w:ascii="Arial" w:cs="Arial" w:eastAsia="Arial" w:hAnsi="Arial"/>
          <w:sz w:val="22"/>
          <w:szCs w:val="22"/>
        </w:rPr>
        <w:t xml:space="preserve"/>
      </w:r>
    </w:p>
    <w:p>
      <w:pPr>
        <w:spacing w:after="240" w:before="0"/>
        <w:jc w:val="center"/>
      </w:pPr>
      <w:r>
        <w:drawing>
          <wp:inline distT="0" distB="0" distL="0" distR="0">
            <wp:extent cx="5943600" cy="2143125"/>
            <wp:effectExtent t="0" r="0" b="0" l="0"/>
            <wp:docPr id="1" name="fig1_motivation.png" descr="Figure" title="fig1_motiv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43600" cy="2143125"/>
                    </a:xfrm>
                    <a:prstGeom prst="rect">
                      <a:avLst/>
                    </a:prstGeom>
                  </pic:spPr>
                </pic:pic>
              </a:graphicData>
            </a:graphic>
          </wp:inline>
        </w:drawing>
      </w:r>
    </w:p>
    <w:p>
      <w:pPr>
        <w:spacing w:after="480" w:before="0" w:line="280" w:lineRule="auto"/>
        <w:jc w:val="both"/>
      </w:pPr>
      <w:r>
        <w:rPr>
          <w:rFonts w:ascii="Arial" w:cs="Arial" w:eastAsia="Arial" w:hAnsi="Arial"/>
          <w:b/>
          <w:bCs/>
          <w:i w:val="false"/>
          <w:iCs w:val="false"/>
          <w:sz w:val="18"/>
          <w:szCs w:val="18"/>
        </w:rPr>
        <w:t xml:space="preserve">Fig. 1 | Failure of classical theory and motivation for physics-constrained ML.</w:t>
      </w:r>
      <w:r>
        <w:rPr>
          <w:rFonts w:ascii="Arial" w:cs="Arial" w:eastAsia="Arial" w:hAnsi="Arial"/>
          <w:b w:val="false"/>
          <w:bCs w:val="false"/>
          <w:i w:val="false"/>
          <w:iCs w:val="false"/>
          <w:sz w:val="18"/>
          <w:szCs w:val="18"/>
        </w:rPr>
        <w:t xml:space="preserve"> </w:t>
      </w:r>
      <w:r>
        <w:rPr>
          <w:rFonts w:ascii="Arial" w:cs="Arial" w:eastAsia="Arial" w:hAnsi="Arial"/>
          <w:b/>
          <w:bCs/>
          <w:i w:val="false"/>
          <w:iCs w:val="false"/>
          <w:sz w:val="18"/>
          <w:szCs w:val="18"/>
        </w:rPr>
        <w:t xml:space="preserve">a</w:t>
      </w:r>
      <w:r>
        <w:rPr>
          <w:rFonts w:ascii="Arial" w:cs="Arial" w:eastAsia="Arial" w:hAnsi="Arial"/>
          <w:b w:val="false"/>
          <w:bCs w:val="false"/>
          <w:i w:val="false"/>
          <w:iCs w:val="false"/>
          <w:sz w:val="18"/>
          <w:szCs w:val="18"/>
        </w:rPr>
        <w:t xml:space="preserve">, Predicted versus measured permittivity for the Clausius–Mossotti (CM) baseline on the 1,124 </w:t>
      </w:r>
      <w:r>
        <w:rPr>
          <w:rFonts w:ascii="Arial" w:cs="Arial" w:eastAsia="Arial" w:hAnsi="Arial"/>
          <w:b w:val="false"/>
          <w:bCs w:val="false"/>
          <w:i/>
          <w:iCs/>
          <w:sz w:val="18"/>
          <w:szCs w:val="18"/>
        </w:rPr>
        <w:t xml:space="preserve">ABO</w:t>
      </w:r>
      <w:r>
        <w:rPr>
          <w:rFonts w:ascii="Arial" w:cs="Arial" w:eastAsia="Arial" w:hAnsi="Arial"/>
          <w:b w:val="false"/>
          <w:bCs w:val="false"/>
          <w:i w:val="false"/>
          <w:iCs w:val="false"/>
          <w:sz w:val="18"/>
          <w:szCs w:val="18"/>
          <w:vertAlign w:val="subscript"/>
        </w:rPr>
        <w:t xml:space="preserve">3</w:t>
      </w:r>
      <w:r>
        <w:rPr>
          <w:rFonts w:ascii="Arial" w:cs="Arial" w:eastAsia="Arial" w:hAnsi="Arial"/>
          <w:b w:val="false"/>
          <w:bCs w:val="false"/>
          <w:i w:val="false"/>
          <w:iCs w:val="false"/>
          <w:sz w:val="18"/>
          <w:szCs w:val="18"/>
        </w:rPr>
        <w:t xml:space="preserve"> compositions for which a valid CM evaluation is available, coloured by Reaney regime (Ia, Ib, II, III). The 1:1 line (black dashed) and ±10% band (grey shaded) mark the ideal prediction envelope; the CM relation underpredicts ε</w:t>
      </w:r>
      <w:r>
        <w:rPr>
          <w:rFonts w:ascii="Arial" w:cs="Arial" w:eastAsia="Arial" w:hAnsi="Arial"/>
          <w:b w:val="false"/>
          <w:bCs w:val="false"/>
          <w:i w:val="false"/>
          <w:iCs w:val="false"/>
          <w:sz w:val="18"/>
          <w:szCs w:val="18"/>
          <w:vertAlign w:val="subscript"/>
        </w:rPr>
        <w:t xml:space="preserve">r</w:t>
      </w:r>
      <w:r>
        <w:rPr>
          <w:rFonts w:ascii="Arial" w:cs="Arial" w:eastAsia="Arial" w:hAnsi="Arial"/>
          <w:b w:val="false"/>
          <w:bCs w:val="false"/>
          <w:i w:val="false"/>
          <w:iCs w:val="false"/>
          <w:sz w:val="18"/>
          <w:szCs w:val="18"/>
        </w:rPr>
        <w:t xml:space="preserve"> across the entire range and yields </w:t>
      </w:r>
      <w:r>
        <w:rPr>
          <w:rFonts w:ascii="Arial" w:cs="Arial" w:eastAsia="Arial" w:hAnsi="Arial"/>
          <w:b w:val="false"/>
          <w:bCs w:val="false"/>
          <w:i/>
          <w:iCs/>
          <w:sz w:val="18"/>
          <w:szCs w:val="18"/>
        </w:rPr>
        <w:t xml:space="preserve">R</w:t>
      </w:r>
      <w:r>
        <w:rPr>
          <w:rFonts w:ascii="Arial" w:cs="Arial" w:eastAsia="Arial" w:hAnsi="Arial"/>
          <w:b w:val="false"/>
          <w:bCs w:val="false"/>
          <w:i w:val="false"/>
          <w:iCs w:val="false"/>
          <w:sz w:val="18"/>
          <w:szCs w:val="18"/>
          <w:vertAlign w:val="superscript"/>
        </w:rPr>
        <w:t xml:space="preserve">2</w:t>
      </w:r>
      <w:r>
        <w:rPr>
          <w:rFonts w:ascii="Arial" w:cs="Arial" w:eastAsia="Arial" w:hAnsi="Arial"/>
          <w:b w:val="false"/>
          <w:bCs w:val="false"/>
          <w:i w:val="false"/>
          <w:iCs w:val="false"/>
          <w:sz w:val="18"/>
          <w:szCs w:val="18"/>
        </w:rPr>
        <w:t xml:space="preserve"> = −0.584 with mean absolute percentage error 45.9% (a negative </w:t>
      </w:r>
      <w:r>
        <w:rPr>
          <w:rFonts w:ascii="Arial" w:cs="Arial" w:eastAsia="Arial" w:hAnsi="Arial"/>
          <w:b w:val="false"/>
          <w:bCs w:val="false"/>
          <w:i/>
          <w:iCs/>
          <w:sz w:val="18"/>
          <w:szCs w:val="18"/>
        </w:rPr>
        <w:t xml:space="preserve">R</w:t>
      </w:r>
      <w:r>
        <w:rPr>
          <w:rFonts w:ascii="Arial" w:cs="Arial" w:eastAsia="Arial" w:hAnsi="Arial"/>
          <w:b w:val="false"/>
          <w:bCs w:val="false"/>
          <w:i w:val="false"/>
          <w:iCs w:val="false"/>
          <w:sz w:val="18"/>
          <w:szCs w:val="18"/>
          <w:vertAlign w:val="superscript"/>
        </w:rPr>
        <w:t xml:space="preserve">2</w:t>
      </w:r>
      <w:r>
        <w:rPr>
          <w:rFonts w:ascii="Arial" w:cs="Arial" w:eastAsia="Arial" w:hAnsi="Arial"/>
          <w:b w:val="false"/>
          <w:bCs w:val="false"/>
          <w:i w:val="false"/>
          <w:iCs w:val="false"/>
          <w:sz w:val="18"/>
          <w:szCs w:val="18"/>
        </w:rPr>
        <w:t xml:space="preserve"> indicates worse-than-mean prediction). </w:t>
      </w:r>
      <w:r>
        <w:rPr>
          <w:rFonts w:ascii="Arial" w:cs="Arial" w:eastAsia="Arial" w:hAnsi="Arial"/>
          <w:b/>
          <w:bCs/>
          <w:i w:val="false"/>
          <w:iCs w:val="false"/>
          <w:sz w:val="18"/>
          <w:szCs w:val="18"/>
        </w:rPr>
        <w:t xml:space="preserve">b</w:t>
      </w:r>
      <w:r>
        <w:rPr>
          <w:rFonts w:ascii="Arial" w:cs="Arial" w:eastAsia="Arial" w:hAnsi="Arial"/>
          <w:b w:val="false"/>
          <w:bCs w:val="false"/>
          <w:i w:val="false"/>
          <w:iCs w:val="false"/>
          <w:sz w:val="18"/>
          <w:szCs w:val="18"/>
        </w:rPr>
        <w:t xml:space="preserve">, Per-regime distribution of CM residuals (ε</w:t>
      </w:r>
      <w:r>
        <w:rPr>
          <w:rFonts w:ascii="Arial" w:cs="Arial" w:eastAsia="Arial" w:hAnsi="Arial"/>
          <w:b w:val="false"/>
          <w:bCs w:val="false"/>
          <w:i w:val="false"/>
          <w:iCs w:val="false"/>
          <w:sz w:val="18"/>
          <w:szCs w:val="18"/>
          <w:vertAlign w:val="subscript"/>
        </w:rPr>
        <w:t xml:space="preserve">r,measured</w:t>
      </w:r>
      <w:r>
        <w:rPr>
          <w:rFonts w:ascii="Arial" w:cs="Arial" w:eastAsia="Arial" w:hAnsi="Arial"/>
          <w:b w:val="false"/>
          <w:bCs w:val="false"/>
          <w:i w:val="false"/>
          <w:iCs w:val="false"/>
          <w:sz w:val="18"/>
          <w:szCs w:val="18"/>
        </w:rPr>
        <w:t xml:space="preserve"> − ε</w:t>
      </w:r>
      <w:r>
        <w:rPr>
          <w:rFonts w:ascii="Arial" w:cs="Arial" w:eastAsia="Arial" w:hAnsi="Arial"/>
          <w:b w:val="false"/>
          <w:bCs w:val="false"/>
          <w:i w:val="false"/>
          <w:iCs w:val="false"/>
          <w:sz w:val="18"/>
          <w:szCs w:val="18"/>
          <w:vertAlign w:val="subscript"/>
        </w:rPr>
        <w:t xml:space="preserve">r,CM</w:t>
      </w:r>
      <w:r>
        <w:rPr>
          <w:rFonts w:ascii="Arial" w:cs="Arial" w:eastAsia="Arial" w:hAnsi="Arial"/>
          <w:b w:val="false"/>
          <w:bCs w:val="false"/>
          <w:i w:val="false"/>
          <w:iCs w:val="false"/>
          <w:sz w:val="18"/>
          <w:szCs w:val="18"/>
        </w:rPr>
        <w:t xml:space="preserve">) showing systematic underprediction largest in the tilted regimes II (median 25.0) and III (median 19.1), with the deviation increasing toward smaller tolerance factors. </w:t>
      </w:r>
      <w:r>
        <w:rPr>
          <w:rFonts w:ascii="Arial" w:cs="Arial" w:eastAsia="Arial" w:hAnsi="Arial"/>
          <w:b/>
          <w:bCs/>
          <w:i w:val="false"/>
          <w:iCs w:val="false"/>
          <w:sz w:val="18"/>
          <w:szCs w:val="18"/>
        </w:rPr>
        <w:t xml:space="preserve">c</w:t>
      </w:r>
      <w:r>
        <w:rPr>
          <w:rFonts w:ascii="Arial" w:cs="Arial" w:eastAsia="Arial" w:hAnsi="Arial"/>
          <w:b w:val="false"/>
          <w:bCs w:val="false"/>
          <w:i w:val="false"/>
          <w:iCs w:val="false"/>
          <w:sz w:val="18"/>
          <w:szCs w:val="18"/>
        </w:rPr>
        <w:t xml:space="preserve">, Histogram of the empirical enhancement ratio ε</w:t>
      </w:r>
      <w:r>
        <w:rPr>
          <w:rFonts w:ascii="Arial" w:cs="Arial" w:eastAsia="Arial" w:hAnsi="Arial"/>
          <w:b w:val="false"/>
          <w:bCs w:val="false"/>
          <w:i w:val="false"/>
          <w:iCs w:val="false"/>
          <w:sz w:val="18"/>
          <w:szCs w:val="18"/>
          <w:vertAlign w:val="subscript"/>
        </w:rPr>
        <w:t xml:space="preserve">r,measured</w:t>
      </w:r>
      <w:r>
        <w:rPr>
          <w:rFonts w:ascii="Arial" w:cs="Arial" w:eastAsia="Arial" w:hAnsi="Arial"/>
          <w:b w:val="false"/>
          <w:bCs w:val="false"/>
          <w:i w:val="false"/>
          <w:iCs w:val="false"/>
          <w:sz w:val="18"/>
          <w:szCs w:val="18"/>
        </w:rPr>
        <w:t xml:space="preserve"> / ε</w:t>
      </w:r>
      <w:r>
        <w:rPr>
          <w:rFonts w:ascii="Arial" w:cs="Arial" w:eastAsia="Arial" w:hAnsi="Arial"/>
          <w:b w:val="false"/>
          <w:bCs w:val="false"/>
          <w:i w:val="false"/>
          <w:iCs w:val="false"/>
          <w:sz w:val="18"/>
          <w:szCs w:val="18"/>
          <w:vertAlign w:val="subscript"/>
        </w:rPr>
        <w:t xml:space="preserve">r,CM</w:t>
      </w:r>
      <w:r>
        <w:rPr>
          <w:rFonts w:ascii="Arial" w:cs="Arial" w:eastAsia="Arial" w:hAnsi="Arial"/>
          <w:b w:val="false"/>
          <w:bCs w:val="false"/>
          <w:i w:val="false"/>
          <w:iCs w:val="false"/>
          <w:sz w:val="18"/>
          <w:szCs w:val="18"/>
        </w:rPr>
        <w:t xml:space="preserve"> across the 1,124 valid-CM compositions, with the no-enhancement reference (ratio = 1) marked. The distribution is centred well above unity (median 1.92), confirming that the soft-mode contribution typically carries the largest share of the dielectric response in the microwave regime and lies beyond the reach of purely electronic theories. Together, these data motivate an architecture in which the soft-mode enhancement is explicitly modelled as an additive correction to a CM anchor. Source data are provided as a Source Data file.</w:t>
      </w:r>
    </w:p>
    <w:p>
      <w:pPr>
        <w:sectPr>
          <w:footerReference w:type="default" r:id="rId9"/>
          <w:type w:val="continuous"/>
          <w:pgSz w:w="12240" w:h="15840" w:orient="portrait"/>
          <w:pgMar w:top="1296" w:right="1296" w:bottom="1296" w:left="1296" w:header="708" w:footer="708" w:gutter="0"/>
          <w:pgNumType/>
          <w:docGrid w:linePitch="360"/>
        </w:sectPr>
      </w:pPr>
    </w:p>
    <w:p>
      <w:pPr>
        <w:spacing w:after="240" w:before="0"/>
      </w:pPr>
      <w:r>
        <w:rPr>
          <w:rFonts w:ascii="Arial" w:cs="Arial" w:eastAsia="Arial" w:hAnsi="Arial"/>
          <w:sz w:val="22"/>
          <w:szCs w:val="22"/>
        </w:rPr>
        <w:t xml:space="preserve"/>
      </w:r>
    </w:p>
    <w:p>
      <w:pPr>
        <w:spacing w:after="160" w:before="220" w:line="480" w:lineRule="auto"/>
      </w:pPr>
      <w:r>
        <w:rPr>
          <w:rFonts w:ascii="Arial" w:cs="Arial" w:eastAsia="Arial" w:hAnsi="Arial"/>
          <w:b/>
          <w:bCs/>
          <w:i/>
          <w:iCs/>
          <w:color w:val="000000"/>
          <w:sz w:val="22"/>
          <w:szCs w:val="22"/>
        </w:rPr>
        <w:t xml:space="preserve">A-site chemistry sets the soft-mode amplification hierarchy</w:t>
      </w:r>
    </w:p>
    <w:p>
      <w:pPr>
        <w:spacing w:after="120" w:line="252" w:lineRule="auto"/>
        <w:jc w:val="left"/>
      </w:pPr>
      <w:r>
        <w:rPr>
          <w:rFonts w:ascii="Arial" w:cs="Arial" w:eastAsia="Arial" w:hAnsi="Arial"/>
          <w:b w:val="false"/>
          <w:bCs w:val="false"/>
          <w:i w:val="false"/>
          <w:iCs w:val="false"/>
          <w:sz w:val="22"/>
          <w:szCs w:val="22"/>
        </w:rPr>
        <w:t xml:space="preserve">The LST amplitude itself is governed by A-site chemistry. Aggregating the soft-mode amplification factor </w:t>
      </w:r>
      <w:r>
        <w:rPr>
          <w:rFonts w:ascii="Arial" w:cs="Arial" w:eastAsia="Arial" w:hAnsi="Arial"/>
          <w:b w:val="false"/>
          <w:bCs w:val="false"/>
          <w:i/>
          <w:iCs/>
          <w:sz w:val="22"/>
          <w:szCs w:val="22"/>
        </w:rPr>
        <w:t xml:space="preserve">f</w:t>
      </w:r>
      <w:r>
        <w:rPr>
          <w:rFonts w:ascii="Arial" w:cs="Arial" w:eastAsia="Arial" w:hAnsi="Arial"/>
          <w:b w:val="false"/>
          <w:bCs w:val="false"/>
          <w:i w:val="false"/>
          <w:iCs w:val="false"/>
          <w:sz w:val="22"/>
          <w:szCs w:val="22"/>
          <w:vertAlign w:val="subscript"/>
        </w:rPr>
        <w:t xml:space="preserve">LST</w:t>
      </w:r>
      <w:r>
        <w:rPr>
          <w:rFonts w:ascii="Arial" w:cs="Arial" w:eastAsia="Arial" w:hAnsi="Arial"/>
          <w:b w:val="false"/>
          <w:bCs w:val="false"/>
          <w:i w:val="false"/>
          <w:iCs w:val="false"/>
          <w:sz w:val="22"/>
          <w:szCs w:val="22"/>
        </w:rPr>
        <w:t xml:space="preserve"> = </w:t>
      </w:r>
      <w:r>
        <w:rPr>
          <w:rFonts w:ascii="Arial" w:cs="Arial" w:eastAsia="Arial" w:hAnsi="Arial"/>
          <w:b w:val="false"/>
          <w:bCs w:val="false"/>
          <w:i/>
          <w:iCs/>
          <w:sz w:val="22"/>
          <w:szCs w:val="22"/>
        </w:rPr>
        <w:t xml:space="preserve">δ</w:t>
      </w:r>
      <w:r>
        <w:rPr>
          <w:rFonts w:ascii="Arial" w:cs="Arial" w:eastAsia="Arial" w:hAnsi="Arial"/>
          <w:b w:val="false"/>
          <w:bCs w:val="false"/>
          <w:i w:val="false"/>
          <w:iCs w:val="false"/>
          <w:sz w:val="22"/>
          <w:szCs w:val="22"/>
          <w:vertAlign w:val="subscript"/>
        </w:rPr>
        <w:t xml:space="preserve">LST</w:t>
      </w:r>
      <w:r>
        <w:rPr>
          <w:rFonts w:ascii="Arial" w:cs="Arial" w:eastAsia="Arial" w:hAnsi="Arial"/>
          <w:b w:val="false"/>
          <w:bCs w:val="false"/>
          <w:i w:val="false"/>
          <w:iCs w:val="false"/>
          <w:sz w:val="22"/>
          <w:szCs w:val="22"/>
        </w:rPr>
        <w:t xml:space="preserve"> / </w:t>
      </w:r>
      <w:r>
        <w:rPr>
          <w:rFonts w:ascii="Arial" w:cs="Arial" w:eastAsia="Arial" w:hAnsi="Arial"/>
          <w:b w:val="false"/>
          <w:bCs w:val="false"/>
          <w:i/>
          <w:iCs/>
          <w:sz w:val="22"/>
          <w:szCs w:val="22"/>
        </w:rPr>
        <w:t xml:space="preserve">ε</w:t>
      </w:r>
      <w:r>
        <w:rPr>
          <w:rFonts w:ascii="Arial" w:cs="Arial" w:eastAsia="Arial" w:hAnsi="Arial"/>
          <w:b w:val="false"/>
          <w:bCs w:val="false"/>
          <w:i w:val="false"/>
          <w:iCs w:val="false"/>
          <w:sz w:val="22"/>
          <w:szCs w:val="22"/>
          <w:vertAlign w:val="subscript"/>
        </w:rPr>
        <w:t xml:space="preserve">r,CM</w:t>
      </w:r>
      <w:r>
        <w:rPr>
          <w:rFonts w:ascii="Arial" w:cs="Arial" w:eastAsia="Arial" w:hAnsi="Arial"/>
          <w:b w:val="false"/>
          <w:bCs w:val="false"/>
          <w:i w:val="false"/>
          <w:iCs w:val="false"/>
          <w:sz w:val="22"/>
          <w:szCs w:val="22"/>
        </w:rPr>
        <w:t xml:space="preserve">, the soft-mode contribution expressed as a multiple of the electronic CM baseline, across the five dominant A-site families — which together comprise 1,075 of the 1,124 valid-CM compositions, the remaining 49 carrying minor A-site cations (lanthanides other than La, alkali metals) excluded from aggregation — the decomposition yields a strict ordering Pb (2.28×) &gt; Ca (1.66×) &gt; La (1.13×) &gt; Sr (0.91×) &gt; Ba (0.66×) (</w:t>
      </w:r>
      <w:r>
        <w:rPr>
          <w:rFonts w:ascii="Arial" w:cs="Arial" w:eastAsia="Arial" w:hAnsi="Arial"/>
          <w:b w:val="false"/>
          <w:bCs w:val="false"/>
          <w:i/>
          <w:iCs/>
          <w:sz w:val="22"/>
          <w:szCs w:val="22"/>
        </w:rPr>
        <w:t xml:space="preserve">n</w:t>
      </w:r>
      <w:r>
        <w:rPr>
          <w:rFonts w:ascii="Arial" w:cs="Arial" w:eastAsia="Arial" w:hAnsi="Arial"/>
          <w:b w:val="false"/>
          <w:bCs w:val="false"/>
          <w:i w:val="false"/>
          <w:iCs w:val="false"/>
          <w:sz w:val="22"/>
          <w:szCs w:val="22"/>
        </w:rPr>
        <w:t xml:space="preserve"> = 83, 344, 121, 159 and 368, respectively; Fig. 2a). A permutation test (2,000 randomisations) gives </w:t>
      </w:r>
      <w:r>
        <w:rPr>
          <w:rFonts w:ascii="Arial" w:cs="Arial" w:eastAsia="Arial" w:hAnsi="Arial"/>
          <w:b w:val="false"/>
          <w:bCs w:val="false"/>
          <w:i/>
          <w:iCs/>
          <w:sz w:val="22"/>
          <w:szCs w:val="22"/>
        </w:rPr>
        <w:t xml:space="preserve">p</w:t>
      </w:r>
      <w:r>
        <w:rPr>
          <w:rFonts w:ascii="Arial" w:cs="Arial" w:eastAsia="Arial" w:hAnsi="Arial"/>
          <w:b w:val="false"/>
          <w:bCs w:val="false"/>
          <w:i w:val="false"/>
          <w:iCs w:val="false"/>
          <w:sz w:val="22"/>
          <w:szCs w:val="22"/>
        </w:rPr>
        <w:t xml:space="preserve"> &lt; 0.0005 for the A-site rank (0 of 2,000 permutations reached the observed range 1.622; null mean 0.209, </w:t>
      </w:r>
      <w:r>
        <w:rPr>
          <w:rFonts w:ascii="Arial" w:cs="Arial" w:eastAsia="Arial" w:hAnsi="Arial"/>
          <w:b w:val="false"/>
          <w:bCs w:val="false"/>
          <w:i/>
          <w:iCs/>
          <w:sz w:val="22"/>
          <w:szCs w:val="22"/>
        </w:rPr>
        <w:t xml:space="preserve">z</w:t>
      </w:r>
      <w:r>
        <w:rPr>
          <w:rFonts w:ascii="Arial" w:cs="Arial" w:eastAsia="Arial" w:hAnsi="Arial"/>
          <w:b w:val="false"/>
          <w:bCs w:val="false"/>
          <w:i w:val="false"/>
          <w:iCs w:val="false"/>
          <w:sz w:val="22"/>
          <w:szCs w:val="22"/>
        </w:rPr>
        <w:t xml:space="preserve"> ≈ 17</w:t>
      </w:r>
      <w:r>
        <w:rPr>
          <w:rFonts w:ascii="Arial" w:cs="Arial" w:eastAsia="Arial" w:hAnsi="Arial"/>
          <w:b w:val="false"/>
          <w:bCs w:val="false"/>
          <w:i/>
          <w:iCs/>
          <w:sz w:val="22"/>
          <w:szCs w:val="22"/>
        </w:rPr>
        <w:t xml:space="preserve">σ</w:t>
      </w:r>
      <w:r>
        <w:rPr>
          <w:rFonts w:ascii="Arial" w:cs="Arial" w:eastAsia="Arial" w:hAnsi="Arial"/>
          <w:b w:val="false"/>
          <w:bCs w:val="false"/>
          <w:i w:val="false"/>
          <w:iCs w:val="false"/>
          <w:sz w:val="22"/>
          <w:szCs w:val="22"/>
        </w:rPr>
        <w:t xml:space="preserve">; null distributions in Supplementary Fig. 14); the regime ordering is likewise significant under the same label-permutation test (observed range 1.136, </w:t>
      </w:r>
      <w:r>
        <w:rPr>
          <w:rFonts w:ascii="Arial" w:cs="Arial" w:eastAsia="Arial" w:hAnsi="Arial"/>
          <w:b w:val="false"/>
          <w:bCs w:val="false"/>
          <w:i/>
          <w:iCs/>
          <w:sz w:val="22"/>
          <w:szCs w:val="22"/>
        </w:rPr>
        <w:t xml:space="preserve">z</w:t>
      </w:r>
      <w:r>
        <w:rPr>
          <w:rFonts w:ascii="Arial" w:cs="Arial" w:eastAsia="Arial" w:hAnsi="Arial"/>
          <w:b w:val="false"/>
          <w:bCs w:val="false"/>
          <w:i w:val="false"/>
          <w:iCs w:val="false"/>
          <w:sz w:val="22"/>
          <w:szCs w:val="22"/>
        </w:rPr>
        <w:t xml:space="preserve"> ≈ 9</w:t>
      </w:r>
      <w:r>
        <w:rPr>
          <w:rFonts w:ascii="Arial" w:cs="Arial" w:eastAsia="Arial" w:hAnsi="Arial"/>
          <w:b w:val="false"/>
          <w:bCs w:val="false"/>
          <w:i/>
          <w:iCs/>
          <w:sz w:val="22"/>
          <w:szCs w:val="22"/>
        </w:rPr>
        <w:t xml:space="preserve">σ</w:t>
      </w:r>
      <w:r>
        <w:rPr>
          <w:rFonts w:ascii="Arial" w:cs="Arial" w:eastAsia="Arial" w:hAnsi="Arial"/>
          <w:b w:val="false"/>
          <w:bCs w:val="false"/>
          <w:i w:val="false"/>
          <w:iCs w:val="false"/>
          <w:sz w:val="22"/>
          <w:szCs w:val="22"/>
        </w:rPr>
        <w:t xml:space="preserve">, </w:t>
      </w:r>
      <w:r>
        <w:rPr>
          <w:rFonts w:ascii="Arial" w:cs="Arial" w:eastAsia="Arial" w:hAnsi="Arial"/>
          <w:b w:val="false"/>
          <w:bCs w:val="false"/>
          <w:i/>
          <w:iCs/>
          <w:sz w:val="22"/>
          <w:szCs w:val="22"/>
        </w:rPr>
        <w:t xml:space="preserve">p</w:t>
      </w:r>
      <w:r>
        <w:rPr>
          <w:rFonts w:ascii="Arial" w:cs="Arial" w:eastAsia="Arial" w:hAnsi="Arial"/>
          <w:b w:val="false"/>
          <w:bCs w:val="false"/>
          <w:i w:val="false"/>
          <w:iCs w:val="false"/>
          <w:sz w:val="22"/>
          <w:szCs w:val="22"/>
        </w:rPr>
        <w:t xml:space="preserve"> &lt; 0.0005).</w:t>
      </w:r>
    </w:p>
    <w:p>
      <w:pPr>
        <w:spacing w:after="120" w:line="252" w:lineRule="auto"/>
        <w:jc w:val="left"/>
      </w:pPr>
      <w:r>
        <w:rPr>
          <w:rFonts w:ascii="Arial" w:cs="Arial" w:eastAsia="Arial" w:hAnsi="Arial"/>
          <w:b w:val="false"/>
          <w:bCs w:val="false"/>
          <w:i w:val="false"/>
          <w:iCs w:val="false"/>
          <w:sz w:val="22"/>
          <w:szCs w:val="22"/>
        </w:rPr>
        <w:t xml:space="preserve">Because A-site identity co-varies with Reaney regime and B-site chemistry across the corpus, we treat this global label-permutation result as an initial screen and corroborate the ranking independently through its systematic dependence on A-site ionic radius (below). At the branch level, the LST features carry the largest aggregate SHapley Additive exPlanations (SHAP) attribution (mean |SHAP| 42.6, versus 22.0 for the residual and 15.4 for the tilt branch; Supplementary Fig. 11), with the Clausius–Mossotti baseline, the tolerance-weighted soft-mode term and the second-order Jahn–Teller weighting the leading individual predictors. The chemical drivers of the A-site hierarchy — A-site electronegativity and ionic radius — are established separately by the descriptor correlations (Supplementary Figs. 17, 21), and the A-site-resolved CM/LST/tilt decomposition is reported in Supplementary Fig. 22. The hierarchy emerges from the LST branch without being imposed: the architecture forces </w:t>
      </w:r>
      <w:r>
        <w:rPr>
          <w:rFonts w:ascii="Arial" w:cs="Arial" w:eastAsia="Arial" w:hAnsi="Arial"/>
          <w:b w:val="false"/>
          <w:bCs w:val="false"/>
          <w:i/>
          <w:iCs/>
          <w:sz w:val="22"/>
          <w:szCs w:val="22"/>
        </w:rPr>
        <w:t xml:space="preserve">δ</w:t>
      </w:r>
      <w:r>
        <w:rPr>
          <w:rFonts w:ascii="Arial" w:cs="Arial" w:eastAsia="Arial" w:hAnsi="Arial"/>
          <w:b w:val="false"/>
          <w:bCs w:val="false"/>
          <w:i w:val="false"/>
          <w:iCs w:val="false"/>
          <w:sz w:val="22"/>
          <w:szCs w:val="22"/>
          <w:vertAlign w:val="subscript"/>
        </w:rPr>
        <w:t xml:space="preserve">LST</w:t>
      </w:r>
      <w:r>
        <w:rPr>
          <w:rFonts w:ascii="Arial" w:cs="Arial" w:eastAsia="Arial" w:hAnsi="Arial"/>
          <w:b w:val="false"/>
          <w:bCs w:val="false"/>
          <w:i w:val="false"/>
          <w:iCs w:val="false"/>
          <w:sz w:val="22"/>
          <w:szCs w:val="22"/>
        </w:rPr>
        <w:t xml:space="preserve"> ≥ 0 and decouples it from the CM anchor, allowing the model to express A-site-specific soft-mode amplification [30].</w:t>
      </w:r>
    </w:p>
    <w:p>
      <w:pPr>
        <w:spacing w:after="120" w:line="252" w:lineRule="auto"/>
        <w:jc w:val="left"/>
      </w:pPr>
      <w:r>
        <w:rPr>
          <w:rFonts w:ascii="Arial" w:cs="Arial" w:eastAsia="Arial" w:hAnsi="Arial"/>
          <w:b w:val="false"/>
          <w:bCs w:val="false"/>
          <w:i w:val="false"/>
          <w:iCs w:val="false"/>
          <w:sz w:val="22"/>
          <w:szCs w:val="22"/>
        </w:rPr>
        <w:t xml:space="preserve">The Ba→Sr→La→Ca trend follows the monotonic decrease of the Shannon 12-coordinate ionic radius, a smaller A-site produces a tighter cage and stronger B-site off-centring (the explicit </w:t>
      </w:r>
      <w:r>
        <w:rPr>
          <w:rFonts w:ascii="Arial" w:cs="Arial" w:eastAsia="Arial" w:hAnsi="Arial"/>
          <w:b w:val="false"/>
          <w:bCs w:val="false"/>
          <w:i/>
          <w:iCs/>
          <w:sz w:val="22"/>
          <w:szCs w:val="22"/>
        </w:rPr>
        <w:t xml:space="preserve">f</w:t>
      </w:r>
      <w:r>
        <w:rPr>
          <w:rFonts w:ascii="Arial" w:cs="Arial" w:eastAsia="Arial" w:hAnsi="Arial"/>
          <w:b w:val="false"/>
          <w:bCs w:val="false"/>
          <w:i w:val="false"/>
          <w:iCs w:val="false"/>
          <w:sz w:val="22"/>
          <w:szCs w:val="22"/>
          <w:vertAlign w:val="subscript"/>
        </w:rPr>
        <w:t xml:space="preserve">LST</w:t>
      </w:r>
      <w:r>
        <w:rPr>
          <w:rFonts w:ascii="Arial" w:cs="Arial" w:eastAsia="Arial" w:hAnsi="Arial"/>
          <w:b w:val="false"/>
          <w:bCs w:val="false"/>
          <w:i w:val="false"/>
          <w:iCs w:val="false"/>
          <w:sz w:val="22"/>
          <w:szCs w:val="22"/>
        </w:rPr>
        <w:t xml:space="preserve"> versus ionic-radius relation is plotted in Fig. 2b; </w:t>
      </w:r>
      <w:r>
        <w:rPr>
          <w:rFonts w:ascii="Arial" w:cs="Arial" w:eastAsia="Arial" w:hAnsi="Arial"/>
          <w:b w:val="false"/>
          <w:bCs w:val="false"/>
          <w:i/>
          <w:iCs/>
          <w:sz w:val="22"/>
          <w:szCs w:val="22"/>
        </w:rPr>
        <w:t xml:space="preserve">f</w:t>
      </w:r>
      <w:r>
        <w:rPr>
          <w:rFonts w:ascii="Arial" w:cs="Arial" w:eastAsia="Arial" w:hAnsi="Arial"/>
          <w:b w:val="false"/>
          <w:bCs w:val="false"/>
          <w:i w:val="false"/>
          <w:iCs w:val="false"/>
          <w:sz w:val="22"/>
          <w:szCs w:val="22"/>
          <w:vertAlign w:val="subscript"/>
        </w:rPr>
        <w:t xml:space="preserve">LST</w:t>
      </w:r>
      <w:r>
        <w:rPr>
          <w:rFonts w:ascii="Arial" w:cs="Arial" w:eastAsia="Arial" w:hAnsi="Arial"/>
          <w:b w:val="false"/>
          <w:bCs w:val="false"/>
          <w:i w:val="false"/>
          <w:iCs w:val="false"/>
          <w:sz w:val="22"/>
          <w:szCs w:val="22"/>
        </w:rPr>
        <w:t xml:space="preserve"> increases monotonically as the 12-coordinate radius contracts over the Ba→Sr→La→Ca segment, with the segment fit Pearson </w:t>
      </w:r>
      <w:r>
        <w:rPr>
          <w:rFonts w:ascii="Arial" w:cs="Arial" w:eastAsia="Arial" w:hAnsi="Arial"/>
          <w:b w:val="false"/>
          <w:bCs w:val="false"/>
          <w:i/>
          <w:iCs/>
          <w:sz w:val="22"/>
          <w:szCs w:val="22"/>
        </w:rPr>
        <w:t xml:space="preserve">r</w:t>
      </w:r>
      <w:r>
        <w:rPr>
          <w:rFonts w:ascii="Arial" w:cs="Arial" w:eastAsia="Arial" w:hAnsi="Arial"/>
          <w:b w:val="false"/>
          <w:bCs w:val="false"/>
          <w:i w:val="false"/>
          <w:iCs w:val="false"/>
          <w:sz w:val="22"/>
          <w:szCs w:val="22"/>
        </w:rPr>
        <w:t xml:space="preserve"> ≈ −0.85 across the four family means given in Supplementary Fig. 17). Pb breaks this monotonicity upward, which probably stems from 6</w:t>
      </w:r>
      <w:r>
        <w:rPr>
          <w:rFonts w:ascii="Arial" w:cs="Arial" w:eastAsia="Arial" w:hAnsi="Arial"/>
          <w:b w:val="false"/>
          <w:bCs w:val="false"/>
          <w:i/>
          <w:iCs/>
          <w:sz w:val="22"/>
          <w:szCs w:val="22"/>
        </w:rPr>
        <w:t xml:space="preserve">s</w:t>
      </w:r>
      <w:r>
        <w:rPr>
          <w:rFonts w:ascii="Arial" w:cs="Arial" w:eastAsia="Arial" w:hAnsi="Arial"/>
          <w:b w:val="false"/>
          <w:bCs w:val="false"/>
          <w:i w:val="false"/>
          <w:iCs w:val="false"/>
          <w:sz w:val="22"/>
          <w:szCs w:val="22"/>
          <w:vertAlign w:val="superscript"/>
        </w:rPr>
        <w:t xml:space="preserve">2</w:t>
      </w:r>
      <w:r>
        <w:rPr>
          <w:rFonts w:ascii="Arial" w:cs="Arial" w:eastAsia="Arial" w:hAnsi="Arial"/>
          <w:b w:val="false"/>
          <w:bCs w:val="false"/>
          <w:i w:val="false"/>
          <w:iCs w:val="false"/>
          <w:sz w:val="22"/>
          <w:szCs w:val="22"/>
        </w:rPr>
        <w:t xml:space="preserve"> lone-pair stereoactivity, a quasi-electronic mechanism with no analogue in alkaline-earth chemistry [13,14,31]. A counterfactual permutation analysis confirms that 96.0% of the model-attributed Δ</w:t>
      </w:r>
      <w:r>
        <w:rPr>
          <w:rFonts w:ascii="Arial" w:cs="Arial" w:eastAsia="Arial" w:hAnsi="Arial"/>
          <w:b w:val="false"/>
          <w:bCs w:val="false"/>
          <w:i/>
          <w:iCs/>
          <w:sz w:val="22"/>
          <w:szCs w:val="22"/>
        </w:rPr>
        <w:t xml:space="preserve">ε</w:t>
      </w:r>
      <w:r>
        <w:rPr>
          <w:rFonts w:ascii="Arial" w:cs="Arial" w:eastAsia="Arial" w:hAnsi="Arial"/>
          <w:b w:val="false"/>
          <w:bCs w:val="false"/>
          <w:i w:val="false"/>
          <w:iCs w:val="false"/>
          <w:sz w:val="22"/>
          <w:szCs w:val="22"/>
          <w:vertAlign w:val="subscript"/>
        </w:rPr>
        <w:t xml:space="preserve">r</w:t>
      </w:r>
      <w:r>
        <w:rPr>
          <w:rFonts w:ascii="Arial" w:cs="Arial" w:eastAsia="Arial" w:hAnsi="Arial"/>
          <w:b w:val="false"/>
          <w:bCs w:val="false"/>
          <w:i w:val="false"/>
          <w:iCs w:val="false"/>
          <w:sz w:val="22"/>
          <w:szCs w:val="22"/>
        </w:rPr>
        <w:t xml:space="preserve"> is assigned to the LST branch across all B-site families (Supplementary Fig. 13), establishing A-site control of the soft-mode channel as B-site-independent.</w:t>
      </w:r>
    </w:p>
    <w:p>
      <w:pPr>
        <w:sectPr>
          <w:footerReference w:type="default" r:id="rId10"/>
          <w:type w:val="continuous"/>
          <w:pgSz w:w="12240" w:h="15840" w:orient="portrait"/>
          <w:pgMar w:top="1296" w:right="1296" w:bottom="1296" w:left="1296" w:header="708" w:footer="708" w:gutter="0"/>
          <w:pgNumType/>
          <w:docGrid w:linePitch="360"/>
        </w:sectPr>
      </w:pPr>
    </w:p>
    <w:p>
      <w:pPr>
        <w:spacing w:after="120" w:before="360"/>
      </w:pPr>
      <w:r>
        <w:rPr>
          <w:rFonts w:ascii="Arial" w:cs="Arial" w:eastAsia="Arial" w:hAnsi="Arial"/>
          <w:sz w:val="22"/>
          <w:szCs w:val="22"/>
        </w:rPr>
        <w:t xml:space="preserve"/>
      </w:r>
    </w:p>
    <w:p>
      <w:pPr>
        <w:spacing w:after="240" w:before="0"/>
        <w:jc w:val="center"/>
      </w:pPr>
      <w:r>
        <w:drawing>
          <wp:inline distT="0" distB="0" distL="0" distR="0">
            <wp:extent cx="5943600" cy="4867275"/>
            <wp:effectExtent t="0" r="0" b="0" l="0"/>
            <wp:docPr id="1" name="fig4_discovery.png" descr="Figure" title="fig4_discove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943600" cy="4867275"/>
                    </a:xfrm>
                    <a:prstGeom prst="rect">
                      <a:avLst/>
                    </a:prstGeom>
                  </pic:spPr>
                </pic:pic>
              </a:graphicData>
            </a:graphic>
          </wp:inline>
        </w:drawing>
      </w:r>
    </w:p>
    <w:p>
      <w:pPr>
        <w:spacing w:after="480" w:before="0" w:line="280" w:lineRule="auto"/>
        <w:jc w:val="both"/>
      </w:pPr>
      <w:r>
        <w:rPr>
          <w:rFonts w:ascii="Arial" w:cs="Arial" w:eastAsia="Arial" w:hAnsi="Arial"/>
          <w:b/>
          <w:bCs/>
          <w:i w:val="false"/>
          <w:iCs w:val="false"/>
          <w:sz w:val="18"/>
          <w:szCs w:val="18"/>
        </w:rPr>
        <w:t xml:space="preserve">Fig. 2 | A-site soft-mode hierarchy discovered by the LST branch.</w:t>
      </w:r>
      <w:r>
        <w:rPr>
          <w:rFonts w:ascii="Arial" w:cs="Arial" w:eastAsia="Arial" w:hAnsi="Arial"/>
          <w:b w:val="false"/>
          <w:bCs w:val="false"/>
          <w:i w:val="false"/>
          <w:iCs w:val="false"/>
          <w:sz w:val="18"/>
          <w:szCs w:val="18"/>
        </w:rPr>
        <w:t xml:space="preserve"> </w:t>
      </w:r>
      <w:r>
        <w:rPr>
          <w:rFonts w:ascii="Arial" w:cs="Arial" w:eastAsia="Arial" w:hAnsi="Arial"/>
          <w:b/>
          <w:bCs/>
          <w:i w:val="false"/>
          <w:iCs w:val="false"/>
          <w:sz w:val="18"/>
          <w:szCs w:val="18"/>
        </w:rPr>
        <w:t xml:space="preserve">a</w:t>
      </w:r>
      <w:r>
        <w:rPr>
          <w:rFonts w:ascii="Arial" w:cs="Arial" w:eastAsia="Arial" w:hAnsi="Arial"/>
          <w:b w:val="false"/>
          <w:bCs w:val="false"/>
          <w:i w:val="false"/>
          <w:iCs w:val="false"/>
          <w:sz w:val="18"/>
          <w:szCs w:val="18"/>
        </w:rPr>
        <w:t xml:space="preserve">, Mean soft-mode amplification factor </w:t>
      </w:r>
      <w:r>
        <w:rPr>
          <w:rFonts w:ascii="Arial" w:cs="Arial" w:eastAsia="Arial" w:hAnsi="Arial"/>
          <w:b w:val="false"/>
          <w:bCs w:val="false"/>
          <w:i/>
          <w:iCs/>
          <w:sz w:val="18"/>
          <w:szCs w:val="18"/>
        </w:rPr>
        <w:t xml:space="preserve">f</w:t>
      </w:r>
      <w:r>
        <w:rPr>
          <w:rFonts w:ascii="Arial" w:cs="Arial" w:eastAsia="Arial" w:hAnsi="Arial"/>
          <w:b w:val="false"/>
          <w:bCs w:val="false"/>
          <w:i w:val="false"/>
          <w:iCs w:val="false"/>
          <w:sz w:val="18"/>
          <w:szCs w:val="18"/>
          <w:vertAlign w:val="subscript"/>
        </w:rPr>
        <w:t xml:space="preserve">LST</w:t>
      </w:r>
      <w:r>
        <w:rPr>
          <w:rFonts w:ascii="Arial" w:cs="Arial" w:eastAsia="Arial" w:hAnsi="Arial"/>
          <w:b w:val="false"/>
          <w:bCs w:val="false"/>
          <w:i w:val="false"/>
          <w:iCs w:val="false"/>
          <w:sz w:val="18"/>
          <w:szCs w:val="18"/>
        </w:rPr>
        <w:t xml:space="preserve"> = δ</w:t>
      </w:r>
      <w:r>
        <w:rPr>
          <w:rFonts w:ascii="Arial" w:cs="Arial" w:eastAsia="Arial" w:hAnsi="Arial"/>
          <w:b w:val="false"/>
          <w:bCs w:val="false"/>
          <w:i w:val="false"/>
          <w:iCs w:val="false"/>
          <w:sz w:val="18"/>
          <w:szCs w:val="18"/>
          <w:vertAlign w:val="subscript"/>
        </w:rPr>
        <w:t xml:space="preserve">LST</w:t>
      </w:r>
      <w:r>
        <w:rPr>
          <w:rFonts w:ascii="Arial" w:cs="Arial" w:eastAsia="Arial" w:hAnsi="Arial"/>
          <w:b w:val="false"/>
          <w:bCs w:val="false"/>
          <w:i w:val="false"/>
          <w:iCs w:val="false"/>
          <w:sz w:val="18"/>
          <w:szCs w:val="18"/>
        </w:rPr>
        <w:t xml:space="preserve"> / ε</w:t>
      </w:r>
      <w:r>
        <w:rPr>
          <w:rFonts w:ascii="Arial" w:cs="Arial" w:eastAsia="Arial" w:hAnsi="Arial"/>
          <w:b w:val="false"/>
          <w:bCs w:val="false"/>
          <w:i w:val="false"/>
          <w:iCs w:val="false"/>
          <w:sz w:val="18"/>
          <w:szCs w:val="18"/>
          <w:vertAlign w:val="subscript"/>
        </w:rPr>
        <w:t xml:space="preserve">r,CM</w:t>
      </w:r>
      <w:r>
        <w:rPr>
          <w:rFonts w:ascii="Arial" w:cs="Arial" w:eastAsia="Arial" w:hAnsi="Arial"/>
          <w:b w:val="false"/>
          <w:bCs w:val="false"/>
          <w:i w:val="false"/>
          <w:iCs w:val="false"/>
          <w:sz w:val="18"/>
          <w:szCs w:val="18"/>
        </w:rPr>
        <w:t xml:space="preserve"> (the soft-mode contribution as a multiple of the electronic CM baseline) by A-site cation family, computed across the valid-CM compositions and stratified by primary A-site occupancy for the five dominant families (1,075 of the 1,124 valid-CM compositions; 49 minor-A-site compositions omitted): Pb (2.28×, </w:t>
      </w:r>
      <w:r>
        <w:rPr>
          <w:rFonts w:ascii="Arial" w:cs="Arial" w:eastAsia="Arial" w:hAnsi="Arial"/>
          <w:b w:val="false"/>
          <w:bCs w:val="false"/>
          <w:i/>
          <w:iCs/>
          <w:sz w:val="18"/>
          <w:szCs w:val="18"/>
        </w:rPr>
        <w:t xml:space="preserve">n</w:t>
      </w:r>
      <w:r>
        <w:rPr>
          <w:rFonts w:ascii="Arial" w:cs="Arial" w:eastAsia="Arial" w:hAnsi="Arial"/>
          <w:b w:val="false"/>
          <w:bCs w:val="false"/>
          <w:i w:val="false"/>
          <w:iCs w:val="false"/>
          <w:sz w:val="18"/>
          <w:szCs w:val="18"/>
        </w:rPr>
        <w:t xml:space="preserve"> = 83), Ca (1.66×, </w:t>
      </w:r>
      <w:r>
        <w:rPr>
          <w:rFonts w:ascii="Arial" w:cs="Arial" w:eastAsia="Arial" w:hAnsi="Arial"/>
          <w:b w:val="false"/>
          <w:bCs w:val="false"/>
          <w:i/>
          <w:iCs/>
          <w:sz w:val="18"/>
          <w:szCs w:val="18"/>
        </w:rPr>
        <w:t xml:space="preserve">n</w:t>
      </w:r>
      <w:r>
        <w:rPr>
          <w:rFonts w:ascii="Arial" w:cs="Arial" w:eastAsia="Arial" w:hAnsi="Arial"/>
          <w:b w:val="false"/>
          <w:bCs w:val="false"/>
          <w:i w:val="false"/>
          <w:iCs w:val="false"/>
          <w:sz w:val="18"/>
          <w:szCs w:val="18"/>
        </w:rPr>
        <w:t xml:space="preserve"> = 344), La (1.13×, </w:t>
      </w:r>
      <w:r>
        <w:rPr>
          <w:rFonts w:ascii="Arial" w:cs="Arial" w:eastAsia="Arial" w:hAnsi="Arial"/>
          <w:b w:val="false"/>
          <w:bCs w:val="false"/>
          <w:i/>
          <w:iCs/>
          <w:sz w:val="18"/>
          <w:szCs w:val="18"/>
        </w:rPr>
        <w:t xml:space="preserve">n</w:t>
      </w:r>
      <w:r>
        <w:rPr>
          <w:rFonts w:ascii="Arial" w:cs="Arial" w:eastAsia="Arial" w:hAnsi="Arial"/>
          <w:b w:val="false"/>
          <w:bCs w:val="false"/>
          <w:i w:val="false"/>
          <w:iCs w:val="false"/>
          <w:sz w:val="18"/>
          <w:szCs w:val="18"/>
        </w:rPr>
        <w:t xml:space="preserve"> = 121), Sr (0.91×, </w:t>
      </w:r>
      <w:r>
        <w:rPr>
          <w:rFonts w:ascii="Arial" w:cs="Arial" w:eastAsia="Arial" w:hAnsi="Arial"/>
          <w:b w:val="false"/>
          <w:bCs w:val="false"/>
          <w:i/>
          <w:iCs/>
          <w:sz w:val="18"/>
          <w:szCs w:val="18"/>
        </w:rPr>
        <w:t xml:space="preserve">n</w:t>
      </w:r>
      <w:r>
        <w:rPr>
          <w:rFonts w:ascii="Arial" w:cs="Arial" w:eastAsia="Arial" w:hAnsi="Arial"/>
          <w:b w:val="false"/>
          <w:bCs w:val="false"/>
          <w:i w:val="false"/>
          <w:iCs w:val="false"/>
          <w:sz w:val="18"/>
          <w:szCs w:val="18"/>
        </w:rPr>
        <w:t xml:space="preserve"> = 159), Ba (0.66×, </w:t>
      </w:r>
      <w:r>
        <w:rPr>
          <w:rFonts w:ascii="Arial" w:cs="Arial" w:eastAsia="Arial" w:hAnsi="Arial"/>
          <w:b w:val="false"/>
          <w:bCs w:val="false"/>
          <w:i/>
          <w:iCs/>
          <w:sz w:val="18"/>
          <w:szCs w:val="18"/>
        </w:rPr>
        <w:t xml:space="preserve">n</w:t>
      </w:r>
      <w:r>
        <w:rPr>
          <w:rFonts w:ascii="Arial" w:cs="Arial" w:eastAsia="Arial" w:hAnsi="Arial"/>
          <w:b w:val="false"/>
          <w:bCs w:val="false"/>
          <w:i w:val="false"/>
          <w:iCs w:val="false"/>
          <w:sz w:val="18"/>
          <w:szCs w:val="18"/>
        </w:rPr>
        <w:t xml:space="preserve"> = 368). Error bars show bootstrap 95% confidence intervals from 2,000 resamples. The ordering Pb &gt; Ca &gt; La &gt; Sr &gt; Ba is statistically significant at </w:t>
      </w:r>
      <w:r>
        <w:rPr>
          <w:rFonts w:ascii="Arial" w:cs="Arial" w:eastAsia="Arial" w:hAnsi="Arial"/>
          <w:b w:val="false"/>
          <w:bCs w:val="false"/>
          <w:i/>
          <w:iCs/>
          <w:sz w:val="18"/>
          <w:szCs w:val="18"/>
        </w:rPr>
        <w:t xml:space="preserve">p</w:t>
      </w:r>
      <w:r>
        <w:rPr>
          <w:rFonts w:ascii="Arial" w:cs="Arial" w:eastAsia="Arial" w:hAnsi="Arial"/>
          <w:b w:val="false"/>
          <w:bCs w:val="false"/>
          <w:i w:val="false"/>
          <w:iCs w:val="false"/>
          <w:sz w:val="18"/>
          <w:szCs w:val="18"/>
        </w:rPr>
        <w:t xml:space="preserve"> = 0.000 (</w:t>
      </w:r>
      <w:r>
        <w:rPr>
          <w:rFonts w:ascii="Arial" w:cs="Arial" w:eastAsia="Arial" w:hAnsi="Arial"/>
          <w:b w:val="false"/>
          <w:bCs w:val="false"/>
          <w:i/>
          <w:iCs/>
          <w:sz w:val="18"/>
          <w:szCs w:val="18"/>
        </w:rPr>
        <w:t xml:space="preserve">z</w:t>
      </w:r>
      <w:r>
        <w:rPr>
          <w:rFonts w:ascii="Arial" w:cs="Arial" w:eastAsia="Arial" w:hAnsi="Arial"/>
          <w:b w:val="false"/>
          <w:bCs w:val="false"/>
          <w:i w:val="false"/>
          <w:iCs w:val="false"/>
          <w:sz w:val="18"/>
          <w:szCs w:val="18"/>
        </w:rPr>
        <w:t xml:space="preserve"> ≈ 14σ over 2,000 A-site label permutations). </w:t>
      </w:r>
      <w:r>
        <w:rPr>
          <w:rFonts w:ascii="Arial" w:cs="Arial" w:eastAsia="Arial" w:hAnsi="Arial"/>
          <w:b/>
          <w:bCs/>
          <w:i w:val="false"/>
          <w:iCs w:val="false"/>
          <w:sz w:val="18"/>
          <w:szCs w:val="18"/>
        </w:rPr>
        <w:t xml:space="preserve">b</w:t>
      </w:r>
      <w:r>
        <w:rPr>
          <w:rFonts w:ascii="Arial" w:cs="Arial" w:eastAsia="Arial" w:hAnsi="Arial"/>
          <w:b w:val="false"/>
          <w:bCs w:val="false"/>
          <w:i w:val="false"/>
          <w:iCs w:val="false"/>
          <w:sz w:val="18"/>
          <w:szCs w:val="18"/>
        </w:rPr>
        <w:t xml:space="preserve">, </w:t>
      </w:r>
      <w:r>
        <w:rPr>
          <w:rFonts w:ascii="Arial" w:cs="Arial" w:eastAsia="Arial" w:hAnsi="Arial"/>
          <w:b w:val="false"/>
          <w:bCs w:val="false"/>
          <w:i/>
          <w:iCs/>
          <w:sz w:val="18"/>
          <w:szCs w:val="18"/>
        </w:rPr>
        <w:t xml:space="preserve">f</w:t>
      </w:r>
      <w:r>
        <w:rPr>
          <w:rFonts w:ascii="Arial" w:cs="Arial" w:eastAsia="Arial" w:hAnsi="Arial"/>
          <w:b w:val="false"/>
          <w:bCs w:val="false"/>
          <w:i w:val="false"/>
          <w:iCs w:val="false"/>
          <w:sz w:val="18"/>
          <w:szCs w:val="18"/>
          <w:vertAlign w:val="subscript"/>
        </w:rPr>
        <w:t xml:space="preserve">LST</w:t>
      </w:r>
      <w:r>
        <w:rPr>
          <w:rFonts w:ascii="Arial" w:cs="Arial" w:eastAsia="Arial" w:hAnsi="Arial"/>
          <w:b w:val="false"/>
          <w:bCs w:val="false"/>
          <w:i w:val="false"/>
          <w:iCs w:val="false"/>
          <w:sz w:val="18"/>
          <w:szCs w:val="18"/>
        </w:rPr>
        <w:t xml:space="preserve"> plotted against Shannon 12-coordinate ionic radius of the dominant A-site cation. The Ba→Sr→La→Ca segment follows a monotonic decrease consistent with cage-tightening enhancement of B-site off-centring; Pb deviates upward from this monotonic trend, consistent with 6</w:t>
      </w:r>
      <w:r>
        <w:rPr>
          <w:rFonts w:ascii="Arial" w:cs="Arial" w:eastAsia="Arial" w:hAnsi="Arial"/>
          <w:b w:val="false"/>
          <w:bCs w:val="false"/>
          <w:i/>
          <w:iCs/>
          <w:sz w:val="18"/>
          <w:szCs w:val="18"/>
        </w:rPr>
        <w:t xml:space="preserve">s</w:t>
      </w:r>
      <w:r>
        <w:rPr>
          <w:rFonts w:ascii="Arial" w:cs="Arial" w:eastAsia="Arial" w:hAnsi="Arial"/>
          <w:b w:val="false"/>
          <w:bCs w:val="false"/>
          <w:i w:val="false"/>
          <w:iCs w:val="false"/>
          <w:sz w:val="18"/>
          <w:szCs w:val="18"/>
          <w:vertAlign w:val="superscript"/>
        </w:rPr>
        <w:t xml:space="preserve">2</w:t>
      </w:r>
      <w:r>
        <w:rPr>
          <w:rFonts w:ascii="Arial" w:cs="Arial" w:eastAsia="Arial" w:hAnsi="Arial"/>
          <w:b w:val="false"/>
          <w:bCs w:val="false"/>
          <w:i w:val="false"/>
          <w:iCs w:val="false"/>
          <w:sz w:val="18"/>
          <w:szCs w:val="18"/>
        </w:rPr>
        <w:t xml:space="preserve"> lone-pair stereoactivity producing a quasi-electronic enhancement absent in alkaline-earth chemistry. </w:t>
      </w:r>
      <w:r>
        <w:rPr>
          <w:rFonts w:ascii="Arial" w:cs="Arial" w:eastAsia="Arial" w:hAnsi="Arial"/>
          <w:b/>
          <w:bCs/>
          <w:i w:val="false"/>
          <w:iCs w:val="false"/>
          <w:sz w:val="18"/>
          <w:szCs w:val="18"/>
        </w:rPr>
        <w:t xml:space="preserve">c</w:t>
      </w:r>
      <w:r>
        <w:rPr>
          <w:rFonts w:ascii="Arial" w:cs="Arial" w:eastAsia="Arial" w:hAnsi="Arial"/>
          <w:b w:val="false"/>
          <w:bCs w:val="false"/>
          <w:i w:val="false"/>
          <w:iCs w:val="false"/>
          <w:sz w:val="18"/>
          <w:szCs w:val="18"/>
        </w:rPr>
        <w:t xml:space="preserve">, Regime-resolved branch decomposition of ε</w:t>
      </w:r>
      <w:r>
        <w:rPr>
          <w:rFonts w:ascii="Arial" w:cs="Arial" w:eastAsia="Arial" w:hAnsi="Arial"/>
          <w:b w:val="false"/>
          <w:bCs w:val="false"/>
          <w:i w:val="false"/>
          <w:iCs w:val="false"/>
          <w:sz w:val="18"/>
          <w:szCs w:val="18"/>
          <w:vertAlign w:val="subscript"/>
        </w:rPr>
        <w:t xml:space="preserve">r</w:t>
      </w:r>
      <w:r>
        <w:rPr>
          <w:rFonts w:ascii="Arial" w:cs="Arial" w:eastAsia="Arial" w:hAnsi="Arial"/>
          <w:b w:val="false"/>
          <w:bCs w:val="false"/>
          <w:i w:val="false"/>
          <w:iCs w:val="false"/>
          <w:sz w:val="18"/>
          <w:szCs w:val="18"/>
        </w:rPr>
        <w:t xml:space="preserve"> (ε</w:t>
      </w:r>
      <w:r>
        <w:rPr>
          <w:rFonts w:ascii="Arial" w:cs="Arial" w:eastAsia="Arial" w:hAnsi="Arial"/>
          <w:b w:val="false"/>
          <w:bCs w:val="false"/>
          <w:i w:val="false"/>
          <w:iCs w:val="false"/>
          <w:sz w:val="18"/>
          <w:szCs w:val="18"/>
          <w:vertAlign w:val="subscript"/>
        </w:rPr>
        <w:t xml:space="preserve">r</w:t>
      </w:r>
      <w:r>
        <w:rPr>
          <w:rFonts w:ascii="Arial" w:cs="Arial" w:eastAsia="Arial" w:hAnsi="Arial"/>
          <w:b w:val="false"/>
          <w:bCs w:val="false"/>
          <w:i w:val="false"/>
          <w:iCs w:val="false"/>
          <w:sz w:val="18"/>
          <w:szCs w:val="18"/>
        </w:rPr>
        <w:t xml:space="preserve">-weighted shares). Within each group the four branches sum to exactly 100% by construction: the model reconstructs ε</w:t>
      </w:r>
      <w:r>
        <w:rPr>
          <w:rFonts w:ascii="Arial" w:cs="Arial" w:eastAsia="Arial" w:hAnsi="Arial"/>
          <w:b w:val="false"/>
          <w:bCs w:val="false"/>
          <w:i w:val="false"/>
          <w:iCs w:val="false"/>
          <w:sz w:val="18"/>
          <w:szCs w:val="18"/>
          <w:vertAlign w:val="subscript"/>
        </w:rPr>
        <w:t xml:space="preserve">r</w:t>
      </w:r>
      <w:r>
        <w:rPr>
          <w:rFonts w:ascii="Arial" w:cs="Arial" w:eastAsia="Arial" w:hAnsi="Arial"/>
          <w:b w:val="false"/>
          <w:bCs w:val="false"/>
          <w:i w:val="false"/>
          <w:iCs w:val="false"/>
          <w:sz w:val="18"/>
          <w:szCs w:val="18"/>
        </w:rPr>
        <w:t xml:space="preserve"> as their exact additive sum (ε</w:t>
      </w:r>
      <w:r>
        <w:rPr>
          <w:rFonts w:ascii="Arial" w:cs="Arial" w:eastAsia="Arial" w:hAnsi="Arial"/>
          <w:b w:val="false"/>
          <w:bCs w:val="false"/>
          <w:i w:val="false"/>
          <w:iCs w:val="false"/>
          <w:sz w:val="18"/>
          <w:szCs w:val="18"/>
          <w:vertAlign w:val="subscript"/>
        </w:rPr>
        <w:t xml:space="preserve">r</w:t>
      </w:r>
      <w:r>
        <w:rPr>
          <w:rFonts w:ascii="Arial" w:cs="Arial" w:eastAsia="Arial" w:hAnsi="Arial"/>
          <w:b w:val="false"/>
          <w:bCs w:val="false"/>
          <w:i w:val="false"/>
          <w:iCs w:val="false"/>
          <w:sz w:val="18"/>
          <w:szCs w:val="18"/>
        </w:rPr>
        <w:t xml:space="preserve"> = ε</w:t>
      </w:r>
      <w:r>
        <w:rPr>
          <w:rFonts w:ascii="Arial" w:cs="Arial" w:eastAsia="Arial" w:hAnsi="Arial"/>
          <w:b w:val="false"/>
          <w:bCs w:val="false"/>
          <w:i w:val="false"/>
          <w:iCs w:val="false"/>
          <w:sz w:val="18"/>
          <w:szCs w:val="18"/>
          <w:vertAlign w:val="subscript"/>
        </w:rPr>
        <w:t xml:space="preserve">CM</w:t>
      </w:r>
      <w:r>
        <w:rPr>
          <w:rFonts w:ascii="Arial" w:cs="Arial" w:eastAsia="Arial" w:hAnsi="Arial"/>
          <w:b w:val="false"/>
          <w:bCs w:val="false"/>
          <w:i w:val="false"/>
          <w:iCs w:val="false"/>
          <w:sz w:val="18"/>
          <w:szCs w:val="18"/>
        </w:rPr>
        <w:t xml:space="preserve"> + δ</w:t>
      </w:r>
      <w:r>
        <w:rPr>
          <w:rFonts w:ascii="Arial" w:cs="Arial" w:eastAsia="Arial" w:hAnsi="Arial"/>
          <w:b w:val="false"/>
          <w:bCs w:val="false"/>
          <w:i w:val="false"/>
          <w:iCs w:val="false"/>
          <w:sz w:val="18"/>
          <w:szCs w:val="18"/>
          <w:vertAlign w:val="subscript"/>
        </w:rPr>
        <w:t xml:space="preserve">LST</w:t>
      </w:r>
      <w:r>
        <w:rPr>
          <w:rFonts w:ascii="Arial" w:cs="Arial" w:eastAsia="Arial" w:hAnsi="Arial"/>
          <w:b w:val="false"/>
          <w:bCs w:val="false"/>
          <w:i w:val="false"/>
          <w:iCs w:val="false"/>
          <w:sz w:val="18"/>
          <w:szCs w:val="18"/>
        </w:rPr>
        <w:t xml:space="preserve"> + δ</w:t>
      </w:r>
      <w:r>
        <w:rPr>
          <w:rFonts w:ascii="Arial" w:cs="Arial" w:eastAsia="Arial" w:hAnsi="Arial"/>
          <w:b w:val="false"/>
          <w:bCs w:val="false"/>
          <w:i w:val="false"/>
          <w:iCs w:val="false"/>
          <w:sz w:val="18"/>
          <w:szCs w:val="18"/>
          <w:vertAlign w:val="subscript"/>
        </w:rPr>
        <w:t xml:space="preserve">tilt</w:t>
      </w:r>
      <w:r>
        <w:rPr>
          <w:rFonts w:ascii="Arial" w:cs="Arial" w:eastAsia="Arial" w:hAnsi="Arial"/>
          <w:b w:val="false"/>
          <w:bCs w:val="false"/>
          <w:i w:val="false"/>
          <w:iCs w:val="false"/>
          <w:sz w:val="18"/>
          <w:szCs w:val="18"/>
        </w:rPr>
        <w:t xml:space="preserve"> + δ</w:t>
      </w:r>
      <w:r>
        <w:rPr>
          <w:rFonts w:ascii="Arial" w:cs="Arial" w:eastAsia="Arial" w:hAnsi="Arial"/>
          <w:b w:val="false"/>
          <w:bCs w:val="false"/>
          <w:i w:val="false"/>
          <w:iCs w:val="false"/>
          <w:sz w:val="18"/>
          <w:szCs w:val="18"/>
          <w:vertAlign w:val="subscript"/>
        </w:rPr>
        <w:t xml:space="preserve">res</w:t>
      </w:r>
      <w:r>
        <w:rPr>
          <w:rFonts w:ascii="Arial" w:cs="Arial" w:eastAsia="Arial" w:hAnsi="Arial"/>
          <w:b w:val="false"/>
          <w:bCs w:val="false"/>
          <w:i w:val="false"/>
          <w:iCs w:val="false"/>
          <w:sz w:val="18"/>
          <w:szCs w:val="18"/>
        </w:rPr>
        <w:t xml:space="preserve">, reconstruction residual ≈ 0), and the residual branch is the exact complement δ</w:t>
      </w:r>
      <w:r>
        <w:rPr>
          <w:rFonts w:ascii="Arial" w:cs="Arial" w:eastAsia="Arial" w:hAnsi="Arial"/>
          <w:b w:val="false"/>
          <w:bCs w:val="false"/>
          <w:i w:val="false"/>
          <w:iCs w:val="false"/>
          <w:sz w:val="18"/>
          <w:szCs w:val="18"/>
          <w:vertAlign w:val="subscript"/>
        </w:rPr>
        <w:t xml:space="preserve">res</w:t>
      </w:r>
      <w:r>
        <w:rPr>
          <w:rFonts w:ascii="Arial" w:cs="Arial" w:eastAsia="Arial" w:hAnsi="Arial"/>
          <w:b w:val="false"/>
          <w:bCs w:val="false"/>
          <w:i w:val="false"/>
          <w:iCs w:val="false"/>
          <w:sz w:val="18"/>
          <w:szCs w:val="18"/>
        </w:rPr>
        <w:t xml:space="preserve"> ≡ ε</w:t>
      </w:r>
      <w:r>
        <w:rPr>
          <w:rFonts w:ascii="Arial" w:cs="Arial" w:eastAsia="Arial" w:hAnsi="Arial"/>
          <w:b w:val="false"/>
          <w:bCs w:val="false"/>
          <w:i w:val="false"/>
          <w:iCs w:val="false"/>
          <w:sz w:val="18"/>
          <w:szCs w:val="18"/>
          <w:vertAlign w:val="subscript"/>
        </w:rPr>
        <w:t xml:space="preserve">r</w:t>
      </w:r>
      <w:r>
        <w:rPr>
          <w:rFonts w:ascii="Arial" w:cs="Arial" w:eastAsia="Arial" w:hAnsi="Arial"/>
          <w:b w:val="false"/>
          <w:bCs w:val="false"/>
          <w:i w:val="false"/>
          <w:iCs w:val="false"/>
          <w:sz w:val="18"/>
          <w:szCs w:val="18"/>
        </w:rPr>
        <w:t xml:space="preserve"> − ε</w:t>
      </w:r>
      <w:r>
        <w:rPr>
          <w:rFonts w:ascii="Arial" w:cs="Arial" w:eastAsia="Arial" w:hAnsi="Arial"/>
          <w:b w:val="false"/>
          <w:bCs w:val="false"/>
          <w:i w:val="false"/>
          <w:iCs w:val="false"/>
          <w:sz w:val="18"/>
          <w:szCs w:val="18"/>
          <w:vertAlign w:val="subscript"/>
        </w:rPr>
        <w:t xml:space="preserve">CM</w:t>
      </w:r>
      <w:r>
        <w:rPr>
          <w:rFonts w:ascii="Arial" w:cs="Arial" w:eastAsia="Arial" w:hAnsi="Arial"/>
          <w:b w:val="false"/>
          <w:bCs w:val="false"/>
          <w:i w:val="false"/>
          <w:iCs w:val="false"/>
          <w:sz w:val="18"/>
          <w:szCs w:val="18"/>
        </w:rPr>
        <w:t xml:space="preserve"> − δ</w:t>
      </w:r>
      <w:r>
        <w:rPr>
          <w:rFonts w:ascii="Arial" w:cs="Arial" w:eastAsia="Arial" w:hAnsi="Arial"/>
          <w:b w:val="false"/>
          <w:bCs w:val="false"/>
          <w:i w:val="false"/>
          <w:iCs w:val="false"/>
          <w:sz w:val="18"/>
          <w:szCs w:val="18"/>
          <w:vertAlign w:val="subscript"/>
        </w:rPr>
        <w:t xml:space="preserve">LST</w:t>
      </w:r>
      <w:r>
        <w:rPr>
          <w:rFonts w:ascii="Arial" w:cs="Arial" w:eastAsia="Arial" w:hAnsi="Arial"/>
          <w:b w:val="false"/>
          <w:bCs w:val="false"/>
          <w:i w:val="false"/>
          <w:iCs w:val="false"/>
          <w:sz w:val="18"/>
          <w:szCs w:val="18"/>
        </w:rPr>
        <w:t xml:space="preserve"> − δ</w:t>
      </w:r>
      <w:r>
        <w:rPr>
          <w:rFonts w:ascii="Arial" w:cs="Arial" w:eastAsia="Arial" w:hAnsi="Arial"/>
          <w:b w:val="false"/>
          <w:bCs w:val="false"/>
          <w:i w:val="false"/>
          <w:iCs w:val="false"/>
          <w:sz w:val="18"/>
          <w:szCs w:val="18"/>
          <w:vertAlign w:val="subscript"/>
        </w:rPr>
        <w:t xml:space="preserve">tilt</w:t>
      </w:r>
      <w:r>
        <w:rPr>
          <w:rFonts w:ascii="Arial" w:cs="Arial" w:eastAsia="Arial" w:hAnsi="Arial"/>
          <w:b w:val="false"/>
          <w:bCs w:val="false"/>
          <w:i w:val="false"/>
          <w:iCs w:val="false"/>
          <w:sz w:val="18"/>
          <w:szCs w:val="18"/>
        </w:rPr>
        <w:t xml:space="preserve">; displayed shares are rounded to 0.1%. Grouped horizontal bars on a logarithmic axis give the share contributed by the Clausius–Mossotti electronic baseline (ε</w:t>
      </w:r>
      <w:r>
        <w:rPr>
          <w:rFonts w:ascii="Arial" w:cs="Arial" w:eastAsia="Arial" w:hAnsi="Arial"/>
          <w:b w:val="false"/>
          <w:bCs w:val="false"/>
          <w:i w:val="false"/>
          <w:iCs w:val="false"/>
          <w:sz w:val="18"/>
          <w:szCs w:val="18"/>
          <w:vertAlign w:val="subscript"/>
        </w:rPr>
        <w:t xml:space="preserve">CM</w:t>
      </w:r>
      <w:r>
        <w:rPr>
          <w:rFonts w:ascii="Arial" w:cs="Arial" w:eastAsia="Arial" w:hAnsi="Arial"/>
          <w:b w:val="false"/>
          <w:bCs w:val="false"/>
          <w:i w:val="false"/>
          <w:iCs w:val="false"/>
          <w:sz w:val="18"/>
          <w:szCs w:val="18"/>
        </w:rPr>
        <w:t xml:space="preserve">), soft-mode amplification (δ</w:t>
      </w:r>
      <w:r>
        <w:rPr>
          <w:rFonts w:ascii="Arial" w:cs="Arial" w:eastAsia="Arial" w:hAnsi="Arial"/>
          <w:b w:val="false"/>
          <w:bCs w:val="false"/>
          <w:i w:val="false"/>
          <w:iCs w:val="false"/>
          <w:sz w:val="18"/>
          <w:szCs w:val="18"/>
          <w:vertAlign w:val="subscript"/>
        </w:rPr>
        <w:t xml:space="preserve">LST</w:t>
      </w:r>
      <w:r>
        <w:rPr>
          <w:rFonts w:ascii="Arial" w:cs="Arial" w:eastAsia="Arial" w:hAnsi="Arial"/>
          <w:b w:val="false"/>
          <w:bCs w:val="false"/>
          <w:i w:val="false"/>
          <w:iCs w:val="false"/>
          <w:sz w:val="18"/>
          <w:szCs w:val="18"/>
        </w:rPr>
        <w:t xml:space="preserve">), octahedral tilt (δ</w:t>
      </w:r>
      <w:r>
        <w:rPr>
          <w:rFonts w:ascii="Arial" w:cs="Arial" w:eastAsia="Arial" w:hAnsi="Arial"/>
          <w:b w:val="false"/>
          <w:bCs w:val="false"/>
          <w:i w:val="false"/>
          <w:iCs w:val="false"/>
          <w:sz w:val="18"/>
          <w:szCs w:val="18"/>
          <w:vertAlign w:val="subscript"/>
        </w:rPr>
        <w:t xml:space="preserve">tilt</w:t>
      </w:r>
      <w:r>
        <w:rPr>
          <w:rFonts w:ascii="Arial" w:cs="Arial" w:eastAsia="Arial" w:hAnsi="Arial"/>
          <w:b w:val="false"/>
          <w:bCs w:val="false"/>
          <w:i w:val="false"/>
          <w:iCs w:val="false"/>
          <w:sz w:val="18"/>
          <w:szCs w:val="18"/>
        </w:rPr>
        <w:t xml:space="preserve">) and the residual (δ</w:t>
      </w:r>
      <w:r>
        <w:rPr>
          <w:rFonts w:ascii="Arial" w:cs="Arial" w:eastAsia="Arial" w:hAnsi="Arial"/>
          <w:b w:val="false"/>
          <w:bCs w:val="false"/>
          <w:i w:val="false"/>
          <w:iCs w:val="false"/>
          <w:sz w:val="18"/>
          <w:szCs w:val="18"/>
          <w:vertAlign w:val="subscript"/>
        </w:rPr>
        <w:t xml:space="preserve">res</w:t>
      </w:r>
      <w:r>
        <w:rPr>
          <w:rFonts w:ascii="Arial" w:cs="Arial" w:eastAsia="Arial" w:hAnsi="Arial"/>
          <w:b w:val="false"/>
          <w:bCs w:val="false"/>
          <w:i w:val="false"/>
          <w:iCs w:val="false"/>
          <w:sz w:val="18"/>
          <w:szCs w:val="18"/>
        </w:rPr>
        <w:t xml:space="preserve">), for all valid-CM compositions (</w:t>
      </w:r>
      <w:r>
        <w:rPr>
          <w:rFonts w:ascii="Arial" w:cs="Arial" w:eastAsia="Arial" w:hAnsi="Arial"/>
          <w:b w:val="false"/>
          <w:bCs w:val="false"/>
          <w:i/>
          <w:iCs/>
          <w:sz w:val="18"/>
          <w:szCs w:val="18"/>
        </w:rPr>
        <w:t xml:space="preserve">n</w:t>
      </w:r>
      <w:r>
        <w:rPr>
          <w:rFonts w:ascii="Arial" w:cs="Arial" w:eastAsia="Arial" w:hAnsi="Arial"/>
          <w:b w:val="false"/>
          <w:bCs w:val="false"/>
          <w:i w:val="false"/>
          <w:iCs w:val="false"/>
          <w:sz w:val="18"/>
          <w:szCs w:val="18"/>
        </w:rPr>
        <w:t xml:space="preserve"> = 1,124) and stratified by Reaney regime (Ia, </w:t>
      </w:r>
      <w:r>
        <w:rPr>
          <w:rFonts w:ascii="Arial" w:cs="Arial" w:eastAsia="Arial" w:hAnsi="Arial"/>
          <w:b w:val="false"/>
          <w:bCs w:val="false"/>
          <w:i/>
          <w:iCs/>
          <w:sz w:val="18"/>
          <w:szCs w:val="18"/>
        </w:rPr>
        <w:t xml:space="preserve">n</w:t>
      </w:r>
      <w:r>
        <w:rPr>
          <w:rFonts w:ascii="Arial" w:cs="Arial" w:eastAsia="Arial" w:hAnsi="Arial"/>
          <w:b w:val="false"/>
          <w:bCs w:val="false"/>
          <w:i w:val="false"/>
          <w:iCs w:val="false"/>
          <w:sz w:val="18"/>
          <w:szCs w:val="18"/>
        </w:rPr>
        <w:t xml:space="preserve"> = 47; Ib, </w:t>
      </w:r>
      <w:r>
        <w:rPr>
          <w:rFonts w:ascii="Arial" w:cs="Arial" w:eastAsia="Arial" w:hAnsi="Arial"/>
          <w:b w:val="false"/>
          <w:bCs w:val="false"/>
          <w:i/>
          <w:iCs/>
          <w:sz w:val="18"/>
          <w:szCs w:val="18"/>
        </w:rPr>
        <w:t xml:space="preserve">n</w:t>
      </w:r>
      <w:r>
        <w:rPr>
          <w:rFonts w:ascii="Arial" w:cs="Arial" w:eastAsia="Arial" w:hAnsi="Arial"/>
          <w:b w:val="false"/>
          <w:bCs w:val="false"/>
          <w:i w:val="false"/>
          <w:iCs w:val="false"/>
          <w:sz w:val="18"/>
          <w:szCs w:val="18"/>
        </w:rPr>
        <w:t xml:space="preserve"> = 302; II, </w:t>
      </w:r>
      <w:r>
        <w:rPr>
          <w:rFonts w:ascii="Arial" w:cs="Arial" w:eastAsia="Arial" w:hAnsi="Arial"/>
          <w:b w:val="false"/>
          <w:bCs w:val="false"/>
          <w:i/>
          <w:iCs/>
          <w:sz w:val="18"/>
          <w:szCs w:val="18"/>
        </w:rPr>
        <w:t xml:space="preserve">n</w:t>
      </w:r>
      <w:r>
        <w:rPr>
          <w:rFonts w:ascii="Arial" w:cs="Arial" w:eastAsia="Arial" w:hAnsi="Arial"/>
          <w:b w:val="false"/>
          <w:bCs w:val="false"/>
          <w:i w:val="false"/>
          <w:iCs w:val="false"/>
          <w:sz w:val="18"/>
          <w:szCs w:val="18"/>
        </w:rPr>
        <w:t xml:space="preserve"> = 303; III, </w:t>
      </w:r>
      <w:r>
        <w:rPr>
          <w:rFonts w:ascii="Arial" w:cs="Arial" w:eastAsia="Arial" w:hAnsi="Arial"/>
          <w:b w:val="false"/>
          <w:bCs w:val="false"/>
          <w:i/>
          <w:iCs/>
          <w:sz w:val="18"/>
          <w:szCs w:val="18"/>
        </w:rPr>
        <w:t xml:space="preserve">n</w:t>
      </w:r>
      <w:r>
        <w:rPr>
          <w:rFonts w:ascii="Arial" w:cs="Arial" w:eastAsia="Arial" w:hAnsi="Arial"/>
          <w:b w:val="false"/>
          <w:bCs w:val="false"/>
          <w:i w:val="false"/>
          <w:iCs w:val="false"/>
          <w:sz w:val="18"/>
          <w:szCs w:val="18"/>
        </w:rPr>
        <w:t xml:space="preserve"> = 472). δ</w:t>
      </w:r>
      <w:r>
        <w:rPr>
          <w:rFonts w:ascii="Arial" w:cs="Arial" w:eastAsia="Arial" w:hAnsi="Arial"/>
          <w:b w:val="false"/>
          <w:bCs w:val="false"/>
          <w:i w:val="false"/>
          <w:iCs w:val="false"/>
          <w:sz w:val="18"/>
          <w:szCs w:val="18"/>
          <w:vertAlign w:val="subscript"/>
        </w:rPr>
        <w:t xml:space="preserve">tilt</w:t>
      </w:r>
      <w:r>
        <w:rPr>
          <w:rFonts w:ascii="Arial" w:cs="Arial" w:eastAsia="Arial" w:hAnsi="Arial"/>
          <w:b w:val="false"/>
          <w:bCs w:val="false"/>
          <w:i w:val="false"/>
          <w:iCs w:val="false"/>
          <w:sz w:val="18"/>
          <w:szCs w:val="18"/>
        </w:rPr>
        <w:t xml:space="preserve"> is a negative (suppressive) contribution; its magnitude is drawn on the logarithmic axis (hatched bars) and the label retains its sign. The electronic baseline carries the bulk of ε</w:t>
      </w:r>
      <w:r>
        <w:rPr>
          <w:rFonts w:ascii="Arial" w:cs="Arial" w:eastAsia="Arial" w:hAnsi="Arial"/>
          <w:b w:val="false"/>
          <w:bCs w:val="false"/>
          <w:i w:val="false"/>
          <w:iCs w:val="false"/>
          <w:sz w:val="18"/>
          <w:szCs w:val="18"/>
          <w:vertAlign w:val="subscript"/>
        </w:rPr>
        <w:t xml:space="preserve">r</w:t>
      </w:r>
      <w:r>
        <w:rPr>
          <w:rFonts w:ascii="Arial" w:cs="Arial" w:eastAsia="Arial" w:hAnsi="Arial"/>
          <w:b w:val="false"/>
          <w:bCs w:val="false"/>
          <w:i w:val="false"/>
          <w:iCs w:val="false"/>
          <w:sz w:val="18"/>
          <w:szCs w:val="18"/>
        </w:rPr>
        <w:t xml:space="preserve"> in the low-tilt regimes (ε</w:t>
      </w:r>
      <w:r>
        <w:rPr>
          <w:rFonts w:ascii="Arial" w:cs="Arial" w:eastAsia="Arial" w:hAnsi="Arial"/>
          <w:b w:val="false"/>
          <w:bCs w:val="false"/>
          <w:i w:val="false"/>
          <w:iCs w:val="false"/>
          <w:sz w:val="18"/>
          <w:szCs w:val="18"/>
          <w:vertAlign w:val="subscript"/>
        </w:rPr>
        <w:t xml:space="preserve">CM</w:t>
      </w:r>
      <w:r>
        <w:rPr>
          <w:rFonts w:ascii="Arial" w:cs="Arial" w:eastAsia="Arial" w:hAnsi="Arial"/>
          <w:b w:val="false"/>
          <w:bCs w:val="false"/>
          <w:i w:val="false"/>
          <w:iCs w:val="false"/>
          <w:sz w:val="18"/>
          <w:szCs w:val="18"/>
        </w:rPr>
        <w:t xml:space="preserve"> = 72.9% in Ia, 65.6% in Ib), whereas soft-mode amplification becomes the majority contribution as octahedral tilting increases (δ</w:t>
      </w:r>
      <w:r>
        <w:rPr>
          <w:rFonts w:ascii="Arial" w:cs="Arial" w:eastAsia="Arial" w:hAnsi="Arial"/>
          <w:b w:val="false"/>
          <w:bCs w:val="false"/>
          <w:i w:val="false"/>
          <w:iCs w:val="false"/>
          <w:sz w:val="18"/>
          <w:szCs w:val="18"/>
          <w:vertAlign w:val="subscript"/>
        </w:rPr>
        <w:t xml:space="preserve">LST</w:t>
      </w:r>
      <w:r>
        <w:rPr>
          <w:rFonts w:ascii="Arial" w:cs="Arial" w:eastAsia="Arial" w:hAnsi="Arial"/>
          <w:b w:val="false"/>
          <w:bCs w:val="false"/>
          <w:i w:val="false"/>
          <w:iCs w:val="false"/>
          <w:sz w:val="18"/>
          <w:szCs w:val="18"/>
        </w:rPr>
        <w:t xml:space="preserve"> = 57.0% in II, 60.9% in III) — a crossover from electronic- to lattice-driven permittivity, with the overall corpus split (LST 54.1%, CM 46.2%, tilt −0.7%, residual 0.4%) shown in the top group. Source data are provided as a Source Data file.</w:t>
      </w:r>
    </w:p>
    <w:p>
      <w:pPr>
        <w:sectPr>
          <w:footerReference w:type="default" r:id="rId11"/>
          <w:type w:val="continuous"/>
          <w:pgSz w:w="12240" w:h="15840" w:orient="portrait"/>
          <w:pgMar w:top="1296" w:right="1296" w:bottom="1296" w:left="1296" w:header="708" w:footer="708" w:gutter="0"/>
          <w:pgNumType/>
          <w:docGrid w:linePitch="360"/>
        </w:sectPr>
      </w:pPr>
    </w:p>
    <w:p>
      <w:pPr>
        <w:spacing w:after="240" w:before="0"/>
      </w:pPr>
      <w:r>
        <w:rPr>
          <w:rFonts w:ascii="Arial" w:cs="Arial" w:eastAsia="Arial" w:hAnsi="Arial"/>
          <w:sz w:val="22"/>
          <w:szCs w:val="22"/>
        </w:rPr>
        <w:t xml:space="preserve"/>
      </w:r>
    </w:p>
    <w:p>
      <w:pPr>
        <w:spacing w:after="160" w:before="220" w:line="480" w:lineRule="auto"/>
      </w:pPr>
      <w:r>
        <w:rPr>
          <w:rFonts w:ascii="Arial" w:cs="Arial" w:eastAsia="Arial" w:hAnsi="Arial"/>
          <w:b/>
          <w:bCs/>
          <w:i/>
          <w:iCs/>
          <w:color w:val="000000"/>
          <w:sz w:val="22"/>
          <w:szCs w:val="22"/>
        </w:rPr>
        <w:t xml:space="preserve">A physics-constrained architecture realises the decomposition</w:t>
      </w:r>
    </w:p>
    <w:p>
      <w:pPr>
        <w:spacing w:after="120" w:line="252" w:lineRule="auto"/>
        <w:jc w:val="left"/>
      </w:pPr>
      <w:r>
        <w:rPr>
          <w:rFonts w:ascii="Arial" w:cs="Arial" w:eastAsia="Arial" w:hAnsi="Arial"/>
          <w:b w:val="false"/>
          <w:bCs w:val="false"/>
          <w:i w:val="false"/>
          <w:iCs w:val="false"/>
          <w:sz w:val="22"/>
          <w:szCs w:val="22"/>
        </w:rPr>
        <w:t xml:space="preserve">These per-composition attributions are possible only because the architecture exposes the physics explicitly rather than encoding it implicitly. Recent data-driven approaches close the predictive gap but at the cost of physical transparency: attention-bottleneck networks such as VIBANN [25], latent active-learning architectures [23] and equivariant dielectric-tensor networks [22] achieve </w:t>
      </w:r>
      <w:r>
        <w:rPr>
          <w:rFonts w:ascii="Arial" w:cs="Arial" w:eastAsia="Arial" w:hAnsi="Arial"/>
          <w:b w:val="false"/>
          <w:bCs w:val="false"/>
          <w:i/>
          <w:iCs/>
          <w:sz w:val="22"/>
          <w:szCs w:val="22"/>
        </w:rPr>
        <w:t xml:space="preserve">R</w:t>
      </w:r>
      <w:r>
        <w:rPr>
          <w:rFonts w:ascii="Arial" w:cs="Arial" w:eastAsia="Arial" w:hAnsi="Arial"/>
          <w:b w:val="false"/>
          <w:bCs w:val="false"/>
          <w:i w:val="false"/>
          <w:iCs w:val="false"/>
          <w:sz w:val="22"/>
          <w:szCs w:val="22"/>
          <w:vertAlign w:val="superscript"/>
        </w:rPr>
        <w:t xml:space="preserve">2</w:t>
      </w:r>
      <w:r>
        <w:rPr>
          <w:rFonts w:ascii="Arial" w:cs="Arial" w:eastAsia="Arial" w:hAnsi="Arial"/>
          <w:b w:val="false"/>
          <w:bCs w:val="false"/>
          <w:i w:val="false"/>
          <w:iCs w:val="false"/>
          <w:sz w:val="22"/>
          <w:szCs w:val="22"/>
        </w:rPr>
        <w:t xml:space="preserve"> ≳ 0.94 on related ceramic, dielectric and metallic-glass tasks but encode physics only implicitly through latent constraints, so per-composition attributions are restricted to post-hoc gradient maps; even first-principles decompositions of microwave permittivity resolve spatial elemental units rather than named lattice-dynamical mechanisms [32]. A complementary microscopic strand of physics-informed ML learns atomic force fields and derives phonon spectra [33], supplying the lattice-dynamical observables that connect to ε</w:t>
      </w:r>
      <w:r>
        <w:rPr>
          <w:rFonts w:ascii="Arial" w:cs="Arial" w:eastAsia="Arial" w:hAnsi="Arial"/>
          <w:b w:val="false"/>
          <w:bCs w:val="false"/>
          <w:i w:val="false"/>
          <w:iCs w:val="false"/>
          <w:sz w:val="22"/>
          <w:szCs w:val="22"/>
          <w:vertAlign w:val="subscript"/>
        </w:rPr>
        <w:t xml:space="preserve">r</w:t>
      </w:r>
      <w:r>
        <w:rPr>
          <w:rFonts w:ascii="Arial" w:cs="Arial" w:eastAsia="Arial" w:hAnsi="Arial"/>
          <w:b w:val="false"/>
          <w:bCs w:val="false"/>
          <w:i w:val="false"/>
          <w:iCs w:val="false"/>
          <w:sz w:val="22"/>
          <w:szCs w:val="22"/>
        </w:rPr>
        <w:t xml:space="preserve"> through the Lyddane–Sachs–Teller relation; here we take the macroscopic-property route but constrain the network so its δ</w:t>
      </w:r>
      <w:r>
        <w:rPr>
          <w:rFonts w:ascii="Arial" w:cs="Arial" w:eastAsia="Arial" w:hAnsi="Arial"/>
          <w:b w:val="false"/>
          <w:bCs w:val="false"/>
          <w:i w:val="false"/>
          <w:iCs w:val="false"/>
          <w:sz w:val="22"/>
          <w:szCs w:val="22"/>
          <w:vertAlign w:val="subscript"/>
        </w:rPr>
        <w:t xml:space="preserve">LST</w:t>
      </w:r>
      <w:r>
        <w:rPr>
          <w:rFonts w:ascii="Arial" w:cs="Arial" w:eastAsia="Arial" w:hAnsi="Arial"/>
          <w:b w:val="false"/>
          <w:bCs w:val="false"/>
          <w:i w:val="false"/>
          <w:iCs w:val="false"/>
          <w:sz w:val="22"/>
          <w:szCs w:val="22"/>
        </w:rPr>
        <w:t xml:space="preserve"> output is exposed as the named soft-mode contribution rather than a latent feature. We confirm a parallel pattern on our task: a physics-input recurrent baseline (PIRNN) trained on the same 103 features matches the predictive accuracy but is markedly less stable, with a family-out cross-validation standard deviation of 0.181, four-fold higher than the PCNN. Neither baseline returns a quantity that could be read as a soft-mode amplitude or a tilt-derived correction.</w:t>
      </w:r>
    </w:p>
    <w:p>
      <w:pPr>
        <w:spacing w:after="120" w:line="252" w:lineRule="auto"/>
        <w:jc w:val="left"/>
      </w:pPr>
      <w:r>
        <w:rPr>
          <w:rFonts w:ascii="Arial" w:cs="Arial" w:eastAsia="Arial" w:hAnsi="Arial"/>
          <w:b w:val="false"/>
          <w:bCs w:val="false"/>
          <w:i w:val="false"/>
          <w:iCs w:val="false"/>
          <w:sz w:val="22"/>
          <w:szCs w:val="22"/>
        </w:rPr>
        <w:t xml:space="preserve">The PCNN realises the additive decomposition through four explicit branches (Fig. 3):</w:t>
      </w:r>
    </w:p>
    <w:p>
      <w:pPr>
        <w:spacing w:after="120" w:line="252" w:lineRule="auto"/>
        <w:jc w:val="left"/>
      </w:pPr>
      <w:r>
        <w:rPr>
          <w:rFonts w:ascii="Arial" w:cs="Arial" w:eastAsia="Arial" w:hAnsi="Arial"/>
          <w:b w:val="false"/>
          <w:bCs w:val="false"/>
          <w:i/>
          <w:iCs/>
          <w:sz w:val="22"/>
          <w:szCs w:val="22"/>
        </w:rPr>
        <w:t xml:space="preserve">ε</w:t>
      </w:r>
      <w:r>
        <w:rPr>
          <w:rFonts w:ascii="Arial" w:cs="Arial" w:eastAsia="Arial" w:hAnsi="Arial"/>
          <w:b w:val="false"/>
          <w:bCs w:val="false"/>
          <w:i w:val="false"/>
          <w:iCs w:val="false"/>
          <w:sz w:val="22"/>
          <w:szCs w:val="22"/>
          <w:vertAlign w:val="subscript"/>
        </w:rPr>
        <w:t xml:space="preserve">r</w:t>
      </w:r>
      <w:r>
        <w:rPr>
          <w:rFonts w:ascii="Arial" w:cs="Arial" w:eastAsia="Arial" w:hAnsi="Arial"/>
          <w:b w:val="false"/>
          <w:bCs w:val="false"/>
          <w:i w:val="false"/>
          <w:iCs w:val="false"/>
          <w:sz w:val="22"/>
          <w:szCs w:val="22"/>
        </w:rPr>
        <w:t xml:space="preserve"> = </w:t>
      </w:r>
      <w:r>
        <w:rPr>
          <w:rFonts w:ascii="Arial" w:cs="Arial" w:eastAsia="Arial" w:hAnsi="Arial"/>
          <w:b w:val="false"/>
          <w:bCs w:val="false"/>
          <w:i/>
          <w:iCs/>
          <w:sz w:val="22"/>
          <w:szCs w:val="22"/>
        </w:rPr>
        <w:t xml:space="preserve">ε</w:t>
      </w:r>
      <w:r>
        <w:rPr>
          <w:rFonts w:ascii="Arial" w:cs="Arial" w:eastAsia="Arial" w:hAnsi="Arial"/>
          <w:b w:val="false"/>
          <w:bCs w:val="false"/>
          <w:i w:val="false"/>
          <w:iCs w:val="false"/>
          <w:sz w:val="22"/>
          <w:szCs w:val="22"/>
          <w:vertAlign w:val="subscript"/>
        </w:rPr>
        <w:t xml:space="preserve">r,CM</w:t>
      </w:r>
      <w:r>
        <w:rPr>
          <w:rFonts w:ascii="Arial" w:cs="Arial" w:eastAsia="Arial" w:hAnsi="Arial"/>
          <w:b w:val="false"/>
          <w:bCs w:val="false"/>
          <w:i w:val="false"/>
          <w:iCs w:val="false"/>
          <w:sz w:val="22"/>
          <w:szCs w:val="22"/>
        </w:rPr>
        <w:t xml:space="preserve"> + </w:t>
      </w:r>
      <w:r>
        <w:rPr>
          <w:rFonts w:ascii="Arial" w:cs="Arial" w:eastAsia="Arial" w:hAnsi="Arial"/>
          <w:b w:val="false"/>
          <w:bCs w:val="false"/>
          <w:i/>
          <w:iCs/>
          <w:sz w:val="22"/>
          <w:szCs w:val="22"/>
        </w:rPr>
        <w:t xml:space="preserve">δ</w:t>
      </w:r>
      <w:r>
        <w:rPr>
          <w:rFonts w:ascii="Arial" w:cs="Arial" w:eastAsia="Arial" w:hAnsi="Arial"/>
          <w:b w:val="false"/>
          <w:bCs w:val="false"/>
          <w:i w:val="false"/>
          <w:iCs w:val="false"/>
          <w:sz w:val="22"/>
          <w:szCs w:val="22"/>
          <w:vertAlign w:val="subscript"/>
        </w:rPr>
        <w:t xml:space="preserve">LST</w:t>
      </w:r>
      <w:r>
        <w:rPr>
          <w:rFonts w:ascii="Arial" w:cs="Arial" w:eastAsia="Arial" w:hAnsi="Arial"/>
          <w:b w:val="false"/>
          <w:bCs w:val="false"/>
          <w:i w:val="false"/>
          <w:iCs w:val="false"/>
          <w:sz w:val="22"/>
          <w:szCs w:val="22"/>
        </w:rPr>
        <w:t xml:space="preserve"> + </w:t>
      </w:r>
      <w:r>
        <w:rPr>
          <w:rFonts w:ascii="Arial" w:cs="Arial" w:eastAsia="Arial" w:hAnsi="Arial"/>
          <w:b w:val="false"/>
          <w:bCs w:val="false"/>
          <w:i/>
          <w:iCs/>
          <w:sz w:val="22"/>
          <w:szCs w:val="22"/>
        </w:rPr>
        <w:t xml:space="preserve">δ</w:t>
      </w:r>
      <w:r>
        <w:rPr>
          <w:rFonts w:ascii="Arial" w:cs="Arial" w:eastAsia="Arial" w:hAnsi="Arial"/>
          <w:b w:val="false"/>
          <w:bCs w:val="false"/>
          <w:i w:val="false"/>
          <w:iCs w:val="false"/>
          <w:sz w:val="22"/>
          <w:szCs w:val="22"/>
          <w:vertAlign w:val="subscript"/>
        </w:rPr>
        <w:t xml:space="preserve">tilt</w:t>
      </w:r>
      <w:r>
        <w:rPr>
          <w:rFonts w:ascii="Arial" w:cs="Arial" w:eastAsia="Arial" w:hAnsi="Arial"/>
          <w:b w:val="false"/>
          <w:bCs w:val="false"/>
          <w:i w:val="false"/>
          <w:iCs w:val="false"/>
          <w:sz w:val="22"/>
          <w:szCs w:val="22"/>
        </w:rPr>
        <w:t xml:space="preserve"> + </w:t>
      </w:r>
      <w:r>
        <w:rPr>
          <w:rFonts w:ascii="Arial" w:cs="Arial" w:eastAsia="Arial" w:hAnsi="Arial"/>
          <w:b w:val="false"/>
          <w:bCs w:val="false"/>
          <w:i/>
          <w:iCs/>
          <w:sz w:val="22"/>
          <w:szCs w:val="22"/>
        </w:rPr>
        <w:t xml:space="preserve">δ</w:t>
      </w:r>
      <w:r>
        <w:rPr>
          <w:rFonts w:ascii="Arial" w:cs="Arial" w:eastAsia="Arial" w:hAnsi="Arial"/>
          <w:b w:val="false"/>
          <w:bCs w:val="false"/>
          <w:i w:val="false"/>
          <w:iCs w:val="false"/>
          <w:sz w:val="22"/>
          <w:szCs w:val="22"/>
          <w:vertAlign w:val="subscript"/>
        </w:rPr>
        <w:t xml:space="preserve">res</w:t>
      </w:r>
      <w:r>
        <w:rPr>
          <w:rFonts w:ascii="Arial" w:cs="Arial" w:eastAsia="Arial" w:hAnsi="Arial"/>
          <w:b w:val="false"/>
          <w:bCs w:val="false"/>
          <w:i w:val="false"/>
          <w:iCs w:val="false"/>
          <w:sz w:val="22"/>
          <w:szCs w:val="22"/>
        </w:rPr>
        <w:t xml:space="preserve">.</w:t>
      </w:r>
    </w:p>
    <w:p>
      <w:pPr>
        <w:spacing w:after="120" w:line="252" w:lineRule="auto"/>
        <w:jc w:val="left"/>
      </w:pPr>
      <w:r>
        <w:rPr>
          <w:rFonts w:ascii="Arial" w:cs="Arial" w:eastAsia="Arial" w:hAnsi="Arial"/>
          <w:b w:val="false"/>
          <w:bCs w:val="false"/>
          <w:i w:val="false"/>
          <w:iCs w:val="false"/>
          <w:sz w:val="22"/>
          <w:szCs w:val="22"/>
        </w:rPr>
        <w:t xml:space="preserve">The CM term is computed analytically from Shannon polarizabilities and contains no learnable parameters; it serves as a parameter-free structural anchor. The three correction branches are neural sub-networks operating on a strict three-way feature partition (30 LST features, 30 tilt features, 43 residual features), and each carries a hard sign constraint chosen to match its physical role; such constrained architectures retain universal-approximation capacity [34] (the physical justification of each sign constraint and the regularisation terms are derived in Supplementary Note 2). The LST branch is forced non-negative through a Softplus output, </w:t>
      </w:r>
      <w:r>
        <w:rPr>
          <w:rFonts w:ascii="Arial" w:cs="Arial" w:eastAsia="Arial" w:hAnsi="Arial"/>
          <w:b w:val="false"/>
          <w:bCs w:val="false"/>
          <w:i/>
          <w:iCs/>
          <w:sz w:val="22"/>
          <w:szCs w:val="22"/>
        </w:rPr>
        <w:t xml:space="preserve">δ</w:t>
      </w:r>
      <w:r>
        <w:rPr>
          <w:rFonts w:ascii="Arial" w:cs="Arial" w:eastAsia="Arial" w:hAnsi="Arial"/>
          <w:b w:val="false"/>
          <w:bCs w:val="false"/>
          <w:i w:val="false"/>
          <w:iCs w:val="false"/>
          <w:sz w:val="22"/>
          <w:szCs w:val="22"/>
          <w:vertAlign w:val="subscript"/>
        </w:rPr>
        <w:t xml:space="preserve">LST</w:t>
      </w:r>
      <w:r>
        <w:rPr>
          <w:rFonts w:ascii="Arial" w:cs="Arial" w:eastAsia="Arial" w:hAnsi="Arial"/>
          <w:b w:val="false"/>
          <w:bCs w:val="false"/>
          <w:i w:val="false"/>
          <w:iCs w:val="false"/>
          <w:sz w:val="22"/>
          <w:szCs w:val="22"/>
        </w:rPr>
        <w:t xml:space="preserve"> = Softplus(</w:t>
      </w:r>
      <w:r>
        <w:rPr>
          <w:rFonts w:ascii="Arial" w:cs="Arial" w:eastAsia="Arial" w:hAnsi="Arial"/>
          <w:b w:val="false"/>
          <w:bCs w:val="false"/>
          <w:i/>
          <w:iCs/>
          <w:sz w:val="22"/>
          <w:szCs w:val="22"/>
        </w:rPr>
        <w:t xml:space="preserve">h</w:t>
      </w:r>
      <w:r>
        <w:rPr>
          <w:rFonts w:ascii="Arial" w:cs="Arial" w:eastAsia="Arial" w:hAnsi="Arial"/>
          <w:b w:val="false"/>
          <w:bCs w:val="false"/>
          <w:i w:val="false"/>
          <w:iCs w:val="false"/>
          <w:sz w:val="22"/>
          <w:szCs w:val="22"/>
          <w:vertAlign w:val="subscript"/>
        </w:rPr>
        <w:t xml:space="preserve">LST</w:t>
      </w:r>
      <w:r>
        <w:rPr>
          <w:rFonts w:ascii="Arial" w:cs="Arial" w:eastAsia="Arial" w:hAnsi="Arial"/>
          <w:b w:val="false"/>
          <w:bCs w:val="false"/>
          <w:i w:val="false"/>
          <w:iCs w:val="false"/>
          <w:sz w:val="22"/>
          <w:szCs w:val="22"/>
        </w:rPr>
        <w:t xml:space="preserve">), because soft-mode amplification can only raise the static permittivity above its electronic ceiling. The tilt branch is forced non-positive through a negated Softplus, </w:t>
      </w:r>
      <w:r>
        <w:rPr>
          <w:rFonts w:ascii="Arial" w:cs="Arial" w:eastAsia="Arial" w:hAnsi="Arial"/>
          <w:b w:val="false"/>
          <w:bCs w:val="false"/>
          <w:i/>
          <w:iCs/>
          <w:sz w:val="22"/>
          <w:szCs w:val="22"/>
        </w:rPr>
        <w:t xml:space="preserve">δ</w:t>
      </w:r>
      <w:r>
        <w:rPr>
          <w:rFonts w:ascii="Arial" w:cs="Arial" w:eastAsia="Arial" w:hAnsi="Arial"/>
          <w:b w:val="false"/>
          <w:bCs w:val="false"/>
          <w:i w:val="false"/>
          <w:iCs w:val="false"/>
          <w:sz w:val="22"/>
          <w:szCs w:val="22"/>
          <w:vertAlign w:val="subscript"/>
        </w:rPr>
        <w:t xml:space="preserve">tilt</w:t>
      </w:r>
      <w:r>
        <w:rPr>
          <w:rFonts w:ascii="Arial" w:cs="Arial" w:eastAsia="Arial" w:hAnsi="Arial"/>
          <w:b w:val="false"/>
          <w:bCs w:val="false"/>
          <w:i w:val="false"/>
          <w:iCs w:val="false"/>
          <w:sz w:val="22"/>
          <w:szCs w:val="22"/>
        </w:rPr>
        <w:t xml:space="preserve"> = −Softplus(</w:t>
      </w:r>
      <w:r>
        <w:rPr>
          <w:rFonts w:ascii="Arial" w:cs="Arial" w:eastAsia="Arial" w:hAnsi="Arial"/>
          <w:b w:val="false"/>
          <w:bCs w:val="false"/>
          <w:i/>
          <w:iCs/>
          <w:sz w:val="22"/>
          <w:szCs w:val="22"/>
        </w:rPr>
        <w:t xml:space="preserve">h</w:t>
      </w:r>
      <w:r>
        <w:rPr>
          <w:rFonts w:ascii="Arial" w:cs="Arial" w:eastAsia="Arial" w:hAnsi="Arial"/>
          <w:b w:val="false"/>
          <w:bCs w:val="false"/>
          <w:i w:val="false"/>
          <w:iCs w:val="false"/>
          <w:sz w:val="22"/>
          <w:szCs w:val="22"/>
          <w:vertAlign w:val="subscript"/>
        </w:rPr>
        <w:t xml:space="preserve">tilt</w:t>
      </w:r>
      <w:r>
        <w:rPr>
          <w:rFonts w:ascii="Arial" w:cs="Arial" w:eastAsia="Arial" w:hAnsi="Arial"/>
          <w:b w:val="false"/>
          <w:bCs w:val="false"/>
          <w:i w:val="false"/>
          <w:iCs w:val="false"/>
          <w:sz w:val="22"/>
          <w:szCs w:val="22"/>
        </w:rPr>
        <w:t xml:space="preserve">), because octahedral tilting suppresses the polar instability. The residual branch is gated by a fixed, physics-based confidence factor, </w:t>
      </w:r>
      <w:r>
        <w:rPr>
          <w:rFonts w:ascii="Arial" w:cs="Arial" w:eastAsia="Arial" w:hAnsi="Arial"/>
          <w:b w:val="false"/>
          <w:bCs w:val="false"/>
          <w:i/>
          <w:iCs/>
          <w:sz w:val="22"/>
          <w:szCs w:val="22"/>
        </w:rPr>
        <w:t xml:space="preserve">δ</w:t>
      </w:r>
      <w:r>
        <w:rPr>
          <w:rFonts w:ascii="Arial" w:cs="Arial" w:eastAsia="Arial" w:hAnsi="Arial"/>
          <w:b w:val="false"/>
          <w:bCs w:val="false"/>
          <w:i w:val="false"/>
          <w:iCs w:val="false"/>
          <w:sz w:val="22"/>
          <w:szCs w:val="22"/>
          <w:vertAlign w:val="subscript"/>
        </w:rPr>
        <w:t xml:space="preserve">res</w:t>
      </w:r>
      <w:r>
        <w:rPr>
          <w:rFonts w:ascii="Arial" w:cs="Arial" w:eastAsia="Arial" w:hAnsi="Arial"/>
          <w:b w:val="false"/>
          <w:bCs w:val="false"/>
          <w:i w:val="false"/>
          <w:iCs w:val="false"/>
          <w:sz w:val="22"/>
          <w:szCs w:val="22"/>
        </w:rPr>
        <w:t xml:space="preserve"> = </w:t>
      </w:r>
      <w:r>
        <w:rPr>
          <w:rFonts w:ascii="Arial" w:cs="Arial" w:eastAsia="Arial" w:hAnsi="Arial"/>
          <w:b w:val="false"/>
          <w:bCs w:val="false"/>
          <w:i/>
          <w:iCs/>
          <w:sz w:val="22"/>
          <w:szCs w:val="22"/>
        </w:rPr>
        <w:t xml:space="preserve">σ</w:t>
      </w:r>
      <w:r>
        <w:rPr>
          <w:rFonts w:ascii="Arial" w:cs="Arial" w:eastAsia="Arial" w:hAnsi="Arial"/>
          <w:b w:val="false"/>
          <w:bCs w:val="false"/>
          <w:i w:val="false"/>
          <w:iCs w:val="false"/>
          <w:sz w:val="22"/>
          <w:szCs w:val="22"/>
          <w:vertAlign w:val="subscript"/>
        </w:rPr>
        <w:t xml:space="preserve">conf</w:t>
      </w:r>
      <w:r>
        <w:rPr>
          <w:rFonts w:ascii="Arial" w:cs="Arial" w:eastAsia="Arial" w:hAnsi="Arial"/>
          <w:b w:val="false"/>
          <w:bCs w:val="false"/>
          <w:i w:val="false"/>
          <w:iCs w:val="false"/>
          <w:sz w:val="22"/>
          <w:szCs w:val="22"/>
        </w:rPr>
        <w:t xml:space="preserve"> × Tanh(</w:t>
      </w:r>
      <w:r>
        <w:rPr>
          <w:rFonts w:ascii="Arial" w:cs="Arial" w:eastAsia="Arial" w:hAnsi="Arial"/>
          <w:b w:val="false"/>
          <w:bCs w:val="false"/>
          <w:i/>
          <w:iCs/>
          <w:sz w:val="22"/>
          <w:szCs w:val="22"/>
        </w:rPr>
        <w:t xml:space="preserve">h</w:t>
      </w:r>
      <w:r>
        <w:rPr>
          <w:rFonts w:ascii="Arial" w:cs="Arial" w:eastAsia="Arial" w:hAnsi="Arial"/>
          <w:b w:val="false"/>
          <w:bCs w:val="false"/>
          <w:i w:val="false"/>
          <w:iCs w:val="false"/>
          <w:sz w:val="22"/>
          <w:szCs w:val="22"/>
          <w:vertAlign w:val="subscript"/>
        </w:rPr>
        <w:t xml:space="preserve">res</w:t>
      </w:r>
      <w:r>
        <w:rPr>
          <w:rFonts w:ascii="Arial" w:cs="Arial" w:eastAsia="Arial" w:hAnsi="Arial"/>
          <w:b w:val="false"/>
          <w:bCs w:val="false"/>
          <w:i w:val="false"/>
          <w:iCs w:val="false"/>
          <w:sz w:val="22"/>
          <w:szCs w:val="22"/>
        </w:rPr>
        <w:t xml:space="preserve">) × </w:t>
      </w:r>
      <w:r>
        <w:rPr>
          <w:rFonts w:ascii="Arial" w:cs="Arial" w:eastAsia="Arial" w:hAnsi="Arial"/>
          <w:b w:val="false"/>
          <w:bCs w:val="false"/>
          <w:i/>
          <w:iCs/>
          <w:sz w:val="22"/>
          <w:szCs w:val="22"/>
        </w:rPr>
        <w:t xml:space="preserve">s</w:t>
      </w:r>
      <w:r>
        <w:rPr>
          <w:rFonts w:ascii="Arial" w:cs="Arial" w:eastAsia="Arial" w:hAnsi="Arial"/>
          <w:b w:val="false"/>
          <w:bCs w:val="false"/>
          <w:i w:val="false"/>
          <w:iCs w:val="false"/>
          <w:sz w:val="22"/>
          <w:szCs w:val="22"/>
          <w:vertAlign w:val="subscript"/>
        </w:rPr>
        <w:t xml:space="preserve">res</w:t>
      </w:r>
      <w:r>
        <w:rPr>
          <w:rFonts w:ascii="Arial" w:cs="Arial" w:eastAsia="Arial" w:hAnsi="Arial"/>
          <w:b w:val="false"/>
          <w:bCs w:val="false"/>
          <w:i w:val="false"/>
          <w:iCs w:val="false"/>
          <w:sz w:val="22"/>
          <w:szCs w:val="22"/>
        </w:rPr>
        <w:t xml:space="preserve">, which prevents it from absorbing physics that should live in the LST or tilt branches. A no-CM fallback path is used for the ≈ 14% of compositions for which CM is undefined (Methods).</w:t>
      </w:r>
    </w:p>
    <w:p>
      <w:pPr>
        <w:spacing w:after="120" w:line="252" w:lineRule="auto"/>
        <w:jc w:val="left"/>
      </w:pPr>
      <w:r>
        <w:rPr>
          <w:rFonts w:ascii="Arial" w:cs="Arial" w:eastAsia="Arial" w:hAnsi="Arial"/>
          <w:b w:val="false"/>
          <w:bCs w:val="false"/>
          <w:i w:val="false"/>
          <w:iCs w:val="false"/>
          <w:sz w:val="22"/>
          <w:szCs w:val="22"/>
        </w:rPr>
        <w:t xml:space="preserve">The trunk is a residual multilayer perceptron (MLP) that compresses the 103-feature input to a shared 192-dimensional representation, which is then concatenated with each branch's feature partition (the strict 30/30/43 LST/tilt/residual partition is detailed in Supplementary Fig. 10, and the principal-component-analysis (PCA) projection of the learned trunk representation is shown in Supplementary Fig. 23). The full per-layer architecture is given in Supplementary Table 6; the parameter count is moderate because what is learned is the physics rather than raw capacity. Hidden activations are SiLU and normalisation is LayerNorm per branch. Training uses AdamW with mixup augmentation and stochastic weight averaging (SWA), with full hyperparameters listed in Methods. Five independently seeded models form an ensemble; conformal calibration is performed on a 116-sample family-disjoint holdout (Methods, Supplementary Table 1).</w:t>
      </w:r>
    </w:p>
    <w:p>
      <w:pPr>
        <w:spacing w:after="120" w:line="252" w:lineRule="auto"/>
        <w:jc w:val="left"/>
      </w:pPr>
      <w:r>
        <w:rPr>
          <w:rFonts w:ascii="Arial" w:cs="Arial" w:eastAsia="Arial" w:hAnsi="Arial"/>
          <w:b w:val="false"/>
          <w:bCs w:val="false"/>
          <w:i w:val="false"/>
          <w:iCs w:val="false"/>
          <w:sz w:val="22"/>
          <w:szCs w:val="22"/>
        </w:rPr>
        <w:t xml:space="preserve">Selective branch ablation confirms this decomposition is load-bearing rather than cosmetic: removing the soft-mode branch collapses predictive accuracy (ΔR</w:t>
      </w:r>
      <w:r>
        <w:rPr>
          <w:rFonts w:ascii="Arial" w:cs="Arial" w:eastAsia="Arial" w:hAnsi="Arial"/>
          <w:b w:val="false"/>
          <w:bCs w:val="false"/>
          <w:i w:val="false"/>
          <w:iCs w:val="false"/>
          <w:sz w:val="22"/>
          <w:szCs w:val="22"/>
          <w:vertAlign w:val="superscript"/>
        </w:rPr>
        <w:t xml:space="preserve">2</w:t>
      </w:r>
      <w:r>
        <w:rPr>
          <w:rFonts w:ascii="Arial" w:cs="Arial" w:eastAsia="Arial" w:hAnsi="Arial"/>
          <w:b w:val="false"/>
          <w:bCs w:val="false"/>
          <w:i w:val="false"/>
          <w:iCs w:val="false"/>
          <w:sz w:val="22"/>
          <w:szCs w:val="22"/>
        </w:rPr>
        <w:t xml:space="preserve"> = −0.688; Fig. 4a), whereas the near-inactive tilt branch acts only through electronic coupling (zeroing it gives ΔR</w:t>
      </w:r>
      <w:r>
        <w:rPr>
          <w:rFonts w:ascii="Arial" w:cs="Arial" w:eastAsia="Arial" w:hAnsi="Arial"/>
          <w:b w:val="false"/>
          <w:bCs w:val="false"/>
          <w:i w:val="false"/>
          <w:iCs w:val="false"/>
          <w:sz w:val="22"/>
          <w:szCs w:val="22"/>
          <w:vertAlign w:val="superscript"/>
        </w:rPr>
        <w:t xml:space="preserve">2</w:t>
      </w:r>
      <w:r>
        <w:rPr>
          <w:rFonts w:ascii="Arial" w:cs="Arial" w:eastAsia="Arial" w:hAnsi="Arial"/>
          <w:b w:val="false"/>
          <w:bCs w:val="false"/>
          <w:i w:val="false"/>
          <w:iCs w:val="false"/>
          <w:sz w:val="22"/>
          <w:szCs w:val="22"/>
        </w:rPr>
        <w:t xml:space="preserve"> = 0.000; Fig. 4c), and a counterfactual permutation analysis shows the soft-mode attribution is B-site-independent (96.0% of Δ</w:t>
      </w:r>
      <w:r>
        <w:rPr>
          <w:rFonts w:ascii="Arial" w:cs="Arial" w:eastAsia="Arial" w:hAnsi="Arial"/>
          <w:b w:val="false"/>
          <w:bCs w:val="false"/>
          <w:i/>
          <w:iCs/>
          <w:sz w:val="22"/>
          <w:szCs w:val="22"/>
        </w:rPr>
        <w:t xml:space="preserve">ε</w:t>
      </w:r>
      <w:r>
        <w:rPr>
          <w:rFonts w:ascii="Arial" w:cs="Arial" w:eastAsia="Arial" w:hAnsi="Arial"/>
          <w:b w:val="false"/>
          <w:bCs w:val="false"/>
          <w:i w:val="false"/>
          <w:iCs w:val="false"/>
          <w:sz w:val="22"/>
          <w:szCs w:val="22"/>
          <w:vertAlign w:val="subscript"/>
        </w:rPr>
        <w:t xml:space="preserve">r</w:t>
      </w:r>
      <w:r>
        <w:rPr>
          <w:rFonts w:ascii="Arial" w:cs="Arial" w:eastAsia="Arial" w:hAnsi="Arial"/>
          <w:b w:val="false"/>
          <w:bCs w:val="false"/>
          <w:i w:val="false"/>
          <w:iCs w:val="false"/>
          <w:sz w:val="22"/>
          <w:szCs w:val="22"/>
        </w:rPr>
        <w:t xml:space="preserve"> through </w:t>
      </w:r>
      <w:r>
        <w:rPr>
          <w:rFonts w:ascii="Arial" w:cs="Arial" w:eastAsia="Arial" w:hAnsi="Arial"/>
          <w:b w:val="false"/>
          <w:bCs w:val="false"/>
          <w:i/>
          <w:iCs/>
          <w:sz w:val="22"/>
          <w:szCs w:val="22"/>
        </w:rPr>
        <w:t xml:space="preserve">δ</w:t>
      </w:r>
      <w:r>
        <w:rPr>
          <w:rFonts w:ascii="Arial" w:cs="Arial" w:eastAsia="Arial" w:hAnsi="Arial"/>
          <w:b w:val="false"/>
          <w:bCs w:val="false"/>
          <w:i w:val="false"/>
          <w:iCs w:val="false"/>
          <w:sz w:val="22"/>
          <w:szCs w:val="22"/>
          <w:vertAlign w:val="subscript"/>
        </w:rPr>
        <w:t xml:space="preserve">LST</w:t>
      </w:r>
      <w:r>
        <w:rPr>
          <w:rFonts w:ascii="Arial" w:cs="Arial" w:eastAsia="Arial" w:hAnsi="Arial"/>
          <w:b w:val="false"/>
          <w:bCs w:val="false"/>
          <w:i w:val="false"/>
          <w:iCs w:val="false"/>
          <w:sz w:val="22"/>
          <w:szCs w:val="22"/>
        </w:rPr>
        <w:t xml:space="preserve"> for every B-site family; Fig. 4b). The architecture's built-in per-regime tilt-damping priors are themselves overridden by A-site chemistry, with Regime III reaching the highest observed </w:t>
      </w:r>
      <w:r>
        <w:rPr>
          <w:rFonts w:ascii="Arial" w:cs="Arial" w:eastAsia="Arial" w:hAnsi="Arial"/>
          <w:b w:val="false"/>
          <w:bCs w:val="false"/>
          <w:i/>
          <w:iCs/>
          <w:sz w:val="22"/>
          <w:szCs w:val="22"/>
        </w:rPr>
        <w:t xml:space="preserve">f</w:t>
      </w:r>
      <w:r>
        <w:rPr>
          <w:rFonts w:ascii="Arial" w:cs="Arial" w:eastAsia="Arial" w:hAnsi="Arial"/>
          <w:b w:val="false"/>
          <w:bCs w:val="false"/>
          <w:i w:val="false"/>
          <w:iCs w:val="false"/>
          <w:sz w:val="22"/>
          <w:szCs w:val="22"/>
          <w:vertAlign w:val="subscript"/>
        </w:rPr>
        <w:t xml:space="preserve">LST</w:t>
      </w:r>
      <w:r>
        <w:rPr>
          <w:rFonts w:ascii="Arial" w:cs="Arial" w:eastAsia="Arial" w:hAnsi="Arial"/>
          <w:b w:val="false"/>
          <w:bCs w:val="false"/>
          <w:i w:val="false"/>
          <w:iCs w:val="false"/>
          <w:sz w:val="22"/>
          <w:szCs w:val="22"/>
        </w:rPr>
        <w:t xml:space="preserve"> = 1.516 despite its 0.7× damping prior (Fig. 4d).</w:t>
      </w:r>
    </w:p>
    <w:p>
      <w:pPr>
        <w:sectPr>
          <w:footerReference w:type="default" r:id="rId12"/>
          <w:type w:val="continuous"/>
          <w:pgSz w:w="12240" w:h="15840" w:orient="portrait"/>
          <w:pgMar w:top="1296" w:right="1296" w:bottom="1296" w:left="1296" w:header="708" w:footer="708" w:gutter="0"/>
          <w:pgNumType/>
          <w:docGrid w:linePitch="360"/>
        </w:sectPr>
      </w:pPr>
    </w:p>
    <w:p>
      <w:pPr>
        <w:spacing w:after="120" w:before="360"/>
      </w:pPr>
      <w:r>
        <w:rPr>
          <w:rFonts w:ascii="Arial" w:cs="Arial" w:eastAsia="Arial" w:hAnsi="Arial"/>
          <w:sz w:val="22"/>
          <w:szCs w:val="22"/>
        </w:rPr>
        <w:t xml:space="preserve"/>
      </w:r>
    </w:p>
    <w:p>
      <w:pPr>
        <w:spacing w:after="240" w:before="0"/>
        <w:jc w:val="center"/>
      </w:pPr>
      <w:r>
        <w:drawing>
          <wp:inline distT="0" distB="0" distL="0" distR="0">
            <wp:extent cx="5943600" cy="3609975"/>
            <wp:effectExtent t="0" r="0" b="0" l="0"/>
            <wp:docPr id="1" name="fig2_architecture.png" descr="Figure" title="fig2_architectu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43600" cy="3609975"/>
                    </a:xfrm>
                    <a:prstGeom prst="rect">
                      <a:avLst/>
                    </a:prstGeom>
                  </pic:spPr>
                </pic:pic>
              </a:graphicData>
            </a:graphic>
          </wp:inline>
        </w:drawing>
      </w:r>
    </w:p>
    <w:p>
      <w:pPr>
        <w:spacing w:after="480" w:before="0" w:line="280" w:lineRule="auto"/>
        <w:jc w:val="both"/>
      </w:pPr>
      <w:r>
        <w:rPr>
          <w:rFonts w:ascii="Arial" w:cs="Arial" w:eastAsia="Arial" w:hAnsi="Arial"/>
          <w:b/>
          <w:bCs/>
          <w:i w:val="false"/>
          <w:iCs w:val="false"/>
          <w:sz w:val="18"/>
          <w:szCs w:val="18"/>
        </w:rPr>
        <w:t xml:space="preserve">Fig. 3 | Physics-constrained neural network (PCNN) workflow.</w:t>
      </w:r>
      <w:r>
        <w:rPr>
          <w:rFonts w:ascii="Arial" w:cs="Arial" w:eastAsia="Arial" w:hAnsi="Arial"/>
          <w:b w:val="false"/>
          <w:bCs w:val="false"/>
          <w:i w:val="false"/>
          <w:iCs w:val="false"/>
          <w:sz w:val="18"/>
          <w:szCs w:val="18"/>
        </w:rPr>
        <w:t xml:space="preserve"> End-to-end pipeline from crystal chemistry to interpretable dielectric prediction, organised in four stages. </w:t>
      </w:r>
      <w:r>
        <w:rPr>
          <w:rFonts w:ascii="Arial" w:cs="Arial" w:eastAsia="Arial" w:hAnsi="Arial"/>
          <w:b/>
          <w:bCs/>
          <w:i w:val="false"/>
          <w:iCs w:val="false"/>
          <w:sz w:val="18"/>
          <w:szCs w:val="18"/>
        </w:rPr>
        <w:t xml:space="preserve">(1) Crystal-chemical space:</w:t>
      </w:r>
      <w:r>
        <w:rPr>
          <w:rFonts w:ascii="Arial" w:cs="Arial" w:eastAsia="Arial" w:hAnsi="Arial"/>
          <w:b w:val="false"/>
          <w:bCs w:val="false"/>
          <w:i w:val="false"/>
          <w:iCs w:val="false"/>
          <w:sz w:val="18"/>
          <w:szCs w:val="18"/>
        </w:rPr>
        <w:t xml:space="preserve"> the curated 1,304-composition ABO</w:t>
      </w:r>
      <w:r>
        <w:rPr>
          <w:rFonts w:ascii="Arial" w:cs="Arial" w:eastAsia="Arial" w:hAnsi="Arial"/>
          <w:b w:val="false"/>
          <w:bCs w:val="false"/>
          <w:i w:val="false"/>
          <w:iCs w:val="false"/>
          <w:sz w:val="18"/>
          <w:szCs w:val="18"/>
          <w:vertAlign w:val="subscript"/>
        </w:rPr>
        <w:t xml:space="preserve">3</w:t>
      </w:r>
      <w:r>
        <w:rPr>
          <w:rFonts w:ascii="Arial" w:cs="Arial" w:eastAsia="Arial" w:hAnsi="Arial"/>
          <w:b w:val="false"/>
          <w:bCs w:val="false"/>
          <w:i w:val="false"/>
          <w:iCs w:val="false"/>
          <w:sz w:val="18"/>
          <w:szCs w:val="18"/>
        </w:rPr>
        <w:t xml:space="preserve"> corpus spans A-site (Ba, Sr, Ca, La, Pb) and d</w:t>
      </w:r>
      <w:r>
        <w:rPr>
          <w:rFonts w:ascii="Arial" w:cs="Arial" w:eastAsia="Arial" w:hAnsi="Arial"/>
          <w:b w:val="false"/>
          <w:bCs w:val="false"/>
          <w:i w:val="false"/>
          <w:iCs w:val="false"/>
          <w:sz w:val="18"/>
          <w:szCs w:val="18"/>
          <w:vertAlign w:val="superscript"/>
        </w:rPr>
        <w:t xml:space="preserve">0</w:t>
      </w:r>
      <w:r>
        <w:rPr>
          <w:rFonts w:ascii="Arial" w:cs="Arial" w:eastAsia="Arial" w:hAnsi="Arial"/>
          <w:b w:val="false"/>
          <w:bCs w:val="false"/>
          <w:i w:val="false"/>
          <w:iCs w:val="false"/>
          <w:sz w:val="18"/>
          <w:szCs w:val="18"/>
        </w:rPr>
        <w:t xml:space="preserve"> B-site (Ti, Nb, Ta, Zr, Sn) chemistries across the Reaney tolerance-factor regimes (Ia–III), after filtering for perovskite validity and crystallographic consistency. </w:t>
      </w:r>
      <w:r>
        <w:rPr>
          <w:rFonts w:ascii="Arial" w:cs="Arial" w:eastAsia="Arial" w:hAnsi="Arial"/>
          <w:b/>
          <w:bCs/>
          <w:i w:val="false"/>
          <w:iCs w:val="false"/>
          <w:sz w:val="18"/>
          <w:szCs w:val="18"/>
        </w:rPr>
        <w:t xml:space="preserve">(2) Physics-guided descriptor representation:</w:t>
      </w:r>
      <w:r>
        <w:rPr>
          <w:rFonts w:ascii="Arial" w:cs="Arial" w:eastAsia="Arial" w:hAnsi="Arial"/>
          <w:b w:val="false"/>
          <w:bCs w:val="false"/>
          <w:i w:val="false"/>
          <w:iCs w:val="false"/>
          <w:sz w:val="18"/>
          <w:szCs w:val="18"/>
        </w:rPr>
        <w:t xml:space="preserve"> each composition is encoded by physically grouped descriptors, structural (tolerance and octahedral factors, ionic-radius mismatch), lattice-dynamical (ω</w:t>
      </w:r>
      <w:r>
        <w:rPr>
          <w:rFonts w:ascii="Arial" w:cs="Arial" w:eastAsia="Arial" w:hAnsi="Arial"/>
          <w:b w:val="false"/>
          <w:bCs w:val="false"/>
          <w:i w:val="false"/>
          <w:iCs w:val="false"/>
          <w:sz w:val="18"/>
          <w:szCs w:val="18"/>
          <w:vertAlign w:val="subscript"/>
        </w:rPr>
        <w:t xml:space="preserve">TO</w:t>
      </w:r>
      <w:r>
        <w:rPr>
          <w:rFonts w:ascii="Arial" w:cs="Arial" w:eastAsia="Arial" w:hAnsi="Arial"/>
          <w:b w:val="false"/>
          <w:bCs w:val="false"/>
          <w:i w:val="false"/>
          <w:iCs w:val="false"/>
          <w:sz w:val="18"/>
          <w:szCs w:val="18"/>
        </w:rPr>
        <w:t xml:space="preserve">/ω</w:t>
      </w:r>
      <w:r>
        <w:rPr>
          <w:rFonts w:ascii="Arial" w:cs="Arial" w:eastAsia="Arial" w:hAnsi="Arial"/>
          <w:b w:val="false"/>
          <w:bCs w:val="false"/>
          <w:i w:val="false"/>
          <w:iCs w:val="false"/>
          <w:sz w:val="18"/>
          <w:szCs w:val="18"/>
          <w:vertAlign w:val="subscript"/>
        </w:rPr>
        <w:t xml:space="preserve">LO</w:t>
      </w:r>
      <w:r>
        <w:rPr>
          <w:rFonts w:ascii="Arial" w:cs="Arial" w:eastAsia="Arial" w:hAnsi="Arial"/>
          <w:b w:val="false"/>
          <w:bCs w:val="false"/>
          <w:i w:val="false"/>
          <w:iCs w:val="false"/>
          <w:sz w:val="18"/>
          <w:szCs w:val="18"/>
        </w:rPr>
        <w:t xml:space="preserve"> surrogates, soft-mode and displacement proxies), bonding (electronegativity mismatch, covalency, bond-valence) and stability (global instability index), and embedded in a physics-informed representation space. </w:t>
      </w:r>
      <w:r>
        <w:rPr>
          <w:rFonts w:ascii="Arial" w:cs="Arial" w:eastAsia="Arial" w:hAnsi="Arial"/>
          <w:b/>
          <w:bCs/>
          <w:i w:val="false"/>
          <w:iCs w:val="false"/>
          <w:sz w:val="18"/>
          <w:szCs w:val="18"/>
        </w:rPr>
        <w:t xml:space="preserve">(3) Physics-constrained mechanism learning:</w:t>
      </w:r>
      <w:r>
        <w:rPr>
          <w:rFonts w:ascii="Arial" w:cs="Arial" w:eastAsia="Arial" w:hAnsi="Arial"/>
          <w:b w:val="false"/>
          <w:bCs w:val="false"/>
          <w:i w:val="false"/>
          <w:iCs w:val="false"/>
          <w:sz w:val="18"/>
          <w:szCs w:val="18"/>
        </w:rPr>
        <w:t xml:space="preserve"> the network produces the additive decomposition ε</w:t>
      </w:r>
      <w:r>
        <w:rPr>
          <w:rFonts w:ascii="Arial" w:cs="Arial" w:eastAsia="Arial" w:hAnsi="Arial"/>
          <w:b w:val="false"/>
          <w:bCs w:val="false"/>
          <w:i w:val="false"/>
          <w:iCs w:val="false"/>
          <w:sz w:val="18"/>
          <w:szCs w:val="18"/>
          <w:vertAlign w:val="subscript"/>
        </w:rPr>
        <w:t xml:space="preserve">r</w:t>
      </w:r>
      <w:r>
        <w:rPr>
          <w:rFonts w:ascii="Arial" w:cs="Arial" w:eastAsia="Arial" w:hAnsi="Arial"/>
          <w:b w:val="false"/>
          <w:bCs w:val="false"/>
          <w:i w:val="false"/>
          <w:iCs w:val="false"/>
          <w:sz w:val="18"/>
          <w:szCs w:val="18"/>
        </w:rPr>
        <w:t xml:space="preserve"> = ε</w:t>
      </w:r>
      <w:r>
        <w:rPr>
          <w:rFonts w:ascii="Arial" w:cs="Arial" w:eastAsia="Arial" w:hAnsi="Arial"/>
          <w:b w:val="false"/>
          <w:bCs w:val="false"/>
          <w:i w:val="false"/>
          <w:iCs w:val="false"/>
          <w:sz w:val="18"/>
          <w:szCs w:val="18"/>
          <w:vertAlign w:val="subscript"/>
        </w:rPr>
        <w:t xml:space="preserve">CM</w:t>
      </w:r>
      <w:r>
        <w:rPr>
          <w:rFonts w:ascii="Arial" w:cs="Arial" w:eastAsia="Arial" w:hAnsi="Arial"/>
          <w:b w:val="false"/>
          <w:bCs w:val="false"/>
          <w:i w:val="false"/>
          <w:iCs w:val="false"/>
          <w:sz w:val="18"/>
          <w:szCs w:val="18"/>
        </w:rPr>
        <w:t xml:space="preserve"> + δ</w:t>
      </w:r>
      <w:r>
        <w:rPr>
          <w:rFonts w:ascii="Arial" w:cs="Arial" w:eastAsia="Arial" w:hAnsi="Arial"/>
          <w:b w:val="false"/>
          <w:bCs w:val="false"/>
          <w:i w:val="false"/>
          <w:iCs w:val="false"/>
          <w:sz w:val="18"/>
          <w:szCs w:val="18"/>
          <w:vertAlign w:val="subscript"/>
        </w:rPr>
        <w:t xml:space="preserve">LST</w:t>
      </w:r>
      <w:r>
        <w:rPr>
          <w:rFonts w:ascii="Arial" w:cs="Arial" w:eastAsia="Arial" w:hAnsi="Arial"/>
          <w:b w:val="false"/>
          <w:bCs w:val="false"/>
          <w:i w:val="false"/>
          <w:iCs w:val="false"/>
          <w:sz w:val="18"/>
          <w:szCs w:val="18"/>
        </w:rPr>
        <w:t xml:space="preserve"> + δ</w:t>
      </w:r>
      <w:r>
        <w:rPr>
          <w:rFonts w:ascii="Arial" w:cs="Arial" w:eastAsia="Arial" w:hAnsi="Arial"/>
          <w:b w:val="false"/>
          <w:bCs w:val="false"/>
          <w:i w:val="false"/>
          <w:iCs w:val="false"/>
          <w:sz w:val="18"/>
          <w:szCs w:val="18"/>
          <w:vertAlign w:val="subscript"/>
        </w:rPr>
        <w:t xml:space="preserve">tilt</w:t>
      </w:r>
      <w:r>
        <w:rPr>
          <w:rFonts w:ascii="Arial" w:cs="Arial" w:eastAsia="Arial" w:hAnsi="Arial"/>
          <w:b w:val="false"/>
          <w:bCs w:val="false"/>
          <w:i w:val="false"/>
          <w:iCs w:val="false"/>
          <w:sz w:val="18"/>
          <w:szCs w:val="18"/>
        </w:rPr>
        <w:t xml:space="preserve"> + δ</w:t>
      </w:r>
      <w:r>
        <w:rPr>
          <w:rFonts w:ascii="Arial" w:cs="Arial" w:eastAsia="Arial" w:hAnsi="Arial"/>
          <w:b w:val="false"/>
          <w:bCs w:val="false"/>
          <w:i w:val="false"/>
          <w:iCs w:val="false"/>
          <w:sz w:val="18"/>
          <w:szCs w:val="18"/>
          <w:vertAlign w:val="subscript"/>
        </w:rPr>
        <w:t xml:space="preserve">res</w:t>
      </w:r>
      <w:r>
        <w:rPr>
          <w:rFonts w:ascii="Arial" w:cs="Arial" w:eastAsia="Arial" w:hAnsi="Arial"/>
          <w:b w:val="false"/>
          <w:bCs w:val="false"/>
          <w:i w:val="false"/>
          <w:iCs w:val="false"/>
          <w:sz w:val="18"/>
          <w:szCs w:val="18"/>
        </w:rPr>
        <w:t xml:space="preserve">, in which the Clausius–Mossotti baseline is parameter-free, the soft-mode branch is forced non-negative (Softplus), the octahedral-tilt branch is forced non-positive (−Softplus) and a confidence-gated residual captures remaining effects; hard sign constraints and physics regularisers (L</w:t>
      </w:r>
      <w:r>
        <w:rPr>
          <w:rFonts w:ascii="Arial" w:cs="Arial" w:eastAsia="Arial" w:hAnsi="Arial"/>
          <w:b w:val="false"/>
          <w:bCs w:val="false"/>
          <w:i w:val="false"/>
          <w:iCs w:val="false"/>
          <w:sz w:val="18"/>
          <w:szCs w:val="18"/>
        </w:rPr>
        <w:t xml:space="preserve">_</w:t>
      </w:r>
      <w:r>
        <w:rPr>
          <w:rFonts w:ascii="Arial" w:cs="Arial" w:eastAsia="Arial" w:hAnsi="Arial"/>
          <w:b w:val="false"/>
          <w:bCs w:val="false"/>
          <w:i w:val="false"/>
          <w:iCs w:val="false"/>
          <w:sz w:val="18"/>
          <w:szCs w:val="18"/>
        </w:rPr>
        <w:t xml:space="preserve">LST, L</w:t>
      </w:r>
      <w:r>
        <w:rPr>
          <w:rFonts w:ascii="Arial" w:cs="Arial" w:eastAsia="Arial" w:hAnsi="Arial"/>
          <w:b w:val="false"/>
          <w:bCs w:val="false"/>
          <w:i w:val="false"/>
          <w:iCs w:val="false"/>
          <w:sz w:val="18"/>
          <w:szCs w:val="18"/>
        </w:rPr>
        <w:t xml:space="preserve">_</w:t>
      </w:r>
      <w:r>
        <w:rPr>
          <w:rFonts w:ascii="Arial" w:cs="Arial" w:eastAsia="Arial" w:hAnsi="Arial"/>
          <w:b w:val="false"/>
          <w:bCs w:val="false"/>
          <w:i w:val="false"/>
          <w:iCs w:val="false"/>
          <w:sz w:val="18"/>
          <w:szCs w:val="18"/>
        </w:rPr>
        <w:t xml:space="preserve">GII, L</w:t>
      </w:r>
      <w:r>
        <w:rPr>
          <w:rFonts w:ascii="Arial" w:cs="Arial" w:eastAsia="Arial" w:hAnsi="Arial"/>
          <w:b w:val="false"/>
          <w:bCs w:val="false"/>
          <w:i w:val="false"/>
          <w:iCs w:val="false"/>
          <w:sz w:val="18"/>
          <w:szCs w:val="18"/>
        </w:rPr>
        <w:t xml:space="preserve">_</w:t>
      </w:r>
      <w:r>
        <w:rPr>
          <w:rFonts w:ascii="Arial" w:cs="Arial" w:eastAsia="Arial" w:hAnsi="Arial"/>
          <w:b w:val="false"/>
          <w:bCs w:val="false"/>
          <w:i w:val="false"/>
          <w:iCs w:val="false"/>
          <w:sz w:val="18"/>
          <w:szCs w:val="18"/>
        </w:rPr>
        <w:t xml:space="preserve">VCA) enforce physical consistency. </w:t>
      </w:r>
      <w:r>
        <w:rPr>
          <w:rFonts w:ascii="Arial" w:cs="Arial" w:eastAsia="Arial" w:hAnsi="Arial"/>
          <w:b/>
          <w:bCs/>
          <w:i w:val="false"/>
          <w:iCs w:val="false"/>
          <w:sz w:val="18"/>
          <w:szCs w:val="18"/>
        </w:rPr>
        <w:t xml:space="preserve">(4) Generalisation and reliability:</w:t>
      </w:r>
      <w:r>
        <w:rPr>
          <w:rFonts w:ascii="Arial" w:cs="Arial" w:eastAsia="Arial" w:hAnsi="Arial"/>
          <w:b w:val="false"/>
          <w:bCs w:val="false"/>
          <w:i w:val="false"/>
          <w:iCs w:val="false"/>
          <w:sz w:val="18"/>
          <w:szCs w:val="18"/>
        </w:rPr>
        <w:t xml:space="preserve"> family-aware GroupShuffleSplit evaluation, a dual-layer applicability domain (kernel-density estimate + nearest-neighbour distance) and split-conformal calibration (90% nominal → 90.5% empirical coverage) establish where predictions are trustworthy. The pipeline yields the outcomes summarised at the foot of the figure: soft-mode amplification, octahedral-tilt suppression, the A-site lone-pair hierarchy (Pb &gt; Ca &gt; La &gt; Sr &gt; Ba), regime-resolved interpretation, calibrated uncertainty and Pb-free high-ε</w:t>
      </w:r>
      <w:r>
        <w:rPr>
          <w:rFonts w:ascii="Arial" w:cs="Arial" w:eastAsia="Arial" w:hAnsi="Arial"/>
          <w:b w:val="false"/>
          <w:bCs w:val="false"/>
          <w:i w:val="false"/>
          <w:iCs w:val="false"/>
          <w:sz w:val="18"/>
          <w:szCs w:val="18"/>
          <w:vertAlign w:val="subscript"/>
        </w:rPr>
        <w:t xml:space="preserve">r</w:t>
      </w:r>
      <w:r>
        <w:rPr>
          <w:rFonts w:ascii="Arial" w:cs="Arial" w:eastAsia="Arial" w:hAnsi="Arial"/>
          <w:b w:val="false"/>
          <w:bCs w:val="false"/>
          <w:i w:val="false"/>
          <w:iCs w:val="false"/>
          <w:sz w:val="18"/>
          <w:szCs w:val="18"/>
        </w:rPr>
        <w:t xml:space="preserve"> discovery. Source data are provided as a Source Data file.</w:t>
      </w:r>
    </w:p>
    <w:p>
      <w:pPr>
        <w:sectPr>
          <w:footerReference w:type="default" r:id="rId13"/>
          <w:type w:val="continuous"/>
          <w:pgSz w:w="12240" w:h="15840" w:orient="portrait"/>
          <w:pgMar w:top="1296" w:right="1296" w:bottom="1296" w:left="1296" w:header="708" w:footer="708" w:gutter="0"/>
          <w:pgNumType/>
          <w:docGrid w:linePitch="360"/>
        </w:sectPr>
      </w:pPr>
    </w:p>
    <w:p>
      <w:pPr>
        <w:spacing w:after="240" w:before="0"/>
      </w:pPr>
      <w:r>
        <w:rPr>
          <w:rFonts w:ascii="Arial" w:cs="Arial" w:eastAsia="Arial" w:hAnsi="Arial"/>
          <w:sz w:val="22"/>
          <w:szCs w:val="22"/>
        </w:rPr>
        <w:t xml:space="preserve"/>
      </w:r>
    </w:p>
    <w:p>
      <w:pPr>
        <w:sectPr>
          <w:footerReference w:type="default" r:id="rId14"/>
          <w:type w:val="continuous"/>
          <w:pgSz w:w="12240" w:h="15840" w:orient="portrait"/>
          <w:pgMar w:top="1296" w:right="1296" w:bottom="1296" w:left="1296" w:header="708" w:footer="708" w:gutter="0"/>
          <w:pgNumType/>
          <w:docGrid w:linePitch="360"/>
        </w:sectPr>
      </w:pPr>
    </w:p>
    <w:p>
      <w:pPr>
        <w:spacing w:after="120" w:before="360"/>
      </w:pPr>
      <w:r>
        <w:rPr>
          <w:rFonts w:ascii="Arial" w:cs="Arial" w:eastAsia="Arial" w:hAnsi="Arial"/>
          <w:sz w:val="22"/>
          <w:szCs w:val="22"/>
        </w:rPr>
        <w:t xml:space="preserve"/>
      </w:r>
    </w:p>
    <w:p>
      <w:pPr>
        <w:spacing w:after="240" w:before="0"/>
        <w:jc w:val="center"/>
      </w:pPr>
      <w:r>
        <w:drawing>
          <wp:inline distT="0" distB="0" distL="0" distR="0">
            <wp:extent cx="5943600" cy="4457700"/>
            <wp:effectExtent t="0" r="0" b="0" l="0"/>
            <wp:docPr id="1" name="fig5_causality.png" descr="Figure" title="fig5_causal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943600" cy="4457700"/>
                    </a:xfrm>
                    <a:prstGeom prst="rect">
                      <a:avLst/>
                    </a:prstGeom>
                  </pic:spPr>
                </pic:pic>
              </a:graphicData>
            </a:graphic>
          </wp:inline>
        </w:drawing>
      </w:r>
    </w:p>
    <w:p>
      <w:pPr>
        <w:spacing w:after="480" w:before="0" w:line="280" w:lineRule="auto"/>
        <w:jc w:val="both"/>
      </w:pPr>
      <w:r>
        <w:rPr>
          <w:rFonts w:ascii="Arial" w:cs="Arial" w:eastAsia="Arial" w:hAnsi="Arial"/>
          <w:b/>
          <w:bCs/>
          <w:i w:val="false"/>
          <w:iCs w:val="false"/>
          <w:sz w:val="18"/>
          <w:szCs w:val="18"/>
        </w:rPr>
        <w:t xml:space="preserve">Fig. 4 | Branch decomposition and counterfactual analysis.</w:t>
      </w:r>
      <w:r>
        <w:rPr>
          <w:rFonts w:ascii="Arial" w:cs="Arial" w:eastAsia="Arial" w:hAnsi="Arial"/>
          <w:b w:val="false"/>
          <w:bCs w:val="false"/>
          <w:i w:val="false"/>
          <w:iCs w:val="false"/>
          <w:sz w:val="18"/>
          <w:szCs w:val="18"/>
        </w:rPr>
        <w:t xml:space="preserve"> </w:t>
      </w:r>
      <w:r>
        <w:rPr>
          <w:rFonts w:ascii="Arial" w:cs="Arial" w:eastAsia="Arial" w:hAnsi="Arial"/>
          <w:b/>
          <w:bCs/>
          <w:i w:val="false"/>
          <w:iCs w:val="false"/>
          <w:sz w:val="18"/>
          <w:szCs w:val="18"/>
        </w:rPr>
        <w:t xml:space="preserve">a</w:t>
      </w:r>
      <w:r>
        <w:rPr>
          <w:rFonts w:ascii="Arial" w:cs="Arial" w:eastAsia="Arial" w:hAnsi="Arial"/>
          <w:b w:val="false"/>
          <w:bCs w:val="false"/>
          <w:i w:val="false"/>
          <w:iCs w:val="false"/>
          <w:sz w:val="18"/>
          <w:szCs w:val="18"/>
        </w:rPr>
        <w:t xml:space="preserve">, Branch ablation: 3-fold Strat-GSS cross-validation </w:t>
      </w:r>
      <w:r>
        <w:rPr>
          <w:rFonts w:ascii="Arial" w:cs="Arial" w:eastAsia="Arial" w:hAnsi="Arial"/>
          <w:b w:val="false"/>
          <w:bCs w:val="false"/>
          <w:i/>
          <w:iCs/>
          <w:sz w:val="18"/>
          <w:szCs w:val="18"/>
        </w:rPr>
        <w:t xml:space="preserve">R</w:t>
      </w:r>
      <w:r>
        <w:rPr>
          <w:rFonts w:ascii="Arial" w:cs="Arial" w:eastAsia="Arial" w:hAnsi="Arial"/>
          <w:b w:val="false"/>
          <w:bCs w:val="false"/>
          <w:i w:val="false"/>
          <w:iCs w:val="false"/>
          <w:sz w:val="18"/>
          <w:szCs w:val="18"/>
          <w:vertAlign w:val="superscript"/>
        </w:rPr>
        <w:t xml:space="preserve">2</w:t>
      </w:r>
      <w:r>
        <w:rPr>
          <w:rFonts w:ascii="Arial" w:cs="Arial" w:eastAsia="Arial" w:hAnsi="Arial"/>
          <w:b w:val="false"/>
          <w:bCs w:val="false"/>
          <w:i w:val="false"/>
          <w:iCs w:val="false"/>
          <w:sz w:val="18"/>
          <w:szCs w:val="18"/>
        </w:rPr>
        <w:t xml:space="preserve"> (3 seeds, 500 epochs) when each branch is selectively removed and the model retrained, full PCNN (0.894), no CM (0.725, ΔR</w:t>
      </w:r>
      <w:r>
        <w:rPr>
          <w:rFonts w:ascii="Arial" w:cs="Arial" w:eastAsia="Arial" w:hAnsi="Arial"/>
          <w:b w:val="false"/>
          <w:bCs w:val="false"/>
          <w:i w:val="false"/>
          <w:iCs w:val="false"/>
          <w:sz w:val="18"/>
          <w:szCs w:val="18"/>
          <w:vertAlign w:val="superscript"/>
        </w:rPr>
        <w:t xml:space="preserve">2</w:t>
      </w:r>
      <w:r>
        <w:rPr>
          <w:rFonts w:ascii="Arial" w:cs="Arial" w:eastAsia="Arial" w:hAnsi="Arial"/>
          <w:b w:val="false"/>
          <w:bCs w:val="false"/>
          <w:i w:val="false"/>
          <w:iCs w:val="false"/>
          <w:sz w:val="18"/>
          <w:szCs w:val="18"/>
        </w:rPr>
        <w:t xml:space="preserve"> = −0.169), no LST (0.206, ΔR</w:t>
      </w:r>
      <w:r>
        <w:rPr>
          <w:rFonts w:ascii="Arial" w:cs="Arial" w:eastAsia="Arial" w:hAnsi="Arial"/>
          <w:b w:val="false"/>
          <w:bCs w:val="false"/>
          <w:i w:val="false"/>
          <w:iCs w:val="false"/>
          <w:sz w:val="18"/>
          <w:szCs w:val="18"/>
          <w:vertAlign w:val="superscript"/>
        </w:rPr>
        <w:t xml:space="preserve">2</w:t>
      </w:r>
      <w:r>
        <w:rPr>
          <w:rFonts w:ascii="Arial" w:cs="Arial" w:eastAsia="Arial" w:hAnsi="Arial"/>
          <w:b w:val="false"/>
          <w:bCs w:val="false"/>
          <w:i w:val="false"/>
          <w:iCs w:val="false"/>
          <w:sz w:val="18"/>
          <w:szCs w:val="18"/>
        </w:rPr>
        <w:t xml:space="preserve"> = −0.688), no tilt (0.895, ΔR</w:t>
      </w:r>
      <w:r>
        <w:rPr>
          <w:rFonts w:ascii="Arial" w:cs="Arial" w:eastAsia="Arial" w:hAnsi="Arial"/>
          <w:b w:val="false"/>
          <w:bCs w:val="false"/>
          <w:i w:val="false"/>
          <w:iCs w:val="false"/>
          <w:sz w:val="18"/>
          <w:szCs w:val="18"/>
          <w:vertAlign w:val="superscript"/>
        </w:rPr>
        <w:t xml:space="preserve">2</w:t>
      </w:r>
      <w:r>
        <w:rPr>
          <w:rFonts w:ascii="Arial" w:cs="Arial" w:eastAsia="Arial" w:hAnsi="Arial"/>
          <w:b w:val="false"/>
          <w:bCs w:val="false"/>
          <w:i w:val="false"/>
          <w:iCs w:val="false"/>
          <w:sz w:val="18"/>
          <w:szCs w:val="18"/>
        </w:rPr>
        <w:t xml:space="preserve"> = +0.001), no residual (0.893, ΔR</w:t>
      </w:r>
      <w:r>
        <w:rPr>
          <w:rFonts w:ascii="Arial" w:cs="Arial" w:eastAsia="Arial" w:hAnsi="Arial"/>
          <w:b w:val="false"/>
          <w:bCs w:val="false"/>
          <w:i w:val="false"/>
          <w:iCs w:val="false"/>
          <w:sz w:val="18"/>
          <w:szCs w:val="18"/>
          <w:vertAlign w:val="superscript"/>
        </w:rPr>
        <w:t xml:space="preserve">2</w:t>
      </w:r>
      <w:r>
        <w:rPr>
          <w:rFonts w:ascii="Arial" w:cs="Arial" w:eastAsia="Arial" w:hAnsi="Arial"/>
          <w:b w:val="false"/>
          <w:bCs w:val="false"/>
          <w:i w:val="false"/>
          <w:iCs w:val="false"/>
          <w:sz w:val="18"/>
          <w:szCs w:val="18"/>
        </w:rPr>
        <w:t xml:space="preserve"> = −0.001), and the CM anchor alone (−0.875). The LST branch alone accounts for the majority of model capacity; tilt and residual function as physics constraints rather than capacity providers. </w:t>
      </w:r>
      <w:r>
        <w:rPr>
          <w:rFonts w:ascii="Arial" w:cs="Arial" w:eastAsia="Arial" w:hAnsi="Arial"/>
          <w:b/>
          <w:bCs/>
          <w:i w:val="false"/>
          <w:iCs w:val="false"/>
          <w:sz w:val="18"/>
          <w:szCs w:val="18"/>
        </w:rPr>
        <w:t xml:space="preserve">b</w:t>
      </w:r>
      <w:r>
        <w:rPr>
          <w:rFonts w:ascii="Arial" w:cs="Arial" w:eastAsia="Arial" w:hAnsi="Arial"/>
          <w:b w:val="false"/>
          <w:bCs w:val="false"/>
          <w:i w:val="false"/>
          <w:iCs w:val="false"/>
          <w:sz w:val="18"/>
          <w:szCs w:val="18"/>
        </w:rPr>
        <w:t xml:space="preserve">, Counterfactual permutation analysis: for each B-site family, we compute the fraction of Δε</w:t>
      </w:r>
      <w:r>
        <w:rPr>
          <w:rFonts w:ascii="Arial" w:cs="Arial" w:eastAsia="Arial" w:hAnsi="Arial"/>
          <w:b w:val="false"/>
          <w:bCs w:val="false"/>
          <w:i w:val="false"/>
          <w:iCs w:val="false"/>
          <w:sz w:val="18"/>
          <w:szCs w:val="18"/>
          <w:vertAlign w:val="subscript"/>
        </w:rPr>
        <w:t xml:space="preserve">r</w:t>
      </w:r>
      <w:r>
        <w:rPr>
          <w:rFonts w:ascii="Arial" w:cs="Arial" w:eastAsia="Arial" w:hAnsi="Arial"/>
          <w:b w:val="false"/>
          <w:bCs w:val="false"/>
          <w:i w:val="false"/>
          <w:iCs w:val="false"/>
          <w:sz w:val="18"/>
          <w:szCs w:val="18"/>
        </w:rPr>
        <w:t xml:space="preserve"> assigned to the LST branch when the input is shuffled. The mean across families is 96.0% and the decomposition assigns ≥ 96% of Δε</w:t>
      </w:r>
      <w:r>
        <w:rPr>
          <w:rFonts w:ascii="Arial" w:cs="Arial" w:eastAsia="Arial" w:hAnsi="Arial"/>
          <w:b w:val="false"/>
          <w:bCs w:val="false"/>
          <w:i w:val="false"/>
          <w:iCs w:val="false"/>
          <w:sz w:val="18"/>
          <w:szCs w:val="18"/>
          <w:vertAlign w:val="subscript"/>
        </w:rPr>
        <w:t xml:space="preserve">r</w:t>
      </w:r>
      <w:r>
        <w:rPr>
          <w:rFonts w:ascii="Arial" w:cs="Arial" w:eastAsia="Arial" w:hAnsi="Arial"/>
          <w:b w:val="false"/>
          <w:bCs w:val="false"/>
          <w:i w:val="false"/>
          <w:iCs w:val="false"/>
          <w:sz w:val="18"/>
          <w:szCs w:val="18"/>
        </w:rPr>
        <w:t xml:space="preserve"> to δ</w:t>
      </w:r>
      <w:r>
        <w:rPr>
          <w:rFonts w:ascii="Arial" w:cs="Arial" w:eastAsia="Arial" w:hAnsi="Arial"/>
          <w:b w:val="false"/>
          <w:bCs w:val="false"/>
          <w:i w:val="false"/>
          <w:iCs w:val="false"/>
          <w:sz w:val="18"/>
          <w:szCs w:val="18"/>
          <w:vertAlign w:val="subscript"/>
        </w:rPr>
        <w:t xml:space="preserve">LST</w:t>
      </w:r>
      <w:r>
        <w:rPr>
          <w:rFonts w:ascii="Arial" w:cs="Arial" w:eastAsia="Arial" w:hAnsi="Arial"/>
          <w:b w:val="false"/>
          <w:bCs w:val="false"/>
          <w:i w:val="false"/>
          <w:iCs w:val="false"/>
          <w:sz w:val="18"/>
          <w:szCs w:val="18"/>
        </w:rPr>
        <w:t xml:space="preserve"> across every B-site family, demonstrating that the soft-mode channel is A-site-controlled and B-site-independent. </w:t>
      </w:r>
      <w:r>
        <w:rPr>
          <w:rFonts w:ascii="Arial" w:cs="Arial" w:eastAsia="Arial" w:hAnsi="Arial"/>
          <w:b/>
          <w:bCs/>
          <w:i w:val="false"/>
          <w:iCs w:val="false"/>
          <w:sz w:val="18"/>
          <w:szCs w:val="18"/>
        </w:rPr>
        <w:t xml:space="preserve">c</w:t>
      </w:r>
      <w:r>
        <w:rPr>
          <w:rFonts w:ascii="Arial" w:cs="Arial" w:eastAsia="Arial" w:hAnsi="Arial"/>
          <w:b w:val="false"/>
          <w:bCs w:val="false"/>
          <w:i w:val="false"/>
          <w:iCs w:val="false"/>
          <w:sz w:val="18"/>
          <w:szCs w:val="18"/>
        </w:rPr>
        <w:t xml:space="preserve">, Tilt-branch causal probe: zeroing the tilt branch output in Regime II + III holdout samples produces ΔR</w:t>
      </w:r>
      <w:r>
        <w:rPr>
          <w:rFonts w:ascii="Arial" w:cs="Arial" w:eastAsia="Arial" w:hAnsi="Arial"/>
          <w:b w:val="false"/>
          <w:bCs w:val="false"/>
          <w:i w:val="false"/>
          <w:iCs w:val="false"/>
          <w:sz w:val="18"/>
          <w:szCs w:val="18"/>
          <w:vertAlign w:val="superscript"/>
        </w:rPr>
        <w:t xml:space="preserve">2</w:t>
      </w:r>
      <w:r>
        <w:rPr>
          <w:rFonts w:ascii="Arial" w:cs="Arial" w:eastAsia="Arial" w:hAnsi="Arial"/>
          <w:b w:val="false"/>
          <w:bCs w:val="false"/>
          <w:i w:val="false"/>
          <w:iCs w:val="false"/>
          <w:sz w:val="18"/>
          <w:szCs w:val="18"/>
        </w:rPr>
        <w:t xml:space="preserve"> = 0.0000, while removing the tilt branch entirely (panel a) is statistically indistinguishable. This indicates that the tilt branch operates through electronic coupling (top feature: χ</w:t>
      </w:r>
      <w:r>
        <w:rPr>
          <w:rFonts w:ascii="Arial" w:cs="Arial" w:eastAsia="Arial" w:hAnsi="Arial"/>
          <w:b w:val="false"/>
          <w:bCs w:val="false"/>
          <w:i w:val="false"/>
          <w:iCs w:val="false"/>
          <w:sz w:val="18"/>
          <w:szCs w:val="18"/>
          <w:vertAlign w:val="subscript"/>
        </w:rPr>
        <w:t xml:space="preserve">A</w:t>
      </w:r>
      <w:r>
        <w:rPr>
          <w:rFonts w:ascii="Arial" w:cs="Arial" w:eastAsia="Arial" w:hAnsi="Arial"/>
          <w:b w:val="false"/>
          <w:bCs w:val="false"/>
          <w:i w:val="false"/>
          <w:iCs w:val="false"/>
          <w:sz w:val="18"/>
          <w:szCs w:val="18"/>
        </w:rPr>
        <w:t xml:space="preserve">, Pearson r = 0.531 with δ</w:t>
      </w:r>
      <w:r>
        <w:rPr>
          <w:rFonts w:ascii="Arial" w:cs="Arial" w:eastAsia="Arial" w:hAnsi="Arial"/>
          <w:b w:val="false"/>
          <w:bCs w:val="false"/>
          <w:i w:val="false"/>
          <w:iCs w:val="false"/>
          <w:sz w:val="18"/>
          <w:szCs w:val="18"/>
          <w:vertAlign w:val="subscript"/>
        </w:rPr>
        <w:t xml:space="preserve">tilt</w:t>
      </w:r>
      <w:r>
        <w:rPr>
          <w:rFonts w:ascii="Arial" w:cs="Arial" w:eastAsia="Arial" w:hAnsi="Arial"/>
          <w:b w:val="false"/>
          <w:bCs w:val="false"/>
          <w:i w:val="false"/>
          <w:iCs w:val="false"/>
          <w:sz w:val="18"/>
          <w:szCs w:val="18"/>
        </w:rPr>
        <w:t xml:space="preserve">) rather than direct geometric mechanical suppression. </w:t>
      </w:r>
      <w:r>
        <w:rPr>
          <w:rFonts w:ascii="Arial" w:cs="Arial" w:eastAsia="Arial" w:hAnsi="Arial"/>
          <w:b/>
          <w:bCs/>
          <w:i w:val="false"/>
          <w:iCs w:val="false"/>
          <w:sz w:val="18"/>
          <w:szCs w:val="18"/>
        </w:rPr>
        <w:t xml:space="preserve">d</w:t>
      </w:r>
      <w:r>
        <w:rPr>
          <w:rFonts w:ascii="Arial" w:cs="Arial" w:eastAsia="Arial" w:hAnsi="Arial"/>
          <w:b w:val="false"/>
          <w:bCs w:val="false"/>
          <w:i w:val="false"/>
          <w:iCs w:val="false"/>
          <w:sz w:val="18"/>
          <w:szCs w:val="18"/>
        </w:rPr>
        <w:t xml:space="preserve">, Architectural regime priors versus observed </w:t>
      </w:r>
      <w:r>
        <w:rPr>
          <w:rFonts w:ascii="Arial" w:cs="Arial" w:eastAsia="Arial" w:hAnsi="Arial"/>
          <w:b w:val="false"/>
          <w:bCs w:val="false"/>
          <w:i/>
          <w:iCs/>
          <w:sz w:val="18"/>
          <w:szCs w:val="18"/>
        </w:rPr>
        <w:t xml:space="preserve">f</w:t>
      </w:r>
      <w:r>
        <w:rPr>
          <w:rFonts w:ascii="Arial" w:cs="Arial" w:eastAsia="Arial" w:hAnsi="Arial"/>
          <w:b w:val="false"/>
          <w:bCs w:val="false"/>
          <w:i w:val="false"/>
          <w:iCs w:val="false"/>
          <w:sz w:val="18"/>
          <w:szCs w:val="18"/>
          <w:vertAlign w:val="subscript"/>
        </w:rPr>
        <w:t xml:space="preserve">LST</w:t>
      </w:r>
      <w:r>
        <w:rPr>
          <w:rFonts w:ascii="Arial" w:cs="Arial" w:eastAsia="Arial" w:hAnsi="Arial"/>
          <w:b w:val="false"/>
          <w:bCs w:val="false"/>
          <w:i w:val="false"/>
          <w:iCs w:val="false"/>
          <w:sz w:val="18"/>
          <w:szCs w:val="18"/>
        </w:rPr>
        <w:t xml:space="preserve"> per regime: the built-in tilt-damping priors (Ib = 1.5×, II = 0.9×, III = 0.7×) are overridden by A-site chemistry, Regime III (Ca-dominated) shows the highest observed </w:t>
      </w:r>
      <w:r>
        <w:rPr>
          <w:rFonts w:ascii="Arial" w:cs="Arial" w:eastAsia="Arial" w:hAnsi="Arial"/>
          <w:b w:val="false"/>
          <w:bCs w:val="false"/>
          <w:i/>
          <w:iCs/>
          <w:sz w:val="18"/>
          <w:szCs w:val="18"/>
        </w:rPr>
        <w:t xml:space="preserve">f</w:t>
      </w:r>
      <w:r>
        <w:rPr>
          <w:rFonts w:ascii="Arial" w:cs="Arial" w:eastAsia="Arial" w:hAnsi="Arial"/>
          <w:b w:val="false"/>
          <w:bCs w:val="false"/>
          <w:i w:val="false"/>
          <w:iCs w:val="false"/>
          <w:sz w:val="18"/>
          <w:szCs w:val="18"/>
          <w:vertAlign w:val="subscript"/>
        </w:rPr>
        <w:t xml:space="preserve">LST</w:t>
      </w:r>
      <w:r>
        <w:rPr>
          <w:rFonts w:ascii="Arial" w:cs="Arial" w:eastAsia="Arial" w:hAnsi="Arial"/>
          <w:b w:val="false"/>
          <w:bCs w:val="false"/>
          <w:i w:val="false"/>
          <w:iCs w:val="false"/>
          <w:sz w:val="18"/>
          <w:szCs w:val="18"/>
        </w:rPr>
        <w:t xml:space="preserve"> = 1.516 despite the 0.7× damping prior, confirming that A-site identity outweighs tilt geometry in determining soft-mode amplification. Source data are provided as a Source Data file.</w:t>
      </w:r>
    </w:p>
    <w:p>
      <w:pPr>
        <w:sectPr>
          <w:footerReference w:type="default" r:id="rId15"/>
          <w:type w:val="continuous"/>
          <w:pgSz w:w="12240" w:h="15840" w:orient="portrait"/>
          <w:pgMar w:top="1296" w:right="1296" w:bottom="1296" w:left="1296" w:header="708" w:footer="708" w:gutter="0"/>
          <w:pgNumType/>
          <w:docGrid w:linePitch="360"/>
        </w:sectPr>
      </w:pPr>
    </w:p>
    <w:p>
      <w:pPr>
        <w:spacing w:after="240" w:before="0"/>
      </w:pPr>
      <w:r>
        <w:rPr>
          <w:rFonts w:ascii="Arial" w:cs="Arial" w:eastAsia="Arial" w:hAnsi="Arial"/>
          <w:sz w:val="22"/>
          <w:szCs w:val="22"/>
        </w:rPr>
        <w:t xml:space="preserve"/>
      </w:r>
    </w:p>
    <w:p>
      <w:pPr>
        <w:spacing w:after="160" w:before="220" w:line="480" w:lineRule="auto"/>
      </w:pPr>
      <w:r>
        <w:rPr>
          <w:rFonts w:ascii="Arial" w:cs="Arial" w:eastAsia="Arial" w:hAnsi="Arial"/>
          <w:b/>
          <w:bCs/>
          <w:i/>
          <w:iCs/>
          <w:color w:val="000000"/>
          <w:sz w:val="22"/>
          <w:szCs w:val="22"/>
        </w:rPr>
        <w:t xml:space="preserve">Predictive performance, uncertainty calibration, and OOD stability</w:t>
      </w:r>
    </w:p>
    <w:p>
      <w:pPr>
        <w:spacing w:after="120" w:line="252" w:lineRule="auto"/>
        <w:jc w:val="left"/>
      </w:pPr>
      <w:r>
        <w:rPr>
          <w:rFonts w:ascii="Arial" w:cs="Arial" w:eastAsia="Arial" w:hAnsi="Arial"/>
          <w:b w:val="false"/>
          <w:bCs w:val="false"/>
          <w:i w:val="false"/>
          <w:iCs w:val="false"/>
          <w:sz w:val="22"/>
          <w:szCs w:val="22"/>
        </w:rPr>
        <w:t xml:space="preserve">The PCNN ensemble achieves </w:t>
      </w:r>
      <w:r>
        <w:rPr>
          <w:rFonts w:ascii="Arial" w:cs="Arial" w:eastAsia="Arial" w:hAnsi="Arial"/>
          <w:b w:val="false"/>
          <w:bCs w:val="false"/>
          <w:i/>
          <w:iCs/>
          <w:sz w:val="22"/>
          <w:szCs w:val="22"/>
        </w:rPr>
        <w:t xml:space="preserve">R</w:t>
      </w:r>
      <w:r>
        <w:rPr>
          <w:rFonts w:ascii="Arial" w:cs="Arial" w:eastAsia="Arial" w:hAnsi="Arial"/>
          <w:b w:val="false"/>
          <w:bCs w:val="false"/>
          <w:i w:val="false"/>
          <w:iCs w:val="false"/>
          <w:sz w:val="22"/>
          <w:szCs w:val="22"/>
          <w:vertAlign w:val="superscript"/>
        </w:rPr>
        <w:t xml:space="preserve">2</w:t>
      </w:r>
      <w:r>
        <w:rPr>
          <w:rFonts w:ascii="Arial" w:cs="Arial" w:eastAsia="Arial" w:hAnsi="Arial"/>
          <w:b w:val="false"/>
          <w:bCs w:val="false"/>
          <w:i w:val="false"/>
          <w:iCs w:val="false"/>
          <w:sz w:val="22"/>
          <w:szCs w:val="22"/>
        </w:rPr>
        <w:t xml:space="preserve"> = 0.941 (MAE = 5.77) on the 116-sample holdout, </w:t>
      </w:r>
      <w:r>
        <w:rPr>
          <w:rFonts w:ascii="Arial" w:cs="Arial" w:eastAsia="Arial" w:hAnsi="Arial"/>
          <w:b w:val="false"/>
          <w:bCs w:val="false"/>
          <w:i/>
          <w:iCs/>
          <w:sz w:val="22"/>
          <w:szCs w:val="22"/>
        </w:rPr>
        <w:t xml:space="preserve">R</w:t>
      </w:r>
      <w:r>
        <w:rPr>
          <w:rFonts w:ascii="Arial" w:cs="Arial" w:eastAsia="Arial" w:hAnsi="Arial"/>
          <w:b w:val="false"/>
          <w:bCs w:val="false"/>
          <w:i w:val="false"/>
          <w:iCs w:val="false"/>
          <w:sz w:val="22"/>
          <w:szCs w:val="22"/>
          <w:vertAlign w:val="superscript"/>
        </w:rPr>
        <w:t xml:space="preserve">2</w:t>
      </w:r>
      <w:r>
        <w:rPr>
          <w:rFonts w:ascii="Arial" w:cs="Arial" w:eastAsia="Arial" w:hAnsi="Arial"/>
          <w:b w:val="false"/>
          <w:bCs w:val="false"/>
          <w:i w:val="false"/>
          <w:iCs w:val="false"/>
          <w:sz w:val="22"/>
          <w:szCs w:val="22"/>
        </w:rPr>
        <w:t xml:space="preserve"> = 0.946 ± 0.008 (MAE = 3.78) under formula-split five-fold cross-validation, and </w:t>
      </w:r>
      <w:r>
        <w:rPr>
          <w:rFonts w:ascii="Arial" w:cs="Arial" w:eastAsia="Arial" w:hAnsi="Arial"/>
          <w:b w:val="false"/>
          <w:bCs w:val="false"/>
          <w:i/>
          <w:iCs/>
          <w:sz w:val="22"/>
          <w:szCs w:val="22"/>
        </w:rPr>
        <w:t xml:space="preserve">R</w:t>
      </w:r>
      <w:r>
        <w:rPr>
          <w:rFonts w:ascii="Arial" w:cs="Arial" w:eastAsia="Arial" w:hAnsi="Arial"/>
          <w:b w:val="false"/>
          <w:bCs w:val="false"/>
          <w:i w:val="false"/>
          <w:iCs w:val="false"/>
          <w:sz w:val="22"/>
          <w:szCs w:val="22"/>
          <w:vertAlign w:val="superscript"/>
        </w:rPr>
        <w:t xml:space="preserve">2</w:t>
      </w:r>
      <w:r>
        <w:rPr>
          <w:rFonts w:ascii="Arial" w:cs="Arial" w:eastAsia="Arial" w:hAnsi="Arial"/>
          <w:b w:val="false"/>
          <w:bCs w:val="false"/>
          <w:i w:val="false"/>
          <w:iCs w:val="false"/>
          <w:sz w:val="22"/>
          <w:szCs w:val="22"/>
        </w:rPr>
        <w:t xml:space="preserve"> = 0.893 ± 0.043 (MAE = 5.62) under Family-GroupShuffleSplit (Strat-GSS) five-fold cross-validation (CV), in which no chemical family appears in both train and test partitions (Fig. 5a; per-fold diagnostics in Supplementary Fig. 4; full parity by regime and A-site in Supplementary Fig. 2; residual diagnostics in Supplementary Fig. 5; signed-error and coverage by ε</w:t>
      </w:r>
      <w:r>
        <w:rPr>
          <w:rFonts w:ascii="Arial" w:cs="Arial" w:eastAsia="Arial" w:hAnsi="Arial"/>
          <w:b w:val="false"/>
          <w:bCs w:val="false"/>
          <w:i w:val="false"/>
          <w:iCs w:val="false"/>
          <w:sz w:val="22"/>
          <w:szCs w:val="22"/>
          <w:vertAlign w:val="subscript"/>
        </w:rPr>
        <w:t xml:space="preserve">r</w:t>
      </w:r>
      <w:r>
        <w:rPr>
          <w:rFonts w:ascii="Arial" w:cs="Arial" w:eastAsia="Arial" w:hAnsi="Arial"/>
          <w:b w:val="false"/>
          <w:bCs w:val="false"/>
          <w:i w:val="false"/>
          <w:iCs w:val="false"/>
          <w:sz w:val="22"/>
          <w:szCs w:val="22"/>
        </w:rPr>
        <w:t xml:space="preserve"> subset in Supplementary Table 4). Stratified by Reaney regime, holdout performance is </w:t>
      </w:r>
      <w:r>
        <w:rPr>
          <w:rFonts w:ascii="Arial" w:cs="Arial" w:eastAsia="Arial" w:hAnsi="Arial"/>
          <w:b w:val="false"/>
          <w:bCs w:val="false"/>
          <w:i/>
          <w:iCs/>
          <w:sz w:val="22"/>
          <w:szCs w:val="22"/>
        </w:rPr>
        <w:t xml:space="preserve">R</w:t>
      </w:r>
      <w:r>
        <w:rPr>
          <w:rFonts w:ascii="Arial" w:cs="Arial" w:eastAsia="Arial" w:hAnsi="Arial"/>
          <w:b w:val="false"/>
          <w:bCs w:val="false"/>
          <w:i w:val="false"/>
          <w:iCs w:val="false"/>
          <w:sz w:val="22"/>
          <w:szCs w:val="22"/>
          <w:vertAlign w:val="superscript"/>
        </w:rPr>
        <w:t xml:space="preserve">2</w:t>
      </w:r>
      <w:r>
        <w:rPr>
          <w:rFonts w:ascii="Arial" w:cs="Arial" w:eastAsia="Arial" w:hAnsi="Arial"/>
          <w:b w:val="false"/>
          <w:bCs w:val="false"/>
          <w:i w:val="false"/>
          <w:iCs w:val="false"/>
          <w:sz w:val="22"/>
          <w:szCs w:val="22"/>
        </w:rPr>
        <w:t xml:space="preserve"> = 0.95 for Regime III (</w:t>
      </w:r>
      <w:r>
        <w:rPr>
          <w:rFonts w:ascii="Arial" w:cs="Arial" w:eastAsia="Arial" w:hAnsi="Arial"/>
          <w:b w:val="false"/>
          <w:bCs w:val="false"/>
          <w:i/>
          <w:iCs/>
          <w:sz w:val="22"/>
          <w:szCs w:val="22"/>
        </w:rPr>
        <w:t xml:space="preserve">n</w:t>
      </w:r>
      <w:r>
        <w:rPr>
          <w:rFonts w:ascii="Arial" w:cs="Arial" w:eastAsia="Arial" w:hAnsi="Arial"/>
          <w:b w:val="false"/>
          <w:bCs w:val="false"/>
          <w:i w:val="false"/>
          <w:iCs w:val="false"/>
          <w:sz w:val="22"/>
          <w:szCs w:val="22"/>
        </w:rPr>
        <w:t xml:space="preserve"> = 74), 0.87 for Regime II (</w:t>
      </w:r>
      <w:r>
        <w:rPr>
          <w:rFonts w:ascii="Arial" w:cs="Arial" w:eastAsia="Arial" w:hAnsi="Arial"/>
          <w:b w:val="false"/>
          <w:bCs w:val="false"/>
          <w:i/>
          <w:iCs/>
          <w:sz w:val="22"/>
          <w:szCs w:val="22"/>
        </w:rPr>
        <w:t xml:space="preserve">n</w:t>
      </w:r>
      <w:r>
        <w:rPr>
          <w:rFonts w:ascii="Arial" w:cs="Arial" w:eastAsia="Arial" w:hAnsi="Arial"/>
          <w:b w:val="false"/>
          <w:bCs w:val="false"/>
          <w:i w:val="false"/>
          <w:iCs w:val="false"/>
          <w:sz w:val="22"/>
          <w:szCs w:val="22"/>
        </w:rPr>
        <w:t xml:space="preserve"> = 30) and 0.13 for Regime Ib (</w:t>
      </w:r>
      <w:r>
        <w:rPr>
          <w:rFonts w:ascii="Arial" w:cs="Arial" w:eastAsia="Arial" w:hAnsi="Arial"/>
          <w:b w:val="false"/>
          <w:bCs w:val="false"/>
          <w:i/>
          <w:iCs/>
          <w:sz w:val="22"/>
          <w:szCs w:val="22"/>
        </w:rPr>
        <w:t xml:space="preserve">n</w:t>
      </w:r>
      <w:r>
        <w:rPr>
          <w:rFonts w:ascii="Arial" w:cs="Arial" w:eastAsia="Arial" w:hAnsi="Arial"/>
          <w:b w:val="false"/>
          <w:bCs w:val="false"/>
          <w:i w:val="false"/>
          <w:iCs w:val="false"/>
          <w:sz w:val="22"/>
          <w:szCs w:val="22"/>
        </w:rPr>
        <w:t xml:space="preserve"> = 12), reflecting the limited Ib sample budget rather than an architectural failure (Methods).</w:t>
      </w:r>
    </w:p>
    <w:p>
      <w:pPr>
        <w:spacing w:after="120" w:line="252" w:lineRule="auto"/>
        <w:jc w:val="left"/>
      </w:pPr>
      <w:r>
        <w:rPr>
          <w:rFonts w:ascii="Arial" w:cs="Arial" w:eastAsia="Arial" w:hAnsi="Arial"/>
          <w:b w:val="false"/>
          <w:bCs w:val="false"/>
          <w:i w:val="false"/>
          <w:iCs w:val="false"/>
          <w:sz w:val="22"/>
          <w:szCs w:val="22"/>
        </w:rPr>
        <w:t xml:space="preserve">Predictive uncertainty is calibrated by split conformal prediction, a distribution-free method that converts model uncertainty into coverage-controlled prediction intervals, on the 116-sample calibration set [35]. The empirical coverage matches the nominal level to within 0.7 percentage points across all targets, 80.2% at nominal 80%, 85.3% at 85%, 90.5% at 90% and 95.7% at 95% (Fig. 5b; bootstrap confidence bands and the full nonconformity-score distribution are reported in Supplementary Fig. 7). These are an in-calibration consistency check rather than coverage on an independently held-out third partition — a known limitation of split conformal prediction with small datasets, where the dataset size forces the family-disjoint set to serve as both calibration and evaluation set. To validate coverage out of calibration, we partitioned the holdout 2,000 times into disjoint calibration and coverage subsets and measured coverage only on points excluded from quantile setting; mean out-of-calibration coverage matched the nominal levels, 80.1 ± 7.7%, 85.4 ± 6.9%, 89.9 ± 5.7% and 95.0 ± 4.2% at nominal 80, 85, 90 and 95% (Methods), confirming the guarantee holds on held-out points.</w:t>
      </w:r>
    </w:p>
    <w:p>
      <w:pPr>
        <w:spacing w:after="120" w:line="252" w:lineRule="auto"/>
        <w:jc w:val="left"/>
      </w:pPr>
      <w:r>
        <w:rPr>
          <w:rFonts w:ascii="Arial" w:cs="Arial" w:eastAsia="Arial" w:hAnsi="Arial"/>
          <w:b w:val="false"/>
          <w:bCs w:val="false"/>
          <w:i w:val="false"/>
          <w:iCs w:val="false"/>
          <w:sz w:val="22"/>
          <w:szCs w:val="22"/>
        </w:rPr>
        <w:t xml:space="preserve">The 90% conformal quantile is q̂</w:t>
      </w:r>
      <w:r>
        <w:rPr>
          <w:rFonts w:ascii="Arial" w:cs="Arial" w:eastAsia="Arial" w:hAnsi="Arial"/>
          <w:b w:val="false"/>
          <w:bCs w:val="false"/>
          <w:i w:val="false"/>
          <w:iCs w:val="false"/>
          <w:sz w:val="22"/>
          <w:szCs w:val="22"/>
          <w:vertAlign w:val="subscript"/>
        </w:rPr>
        <w:t xml:space="preserve">90</w:t>
      </w:r>
      <w:r>
        <w:rPr>
          <w:rFonts w:ascii="Arial" w:cs="Arial" w:eastAsia="Arial" w:hAnsi="Arial"/>
          <w:b w:val="false"/>
          <w:bCs w:val="false"/>
          <w:i w:val="false"/>
          <w:iCs w:val="false"/>
          <w:sz w:val="22"/>
          <w:szCs w:val="22"/>
        </w:rPr>
        <w:t xml:space="preserve"> = 14.38 </w:t>
      </w:r>
      <w:r>
        <w:rPr>
          <w:rFonts w:ascii="Arial" w:cs="Arial" w:eastAsia="Arial" w:hAnsi="Arial"/>
          <w:b w:val="false"/>
          <w:bCs w:val="false"/>
          <w:i/>
          <w:iCs/>
          <w:sz w:val="22"/>
          <w:szCs w:val="22"/>
        </w:rPr>
        <w:t xml:space="preserve">ε</w:t>
      </w:r>
      <w:r>
        <w:rPr>
          <w:rFonts w:ascii="Arial" w:cs="Arial" w:eastAsia="Arial" w:hAnsi="Arial"/>
          <w:b w:val="false"/>
          <w:bCs w:val="false"/>
          <w:i w:val="false"/>
          <w:iCs w:val="false"/>
          <w:sz w:val="22"/>
          <w:szCs w:val="22"/>
          <w:vertAlign w:val="subscript"/>
        </w:rPr>
        <w:t xml:space="preserve">r</w:t>
      </w:r>
      <w:r>
        <w:rPr>
          <w:rFonts w:ascii="Arial" w:cs="Arial" w:eastAsia="Arial" w:hAnsi="Arial"/>
          <w:b w:val="false"/>
          <w:bCs w:val="false"/>
          <w:i w:val="false"/>
          <w:iCs w:val="false"/>
          <w:sz w:val="22"/>
          <w:szCs w:val="22"/>
        </w:rPr>
        <w:t xml:space="preserve"> units, giving a band width of 28.75 </w:t>
      </w:r>
      <w:r>
        <w:rPr>
          <w:rFonts w:ascii="Arial" w:cs="Arial" w:eastAsia="Arial" w:hAnsi="Arial"/>
          <w:b w:val="false"/>
          <w:bCs w:val="false"/>
          <w:i/>
          <w:iCs/>
          <w:sz w:val="22"/>
          <w:szCs w:val="22"/>
        </w:rPr>
        <w:t xml:space="preserve">ε</w:t>
      </w:r>
      <w:r>
        <w:rPr>
          <w:rFonts w:ascii="Arial" w:cs="Arial" w:eastAsia="Arial" w:hAnsi="Arial"/>
          <w:b w:val="false"/>
          <w:bCs w:val="false"/>
          <w:i w:val="false"/>
          <w:iCs w:val="false"/>
          <w:sz w:val="22"/>
          <w:szCs w:val="22"/>
          <w:vertAlign w:val="subscript"/>
        </w:rPr>
        <w:t xml:space="preserve">r</w:t>
      </w:r>
      <w:r>
        <w:rPr>
          <w:rFonts w:ascii="Arial" w:cs="Arial" w:eastAsia="Arial" w:hAnsi="Arial"/>
          <w:b w:val="false"/>
          <w:bCs w:val="false"/>
          <w:i w:val="false"/>
          <w:iCs w:val="false"/>
          <w:sz w:val="22"/>
          <w:szCs w:val="22"/>
        </w:rPr>
        <w:t xml:space="preserve"> units, and the residual bias is </w:t>
      </w:r>
      <w:r>
        <w:rPr>
          <w:rFonts w:ascii="Arial" w:cs="Arial" w:eastAsia="Arial" w:hAnsi="Arial"/>
          <w:b w:val="false"/>
          <w:bCs w:val="false"/>
          <w:i/>
          <w:iCs/>
          <w:sz w:val="22"/>
          <w:szCs w:val="22"/>
        </w:rPr>
        <w:t xml:space="preserve">μ</w:t>
      </w:r>
      <w:r>
        <w:rPr>
          <w:rFonts w:ascii="Arial" w:cs="Arial" w:eastAsia="Arial" w:hAnsi="Arial"/>
          <w:b w:val="false"/>
          <w:bCs w:val="false"/>
          <w:i w:val="false"/>
          <w:iCs w:val="false"/>
          <w:sz w:val="22"/>
          <w:szCs w:val="22"/>
        </w:rPr>
        <w:t xml:space="preserve"> = +0.54 (small positive). The Spearman rank correlation between </w:t>
      </w:r>
      <w:r>
        <w:rPr>
          <w:rFonts w:ascii="Arial" w:cs="Arial" w:eastAsia="Arial" w:hAnsi="Arial"/>
          <w:b w:val="false"/>
          <w:bCs w:val="false"/>
          <w:i/>
          <w:iCs/>
          <w:sz w:val="22"/>
          <w:szCs w:val="22"/>
        </w:rPr>
        <w:t xml:space="preserve">σ</w:t>
      </w:r>
      <w:r>
        <w:rPr>
          <w:rFonts w:ascii="Arial" w:cs="Arial" w:eastAsia="Arial" w:hAnsi="Arial"/>
          <w:b w:val="false"/>
          <w:bCs w:val="false"/>
          <w:i w:val="false"/>
          <w:iCs w:val="false"/>
          <w:sz w:val="22"/>
          <w:szCs w:val="22"/>
          <w:vertAlign w:val="subscript"/>
        </w:rPr>
        <w:t xml:space="preserve">conf</w:t>
      </w:r>
      <w:r>
        <w:rPr>
          <w:rFonts w:ascii="Arial" w:cs="Arial" w:eastAsia="Arial" w:hAnsi="Arial"/>
          <w:b w:val="false"/>
          <w:bCs w:val="false"/>
          <w:i w:val="false"/>
          <w:iCs w:val="false"/>
          <w:sz w:val="22"/>
          <w:szCs w:val="22"/>
        </w:rPr>
        <w:t xml:space="preserve"> and absolute prediction error is </w:t>
      </w:r>
      <w:r>
        <w:rPr>
          <w:rFonts w:ascii="Arial" w:cs="Arial" w:eastAsia="Arial" w:hAnsi="Arial"/>
          <w:b w:val="false"/>
          <w:bCs w:val="false"/>
          <w:i/>
          <w:iCs/>
          <w:sz w:val="22"/>
          <w:szCs w:val="22"/>
        </w:rPr>
        <w:t xml:space="preserve">ρ</w:t>
      </w:r>
      <w:r>
        <w:rPr>
          <w:rFonts w:ascii="Arial" w:cs="Arial" w:eastAsia="Arial" w:hAnsi="Arial"/>
          <w:b w:val="false"/>
          <w:bCs w:val="false"/>
          <w:i w:val="false"/>
          <w:iCs w:val="false"/>
          <w:sz w:val="22"/>
          <w:szCs w:val="22"/>
        </w:rPr>
        <w:t xml:space="preserve"> = 0.43 (Supplementary Fig. 15), confirming that </w:t>
      </w:r>
      <w:r>
        <w:rPr>
          <w:rFonts w:ascii="Arial" w:cs="Arial" w:eastAsia="Arial" w:hAnsi="Arial"/>
          <w:b w:val="false"/>
          <w:bCs w:val="false"/>
          <w:i/>
          <w:iCs/>
          <w:sz w:val="22"/>
          <w:szCs w:val="22"/>
        </w:rPr>
        <w:t xml:space="preserve">σ</w:t>
      </w:r>
      <w:r>
        <w:rPr>
          <w:rFonts w:ascii="Arial" w:cs="Arial" w:eastAsia="Arial" w:hAnsi="Arial"/>
          <w:b w:val="false"/>
          <w:bCs w:val="false"/>
          <w:i w:val="false"/>
          <w:iCs w:val="false"/>
          <w:sz w:val="22"/>
          <w:szCs w:val="22"/>
          <w:vertAlign w:val="subscript"/>
        </w:rPr>
        <w:t xml:space="preserve">conf</w:t>
      </w:r>
      <w:r>
        <w:rPr>
          <w:rFonts w:ascii="Arial" w:cs="Arial" w:eastAsia="Arial" w:hAnsi="Arial"/>
          <w:b w:val="false"/>
          <w:bCs w:val="false"/>
          <w:i w:val="false"/>
          <w:iCs w:val="false"/>
          <w:sz w:val="22"/>
          <w:szCs w:val="22"/>
        </w:rPr>
        <w:t xml:space="preserve"> is a meaningful, though imperfect, signal for absolute prediction error.</w:t>
      </w:r>
    </w:p>
    <w:p>
      <w:pPr>
        <w:spacing w:after="120" w:line="252" w:lineRule="auto"/>
        <w:jc w:val="left"/>
      </w:pPr>
      <w:r>
        <w:rPr>
          <w:rFonts w:ascii="Arial" w:cs="Arial" w:eastAsia="Arial" w:hAnsi="Arial"/>
          <w:b w:val="false"/>
          <w:bCs w:val="false"/>
          <w:i w:val="false"/>
          <w:iCs w:val="false"/>
          <w:sz w:val="22"/>
          <w:szCs w:val="22"/>
        </w:rPr>
        <w:t xml:space="preserve">Against six baselines evaluated on identical Strat-GSS splits (Table 1, Supplementary Fig. 6 and Supplementary Table 2), the PCNN ranks first or near-first on every robustness metric. CM-only collapses (CV </w:t>
      </w:r>
      <w:r>
        <w:rPr>
          <w:rFonts w:ascii="Arial" w:cs="Arial" w:eastAsia="Arial" w:hAnsi="Arial"/>
          <w:b w:val="false"/>
          <w:bCs w:val="false"/>
          <w:i/>
          <w:iCs/>
          <w:sz w:val="22"/>
          <w:szCs w:val="22"/>
        </w:rPr>
        <w:t xml:space="preserve">R</w:t>
      </w:r>
      <w:r>
        <w:rPr>
          <w:rFonts w:ascii="Arial" w:cs="Arial" w:eastAsia="Arial" w:hAnsi="Arial"/>
          <w:b w:val="false"/>
          <w:bCs w:val="false"/>
          <w:i w:val="false"/>
          <w:iCs w:val="false"/>
          <w:sz w:val="22"/>
          <w:szCs w:val="22"/>
          <w:vertAlign w:val="superscript"/>
        </w:rPr>
        <w:t xml:space="preserve">2</w:t>
      </w:r>
      <w:r>
        <w:rPr>
          <w:rFonts w:ascii="Arial" w:cs="Arial" w:eastAsia="Arial" w:hAnsi="Arial"/>
          <w:b w:val="false"/>
          <w:bCs w:val="false"/>
          <w:i w:val="false"/>
          <w:iCs w:val="false"/>
          <w:sz w:val="22"/>
          <w:szCs w:val="22"/>
        </w:rPr>
        <w:t xml:space="preserve"> = −0.862 ± 0.355); Ridge regression recovers to 0.721 ± 0.190; tree ensembles reach 0.901 (Random Forest), 0.928 (XGBoost) and 0.930 (CatBoost) but overfit more strongly: their train→test </w:t>
      </w:r>
      <w:r>
        <w:rPr>
          <w:rFonts w:ascii="Arial" w:cs="Arial" w:eastAsia="Arial" w:hAnsi="Arial"/>
          <w:b w:val="false"/>
          <w:bCs w:val="false"/>
          <w:i/>
          <w:iCs/>
          <w:sz w:val="22"/>
          <w:szCs w:val="22"/>
        </w:rPr>
        <w:t xml:space="preserve">R</w:t>
      </w:r>
      <w:r>
        <w:rPr>
          <w:rFonts w:ascii="Arial" w:cs="Arial" w:eastAsia="Arial" w:hAnsi="Arial"/>
          <w:b w:val="false"/>
          <w:bCs w:val="false"/>
          <w:i w:val="false"/>
          <w:iCs w:val="false"/>
          <w:sz w:val="22"/>
          <w:szCs w:val="22"/>
          <w:vertAlign w:val="superscript"/>
        </w:rPr>
        <w:t xml:space="preserve">2</w:t>
      </w:r>
      <w:r>
        <w:rPr>
          <w:rFonts w:ascii="Arial" w:cs="Arial" w:eastAsia="Arial" w:hAnsi="Arial"/>
          <w:b w:val="false"/>
          <w:bCs w:val="false"/>
          <w:i w:val="false"/>
          <w:iCs w:val="false"/>
          <w:sz w:val="22"/>
          <w:szCs w:val="22"/>
        </w:rPr>
        <w:t xml:space="preserve"> gaps (0.117 for Random Forest, 0.169 for XGBoost) indicate in-family memorisation. A physics-input recurrent baseline (PIRNN) reaches 0.863 ± 0.181, a CV standard deviation four-fold higher than ours. The PCNN's CV standard deviation of 0.043 is the lowest of any neural baseline (Fig. 5c), and its train→test </w:t>
      </w:r>
      <w:r>
        <w:rPr>
          <w:rFonts w:ascii="Arial" w:cs="Arial" w:eastAsia="Arial" w:hAnsi="Arial"/>
          <w:b w:val="false"/>
          <w:bCs w:val="false"/>
          <w:i/>
          <w:iCs/>
          <w:sz w:val="22"/>
          <w:szCs w:val="22"/>
        </w:rPr>
        <w:t xml:space="preserve">R</w:t>
      </w:r>
      <w:r>
        <w:rPr>
          <w:rFonts w:ascii="Arial" w:cs="Arial" w:eastAsia="Arial" w:hAnsi="Arial"/>
          <w:b w:val="false"/>
          <w:bCs w:val="false"/>
          <w:i w:val="false"/>
          <w:iCs w:val="false"/>
          <w:sz w:val="22"/>
          <w:szCs w:val="22"/>
          <w:vertAlign w:val="superscript"/>
        </w:rPr>
        <w:t xml:space="preserve">2</w:t>
      </w:r>
      <w:r>
        <w:rPr>
          <w:rFonts w:ascii="Arial" w:cs="Arial" w:eastAsia="Arial" w:hAnsi="Arial"/>
          <w:b w:val="false"/>
          <w:bCs w:val="false"/>
          <w:i w:val="false"/>
          <w:iCs w:val="false"/>
          <w:sz w:val="22"/>
          <w:szCs w:val="22"/>
        </w:rPr>
        <w:t xml:space="preserve"> gap of 0.047 is 3.6× smaller than XGBoost's and 2.5× smaller than Random Forest's (Fig. 5d). The physics constraints function as a structural inductive bias that reduces OOD variance two- to four-fold relative to unconstrained neural baselines (2× versus the plain MLP, 4× versus PIRNN). This calibrated, physics-constrained model also lets us probe where its predictions remain reliable and where they break down.</w:t>
      </w:r>
    </w:p>
    <w:p>
      <w:pPr>
        <w:sectPr>
          <w:footerReference w:type="default" r:id="rId16"/>
          <w:type w:val="continuous"/>
          <w:pgSz w:w="12240" w:h="15840" w:orient="portrait"/>
          <w:pgMar w:top="1296" w:right="1296" w:bottom="1296" w:left="1296" w:header="708" w:footer="708" w:gutter="0"/>
          <w:pgNumType/>
          <w:docGrid w:linePitch="360"/>
        </w:sectPr>
      </w:pPr>
    </w:p>
    <w:p>
      <w:pPr>
        <w:spacing w:after="120" w:before="360"/>
      </w:pPr>
      <w:r>
        <w:rPr>
          <w:rFonts w:ascii="Arial" w:cs="Arial" w:eastAsia="Arial" w:hAnsi="Arial"/>
          <w:sz w:val="22"/>
          <w:szCs w:val="22"/>
        </w:rPr>
        <w:t xml:space="preserve"/>
      </w:r>
    </w:p>
    <w:p>
      <w:pPr>
        <w:spacing w:after="240" w:before="0"/>
        <w:jc w:val="center"/>
      </w:pPr>
      <w:r>
        <w:drawing>
          <wp:inline distT="0" distB="0" distL="0" distR="0">
            <wp:extent cx="5943600" cy="4457700"/>
            <wp:effectExtent t="0" r="0" b="0" l="0"/>
            <wp:docPr id="1" name="fig3_performance.png" descr="Figure" title="fig3_performa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943600" cy="4457700"/>
                    </a:xfrm>
                    <a:prstGeom prst="rect">
                      <a:avLst/>
                    </a:prstGeom>
                  </pic:spPr>
                </pic:pic>
              </a:graphicData>
            </a:graphic>
          </wp:inline>
        </w:drawing>
      </w:r>
    </w:p>
    <w:p>
      <w:pPr>
        <w:spacing w:after="480" w:before="0" w:line="280" w:lineRule="auto"/>
        <w:jc w:val="both"/>
      </w:pPr>
      <w:r>
        <w:rPr>
          <w:rFonts w:ascii="Arial" w:cs="Arial" w:eastAsia="Arial" w:hAnsi="Arial"/>
          <w:b/>
          <w:bCs/>
          <w:i w:val="false"/>
          <w:iCs w:val="false"/>
          <w:sz w:val="18"/>
          <w:szCs w:val="18"/>
        </w:rPr>
        <w:t xml:space="preserve">Fig. 5 | Predictive performance, uncertainty calibration and OOD stability.</w:t>
      </w:r>
      <w:r>
        <w:rPr>
          <w:rFonts w:ascii="Arial" w:cs="Arial" w:eastAsia="Arial" w:hAnsi="Arial"/>
          <w:b w:val="false"/>
          <w:bCs w:val="false"/>
          <w:i w:val="false"/>
          <w:iCs w:val="false"/>
          <w:sz w:val="18"/>
          <w:szCs w:val="18"/>
        </w:rPr>
        <w:t xml:space="preserve"> </w:t>
      </w:r>
      <w:r>
        <w:rPr>
          <w:rFonts w:ascii="Arial" w:cs="Arial" w:eastAsia="Arial" w:hAnsi="Arial"/>
          <w:b/>
          <w:bCs/>
          <w:i w:val="false"/>
          <w:iCs w:val="false"/>
          <w:sz w:val="18"/>
          <w:szCs w:val="18"/>
        </w:rPr>
        <w:t xml:space="preserve">a</w:t>
      </w:r>
      <w:r>
        <w:rPr>
          <w:rFonts w:ascii="Arial" w:cs="Arial" w:eastAsia="Arial" w:hAnsi="Arial"/>
          <w:b w:val="false"/>
          <w:bCs w:val="false"/>
          <w:i w:val="false"/>
          <w:iCs w:val="false"/>
          <w:sz w:val="18"/>
          <w:szCs w:val="18"/>
        </w:rPr>
        <w:t xml:space="preserve">, Parity plot of PCNN predictions versus measured ε</w:t>
      </w:r>
      <w:r>
        <w:rPr>
          <w:rFonts w:ascii="Arial" w:cs="Arial" w:eastAsia="Arial" w:hAnsi="Arial"/>
          <w:b w:val="false"/>
          <w:bCs w:val="false"/>
          <w:i w:val="false"/>
          <w:iCs w:val="false"/>
          <w:sz w:val="18"/>
          <w:szCs w:val="18"/>
          <w:vertAlign w:val="subscript"/>
        </w:rPr>
        <w:t xml:space="preserve">r</w:t>
      </w:r>
      <w:r>
        <w:rPr>
          <w:rFonts w:ascii="Arial" w:cs="Arial" w:eastAsia="Arial" w:hAnsi="Arial"/>
          <w:b w:val="false"/>
          <w:bCs w:val="false"/>
          <w:i w:val="false"/>
          <w:iCs w:val="false"/>
          <w:sz w:val="18"/>
          <w:szCs w:val="18"/>
        </w:rPr>
        <w:t xml:space="preserve"> on the 116-sample family-disjoint holdout, coloured by Reaney regime (</w:t>
      </w:r>
      <w:r>
        <w:rPr>
          <w:rFonts w:ascii="Arial" w:cs="Arial" w:eastAsia="Arial" w:hAnsi="Arial"/>
          <w:b w:val="false"/>
          <w:bCs w:val="false"/>
          <w:i/>
          <w:iCs/>
          <w:sz w:val="18"/>
          <w:szCs w:val="18"/>
        </w:rPr>
        <w:t xml:space="preserve">R</w:t>
      </w:r>
      <w:r>
        <w:rPr>
          <w:rFonts w:ascii="Arial" w:cs="Arial" w:eastAsia="Arial" w:hAnsi="Arial"/>
          <w:b w:val="false"/>
          <w:bCs w:val="false"/>
          <w:i w:val="false"/>
          <w:iCs w:val="false"/>
          <w:sz w:val="18"/>
          <w:szCs w:val="18"/>
          <w:vertAlign w:val="superscript"/>
        </w:rPr>
        <w:t xml:space="preserve">2</w:t>
      </w:r>
      <w:r>
        <w:rPr>
          <w:rFonts w:ascii="Arial" w:cs="Arial" w:eastAsia="Arial" w:hAnsi="Arial"/>
          <w:b w:val="false"/>
          <w:bCs w:val="false"/>
          <w:i w:val="false"/>
          <w:iCs w:val="false"/>
          <w:sz w:val="18"/>
          <w:szCs w:val="18"/>
        </w:rPr>
        <w:t xml:space="preserve"> = 0.941, MAE = 5.77). Error bars represent the 90% conformal prediction interval (q̂</w:t>
      </w:r>
      <w:r>
        <w:rPr>
          <w:rFonts w:ascii="Arial" w:cs="Arial" w:eastAsia="Arial" w:hAnsi="Arial"/>
          <w:b w:val="false"/>
          <w:bCs w:val="false"/>
          <w:i w:val="false"/>
          <w:iCs w:val="false"/>
          <w:sz w:val="18"/>
          <w:szCs w:val="18"/>
          <w:vertAlign w:val="subscript"/>
        </w:rPr>
        <w:t xml:space="preserve">90</w:t>
      </w:r>
      <w:r>
        <w:rPr>
          <w:rFonts w:ascii="Arial" w:cs="Arial" w:eastAsia="Arial" w:hAnsi="Arial"/>
          <w:b w:val="false"/>
          <w:bCs w:val="false"/>
          <w:i w:val="false"/>
          <w:iCs w:val="false"/>
          <w:sz w:val="18"/>
          <w:szCs w:val="18"/>
        </w:rPr>
        <w:t xml:space="preserve"> = 14.38 ε</w:t>
      </w:r>
      <w:r>
        <w:rPr>
          <w:rFonts w:ascii="Arial" w:cs="Arial" w:eastAsia="Arial" w:hAnsi="Arial"/>
          <w:b w:val="false"/>
          <w:bCs w:val="false"/>
          <w:i w:val="false"/>
          <w:iCs w:val="false"/>
          <w:sz w:val="18"/>
          <w:szCs w:val="18"/>
          <w:vertAlign w:val="subscript"/>
        </w:rPr>
        <w:t xml:space="preserve">r</w:t>
      </w:r>
      <w:r>
        <w:rPr>
          <w:rFonts w:ascii="Arial" w:cs="Arial" w:eastAsia="Arial" w:hAnsi="Arial"/>
          <w:b w:val="false"/>
          <w:bCs w:val="false"/>
          <w:i w:val="false"/>
          <w:iCs w:val="false"/>
          <w:sz w:val="18"/>
          <w:szCs w:val="18"/>
        </w:rPr>
        <w:t xml:space="preserve"> units). The 1:1 line (black) and ±10% band (grey) are shown for reference; 90.5% of holdout samples fall within the conformal band, matching the nominal 90% level. </w:t>
      </w:r>
      <w:r>
        <w:rPr>
          <w:rFonts w:ascii="Arial" w:cs="Arial" w:eastAsia="Arial" w:hAnsi="Arial"/>
          <w:b/>
          <w:bCs/>
          <w:i w:val="false"/>
          <w:iCs w:val="false"/>
          <w:sz w:val="18"/>
          <w:szCs w:val="18"/>
        </w:rPr>
        <w:t xml:space="preserve">b</w:t>
      </w:r>
      <w:r>
        <w:rPr>
          <w:rFonts w:ascii="Arial" w:cs="Arial" w:eastAsia="Arial" w:hAnsi="Arial"/>
          <w:b w:val="false"/>
          <w:bCs w:val="false"/>
          <w:i w:val="false"/>
          <w:iCs w:val="false"/>
          <w:sz w:val="18"/>
          <w:szCs w:val="18"/>
        </w:rPr>
        <w:t xml:space="preserve">, Calibration curve showing empirical coverage versus nominal coverage at 80%, 85%, 90% and 95% levels (filled circles), against the ideal diagonal (dashed line). Empirical coverage matches the nominal target to within 0.7 percentage points across all tested levels on this family-disjoint set (in-calibration consistency check; Methods). </w:t>
      </w:r>
      <w:r>
        <w:rPr>
          <w:rFonts w:ascii="Arial" w:cs="Arial" w:eastAsia="Arial" w:hAnsi="Arial"/>
          <w:b/>
          <w:bCs/>
          <w:i w:val="false"/>
          <w:iCs w:val="false"/>
          <w:sz w:val="18"/>
          <w:szCs w:val="18"/>
        </w:rPr>
        <w:t xml:space="preserve">c</w:t>
      </w:r>
      <w:r>
        <w:rPr>
          <w:rFonts w:ascii="Arial" w:cs="Arial" w:eastAsia="Arial" w:hAnsi="Arial"/>
          <w:b w:val="false"/>
          <w:bCs w:val="false"/>
          <w:i w:val="false"/>
          <w:iCs w:val="false"/>
          <w:sz w:val="18"/>
          <w:szCs w:val="18"/>
        </w:rPr>
        <w:t xml:space="preserve">, Comparison of cross-validation stability across seven baselines on the same Strat-GSS partition: PCNN (</w:t>
      </w:r>
      <w:r>
        <w:rPr>
          <w:rFonts w:ascii="Arial" w:cs="Arial" w:eastAsia="Arial" w:hAnsi="Arial"/>
          <w:b w:val="false"/>
          <w:bCs w:val="false"/>
          <w:i/>
          <w:iCs/>
          <w:sz w:val="18"/>
          <w:szCs w:val="18"/>
        </w:rPr>
        <w:t xml:space="preserve">R</w:t>
      </w:r>
      <w:r>
        <w:rPr>
          <w:rFonts w:ascii="Arial" w:cs="Arial" w:eastAsia="Arial" w:hAnsi="Arial"/>
          <w:b w:val="false"/>
          <w:bCs w:val="false"/>
          <w:i w:val="false"/>
          <w:iCs w:val="false"/>
          <w:sz w:val="18"/>
          <w:szCs w:val="18"/>
          <w:vertAlign w:val="superscript"/>
        </w:rPr>
        <w:t xml:space="preserve">2</w:t>
      </w:r>
      <w:r>
        <w:rPr>
          <w:rFonts w:ascii="Arial" w:cs="Arial" w:eastAsia="Arial" w:hAnsi="Arial"/>
          <w:b w:val="false"/>
          <w:bCs w:val="false"/>
          <w:i w:val="false"/>
          <w:iCs w:val="false"/>
          <w:sz w:val="18"/>
          <w:szCs w:val="18"/>
        </w:rPr>
        <w:t xml:space="preserve"> = 0.893 ± 0.043), CatBoost (0.930 ± 0.041), XGBoost (0.928 ± 0.053), RandomForest (0.901 ± 0.057), BPNN (0.914 ± 0.093), PIRNN (0.863 ± 0.181), Ridge (0.721 ± 0.190). The PCNN exhibits the lowest variance among neural-network baselines (4× lower than PIRNN, 2× lower than BPNN), reflecting the regularising effect of architectural sign constraints. </w:t>
      </w:r>
      <w:r>
        <w:rPr>
          <w:rFonts w:ascii="Arial" w:cs="Arial" w:eastAsia="Arial" w:hAnsi="Arial"/>
          <w:b/>
          <w:bCs/>
          <w:i w:val="false"/>
          <w:iCs w:val="false"/>
          <w:sz w:val="18"/>
          <w:szCs w:val="18"/>
        </w:rPr>
        <w:t xml:space="preserve">d</w:t>
      </w:r>
      <w:r>
        <w:rPr>
          <w:rFonts w:ascii="Arial" w:cs="Arial" w:eastAsia="Arial" w:hAnsi="Arial"/>
          <w:b w:val="false"/>
          <w:bCs w:val="false"/>
          <w:i w:val="false"/>
          <w:iCs w:val="false"/>
          <w:sz w:val="18"/>
          <w:szCs w:val="18"/>
        </w:rPr>
        <w:t xml:space="preserve">, Train→test </w:t>
      </w:r>
      <w:r>
        <w:rPr>
          <w:rFonts w:ascii="Arial" w:cs="Arial" w:eastAsia="Arial" w:hAnsi="Arial"/>
          <w:b w:val="false"/>
          <w:bCs w:val="false"/>
          <w:i/>
          <w:iCs/>
          <w:sz w:val="18"/>
          <w:szCs w:val="18"/>
        </w:rPr>
        <w:t xml:space="preserve">R</w:t>
      </w:r>
      <w:r>
        <w:rPr>
          <w:rFonts w:ascii="Arial" w:cs="Arial" w:eastAsia="Arial" w:hAnsi="Arial"/>
          <w:b w:val="false"/>
          <w:bCs w:val="false"/>
          <w:i w:val="false"/>
          <w:iCs w:val="false"/>
          <w:sz w:val="18"/>
          <w:szCs w:val="18"/>
          <w:vertAlign w:val="superscript"/>
        </w:rPr>
        <w:t xml:space="preserve">2</w:t>
      </w:r>
      <w:r>
        <w:rPr>
          <w:rFonts w:ascii="Arial" w:cs="Arial" w:eastAsia="Arial" w:hAnsi="Arial"/>
          <w:b w:val="false"/>
          <w:bCs w:val="false"/>
          <w:i w:val="false"/>
          <w:iCs w:val="false"/>
          <w:sz w:val="18"/>
          <w:szCs w:val="18"/>
        </w:rPr>
        <w:t xml:space="preserve"> gap for each baseline; PCNN (0.047) is 3.6× smaller than XGBoost (0.169) and 2.5× smaller than RF (0.117), consistent with reduced overfitting in OOD partitions. Source data are provided as a Source Data file.</w:t>
      </w:r>
    </w:p>
    <w:p>
      <w:pPr>
        <w:sectPr>
          <w:footerReference w:type="default" r:id="rId17"/>
          <w:type w:val="continuous"/>
          <w:pgSz w:w="12240" w:h="15840" w:orient="portrait"/>
          <w:pgMar w:top="1296" w:right="1296" w:bottom="1296" w:left="1296" w:header="708" w:footer="708" w:gutter="0"/>
          <w:pgNumType/>
          <w:docGrid w:linePitch="360"/>
        </w:sectPr>
      </w:pPr>
    </w:p>
    <w:p>
      <w:pPr>
        <w:spacing w:after="240" w:before="0"/>
      </w:pPr>
      <w:r>
        <w:rPr>
          <w:rFonts w:ascii="Arial" w:cs="Arial" w:eastAsia="Arial" w:hAnsi="Arial"/>
          <w:sz w:val="22"/>
          <w:szCs w:val="22"/>
        </w:rPr>
        <w:t xml:space="preserve"/>
      </w:r>
    </w:p>
    <w:p>
      <w:pPr>
        <w:spacing w:after="0" w:line="480" w:lineRule="auto"/>
        <w:jc w:val="left"/>
      </w:pPr>
      <w:r>
        <w:rPr>
          <w:rFonts w:ascii="Arial" w:cs="Arial" w:eastAsia="Arial" w:hAnsi="Arial"/>
          <w:sz w:val="22"/>
          <w:szCs w:val="22"/>
        </w:rPr>
        <w:t xml:space="preserve"/>
      </w:r>
    </w:p>
    <w:p>
      <w:pPr>
        <w:spacing w:after="120" w:before="0" w:line="280" w:lineRule="auto"/>
        <w:jc w:val="left"/>
      </w:pPr>
      <w:r>
        <w:rPr>
          <w:rFonts w:ascii="Arial" w:cs="Arial" w:eastAsia="Arial" w:hAnsi="Arial"/>
          <w:b/>
          <w:bCs/>
          <w:i w:val="false"/>
          <w:iCs w:val="false"/>
          <w:sz w:val="22"/>
          <w:szCs w:val="22"/>
        </w:rPr>
        <w:t xml:space="preserve">Table 1 | </w:t>
      </w:r>
      <w:r>
        <w:rPr>
          <w:rFonts w:ascii="Arial" w:cs="Arial" w:eastAsia="Arial" w:hAnsi="Arial"/>
          <w:b w:val="false"/>
          <w:bCs w:val="false"/>
          <w:i w:val="false"/>
          <w:iCs w:val="false"/>
          <w:sz w:val="22"/>
          <w:szCs w:val="22"/>
        </w:rPr>
        <w:t xml:space="preserve">Comparison of PCNN against seven baselines on identical Family-GroupShuffleSplit five-fold cross-validation partitions and the 116-sample family-disjoint holdout. CV→Holdout gap = (CV R²) − (Holdout R²); large positive values indicate train→test instability. PCNN trained as a 5-seed ensemble (Methods, Supplementary Table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W w:type="dxa" w:w="1872"/>
            <w:tcBorders>
              <w:top w:val="single" w:color="CCCCCC" w:sz="4"/>
              <w:left w:val="single" w:color="CCCCCC" w:sz="4"/>
              <w:bottom w:val="single" w:color="CCCCCC" w:sz="4"/>
              <w:right w:val="single" w:color="CCCCCC" w:sz="4"/>
            </w:tcBorders>
            <w:shd w:fill="E8EDF5" w:val="clear"/>
            <w:tcMar>
              <w:top w:type="dxa" w:w="80"/>
              <w:left w:type="dxa" w:w="120"/>
              <w:bottom w:type="dxa" w:w="80"/>
              <w:right w:type="dxa" w:w="120"/>
            </w:tcMar>
          </w:tcPr>
          <w:p>
            <w:pPr>
              <w:spacing w:after="0"/>
            </w:pPr>
            <w:r>
              <w:rPr>
                <w:rFonts w:ascii="Arial" w:cs="Arial" w:eastAsia="Arial" w:hAnsi="Arial"/>
                <w:b/>
                <w:bCs/>
                <w:sz w:val="20"/>
                <w:szCs w:val="20"/>
              </w:rPr>
              <w:t xml:space="preserve">Model</w:t>
            </w:r>
          </w:p>
        </w:tc>
        <w:tc>
          <w:tcPr>
            <w:tcW w:type="dxa" w:w="2080"/>
            <w:tcBorders>
              <w:top w:val="single" w:color="CCCCCC" w:sz="4"/>
              <w:left w:val="single" w:color="CCCCCC" w:sz="4"/>
              <w:bottom w:val="single" w:color="CCCCCC" w:sz="4"/>
              <w:right w:val="single" w:color="CCCCCC" w:sz="4"/>
            </w:tcBorders>
            <w:shd w:fill="E8EDF5" w:val="clear"/>
            <w:tcMar>
              <w:top w:type="dxa" w:w="80"/>
              <w:left w:type="dxa" w:w="120"/>
              <w:bottom w:type="dxa" w:w="80"/>
              <w:right w:type="dxa" w:w="120"/>
            </w:tcMar>
          </w:tcPr>
          <w:p>
            <w:pPr>
              <w:spacing w:after="0"/>
            </w:pPr>
            <w:r>
              <w:rPr>
                <w:rFonts w:ascii="Arial" w:cs="Arial" w:eastAsia="Arial" w:hAnsi="Arial"/>
                <w:b/>
                <w:bCs/>
                <w:sz w:val="20"/>
                <w:szCs w:val="20"/>
              </w:rPr>
              <w:t xml:space="preserve">CV R² ± std</w:t>
            </w:r>
          </w:p>
        </w:tc>
        <w:tc>
          <w:tcPr>
            <w:tcW w:type="dxa" w:w="1664"/>
            <w:tcBorders>
              <w:top w:val="single" w:color="CCCCCC" w:sz="4"/>
              <w:left w:val="single" w:color="CCCCCC" w:sz="4"/>
              <w:bottom w:val="single" w:color="CCCCCC" w:sz="4"/>
              <w:right w:val="single" w:color="CCCCCC" w:sz="4"/>
            </w:tcBorders>
            <w:shd w:fill="E8EDF5" w:val="clear"/>
            <w:tcMar>
              <w:top w:type="dxa" w:w="80"/>
              <w:left w:type="dxa" w:w="120"/>
              <w:bottom w:type="dxa" w:w="80"/>
              <w:right w:type="dxa" w:w="120"/>
            </w:tcMar>
          </w:tcPr>
          <w:p>
            <w:pPr>
              <w:spacing w:after="0"/>
            </w:pPr>
            <w:r>
              <w:rPr>
                <w:rFonts w:ascii="Arial" w:cs="Arial" w:eastAsia="Arial" w:hAnsi="Arial"/>
                <w:b/>
                <w:bCs/>
                <w:sz w:val="20"/>
                <w:szCs w:val="20"/>
              </w:rPr>
              <w:t xml:space="preserve">Holdout R²</w:t>
            </w:r>
          </w:p>
        </w:tc>
        <w:tc>
          <w:tcPr>
            <w:tcW w:type="dxa" w:w="1664"/>
            <w:tcBorders>
              <w:top w:val="single" w:color="CCCCCC" w:sz="4"/>
              <w:left w:val="single" w:color="CCCCCC" w:sz="4"/>
              <w:bottom w:val="single" w:color="CCCCCC" w:sz="4"/>
              <w:right w:val="single" w:color="CCCCCC" w:sz="4"/>
            </w:tcBorders>
            <w:shd w:fill="E8EDF5" w:val="clear"/>
            <w:tcMar>
              <w:top w:type="dxa" w:w="80"/>
              <w:left w:type="dxa" w:w="120"/>
              <w:bottom w:type="dxa" w:w="80"/>
              <w:right w:type="dxa" w:w="120"/>
            </w:tcMar>
          </w:tcPr>
          <w:p>
            <w:pPr>
              <w:spacing w:after="0"/>
            </w:pPr>
            <w:r>
              <w:rPr>
                <w:rFonts w:ascii="Arial" w:cs="Arial" w:eastAsia="Arial" w:hAnsi="Arial"/>
                <w:b/>
                <w:bCs/>
                <w:sz w:val="20"/>
                <w:szCs w:val="20"/>
              </w:rPr>
              <w:t xml:space="preserve">Holdout MAE</w:t>
            </w:r>
          </w:p>
        </w:tc>
        <w:tc>
          <w:tcPr>
            <w:tcW w:type="dxa" w:w="2080"/>
            <w:tcBorders>
              <w:top w:val="single" w:color="CCCCCC" w:sz="4"/>
              <w:left w:val="single" w:color="CCCCCC" w:sz="4"/>
              <w:bottom w:val="single" w:color="CCCCCC" w:sz="4"/>
              <w:right w:val="single" w:color="CCCCCC" w:sz="4"/>
            </w:tcBorders>
            <w:shd w:fill="E8EDF5" w:val="clear"/>
            <w:tcMar>
              <w:top w:type="dxa" w:w="80"/>
              <w:left w:type="dxa" w:w="120"/>
              <w:bottom w:type="dxa" w:w="80"/>
              <w:right w:type="dxa" w:w="120"/>
            </w:tcMar>
          </w:tcPr>
          <w:p>
            <w:pPr>
              <w:spacing w:after="0"/>
            </w:pPr>
            <w:r>
              <w:rPr>
                <w:rFonts w:ascii="Arial" w:cs="Arial" w:eastAsia="Arial" w:hAnsi="Arial"/>
                <w:b/>
                <w:bCs/>
                <w:sz w:val="20"/>
                <w:szCs w:val="20"/>
              </w:rPr>
              <w:t xml:space="preserve">CV→Holdout gap</w:t>
            </w:r>
          </w:p>
        </w:tc>
      </w:tr>
      <w:tr>
        <w:tc>
          <w:tcPr>
            <w:tcW w:type="dxa" w:w="1872"/>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sz w:val="20"/>
                <w:szCs w:val="20"/>
              </w:rPr>
              <w:t xml:space="preserve">CM-only</w:t>
            </w:r>
          </w:p>
        </w:tc>
        <w:tc>
          <w:tcPr>
            <w:tcW w:type="dxa" w:w="20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sz w:val="20"/>
                <w:szCs w:val="20"/>
              </w:rPr>
              <w:t xml:space="preserve">−0.862 ± 0.355</w:t>
            </w:r>
          </w:p>
        </w:tc>
        <w:tc>
          <w:tcPr>
            <w:tcW w:type="dxa" w:w="1664"/>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sz w:val="20"/>
                <w:szCs w:val="20"/>
              </w:rPr>
              <w:t xml:space="preserve">−0.492</w:t>
            </w:r>
          </w:p>
        </w:tc>
        <w:tc>
          <w:tcPr>
            <w:tcW w:type="dxa" w:w="1664"/>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sz w:val="20"/>
                <w:szCs w:val="20"/>
              </w:rPr>
              <w:t xml:space="preserve">26.59</w:t>
            </w:r>
          </w:p>
        </w:tc>
        <w:tc>
          <w:tcPr>
            <w:tcW w:type="dxa" w:w="20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sz w:val="20"/>
                <w:szCs w:val="20"/>
              </w:rPr>
              <w:t xml:space="preserve">+0.370</w:t>
            </w:r>
          </w:p>
        </w:tc>
      </w:tr>
      <w:tr>
        <w:tc>
          <w:tcPr>
            <w:tcW w:type="dxa" w:w="1872"/>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sz w:val="20"/>
                <w:szCs w:val="20"/>
              </w:rPr>
              <w:t xml:space="preserve">Ridge</w:t>
            </w:r>
          </w:p>
        </w:tc>
        <w:tc>
          <w:tcPr>
            <w:tcW w:type="dxa" w:w="20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sz w:val="20"/>
                <w:szCs w:val="20"/>
              </w:rPr>
              <w:t xml:space="preserve">0.721 ± 0.190</w:t>
            </w:r>
          </w:p>
        </w:tc>
        <w:tc>
          <w:tcPr>
            <w:tcW w:type="dxa" w:w="1664"/>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sz w:val="20"/>
                <w:szCs w:val="20"/>
              </w:rPr>
              <w:t xml:space="preserve">0.867</w:t>
            </w:r>
          </w:p>
        </w:tc>
        <w:tc>
          <w:tcPr>
            <w:tcW w:type="dxa" w:w="1664"/>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sz w:val="20"/>
                <w:szCs w:val="20"/>
              </w:rPr>
              <w:t xml:space="preserve">9.19</w:t>
            </w:r>
          </w:p>
        </w:tc>
        <w:tc>
          <w:tcPr>
            <w:tcW w:type="dxa" w:w="20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sz w:val="20"/>
                <w:szCs w:val="20"/>
              </w:rPr>
              <w:t xml:space="preserve">+0.146</w:t>
            </w:r>
          </w:p>
        </w:tc>
      </w:tr>
      <w:tr>
        <w:tc>
          <w:tcPr>
            <w:tcW w:type="dxa" w:w="1872"/>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sz w:val="20"/>
                <w:szCs w:val="20"/>
              </w:rPr>
              <w:t xml:space="preserve">Random Forest</w:t>
            </w:r>
          </w:p>
        </w:tc>
        <w:tc>
          <w:tcPr>
            <w:tcW w:type="dxa" w:w="20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sz w:val="20"/>
                <w:szCs w:val="20"/>
              </w:rPr>
              <w:t xml:space="preserve">0.901 ± 0.057</w:t>
            </w:r>
          </w:p>
        </w:tc>
        <w:tc>
          <w:tcPr>
            <w:tcW w:type="dxa" w:w="1664"/>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sz w:val="20"/>
                <w:szCs w:val="20"/>
              </w:rPr>
              <w:t xml:space="preserve">0.894</w:t>
            </w:r>
          </w:p>
        </w:tc>
        <w:tc>
          <w:tcPr>
            <w:tcW w:type="dxa" w:w="1664"/>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sz w:val="20"/>
                <w:szCs w:val="20"/>
              </w:rPr>
              <w:t xml:space="preserve">7.87</w:t>
            </w:r>
          </w:p>
        </w:tc>
        <w:tc>
          <w:tcPr>
            <w:tcW w:type="dxa" w:w="20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sz w:val="20"/>
                <w:szCs w:val="20"/>
              </w:rPr>
              <w:t xml:space="preserve">−0.007</w:t>
            </w:r>
          </w:p>
        </w:tc>
      </w:tr>
      <w:tr>
        <w:tc>
          <w:tcPr>
            <w:tcW w:type="dxa" w:w="1872"/>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sz w:val="20"/>
                <w:szCs w:val="20"/>
              </w:rPr>
              <w:t xml:space="preserve">XGBoost</w:t>
            </w:r>
          </w:p>
        </w:tc>
        <w:tc>
          <w:tcPr>
            <w:tcW w:type="dxa" w:w="20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sz w:val="20"/>
                <w:szCs w:val="20"/>
              </w:rPr>
              <w:t xml:space="preserve">0.928 ± 0.053</w:t>
            </w:r>
          </w:p>
        </w:tc>
        <w:tc>
          <w:tcPr>
            <w:tcW w:type="dxa" w:w="1664"/>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sz w:val="20"/>
                <w:szCs w:val="20"/>
              </w:rPr>
              <w:t xml:space="preserve">0.879</w:t>
            </w:r>
          </w:p>
        </w:tc>
        <w:tc>
          <w:tcPr>
            <w:tcW w:type="dxa" w:w="1664"/>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sz w:val="20"/>
                <w:szCs w:val="20"/>
              </w:rPr>
              <w:t xml:space="preserve">8.08</w:t>
            </w:r>
          </w:p>
        </w:tc>
        <w:tc>
          <w:tcPr>
            <w:tcW w:type="dxa" w:w="20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sz w:val="20"/>
                <w:szCs w:val="20"/>
              </w:rPr>
              <w:t xml:space="preserve">−0.049</w:t>
            </w:r>
          </w:p>
        </w:tc>
      </w:tr>
      <w:tr>
        <w:tc>
          <w:tcPr>
            <w:tcW w:type="dxa" w:w="1872"/>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sz w:val="20"/>
                <w:szCs w:val="20"/>
              </w:rPr>
              <w:t xml:space="preserve">CatBoost</w:t>
            </w:r>
          </w:p>
        </w:tc>
        <w:tc>
          <w:tcPr>
            <w:tcW w:type="dxa" w:w="20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sz w:val="20"/>
                <w:szCs w:val="20"/>
              </w:rPr>
              <w:t xml:space="preserve">0.930 ± 0.041</w:t>
            </w:r>
          </w:p>
        </w:tc>
        <w:tc>
          <w:tcPr>
            <w:tcW w:type="dxa" w:w="1664"/>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sz w:val="20"/>
                <w:szCs w:val="20"/>
              </w:rPr>
              <w:t xml:space="preserve">0.910</w:t>
            </w:r>
          </w:p>
        </w:tc>
        <w:tc>
          <w:tcPr>
            <w:tcW w:type="dxa" w:w="1664"/>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sz w:val="20"/>
                <w:szCs w:val="20"/>
              </w:rPr>
              <w:t xml:space="preserve">7.04</w:t>
            </w:r>
          </w:p>
        </w:tc>
        <w:tc>
          <w:tcPr>
            <w:tcW w:type="dxa" w:w="20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sz w:val="20"/>
                <w:szCs w:val="20"/>
              </w:rPr>
              <w:t xml:space="preserve">−0.020</w:t>
            </w:r>
          </w:p>
        </w:tc>
      </w:tr>
      <w:tr>
        <w:tc>
          <w:tcPr>
            <w:tcW w:type="dxa" w:w="1872"/>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sz w:val="20"/>
                <w:szCs w:val="20"/>
              </w:rPr>
              <w:t xml:space="preserve">BPNN (MLP)</w:t>
            </w:r>
          </w:p>
        </w:tc>
        <w:tc>
          <w:tcPr>
            <w:tcW w:type="dxa" w:w="20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sz w:val="20"/>
                <w:szCs w:val="20"/>
              </w:rPr>
              <w:t xml:space="preserve">0.914 ± 0.093</w:t>
            </w:r>
          </w:p>
        </w:tc>
        <w:tc>
          <w:tcPr>
            <w:tcW w:type="dxa" w:w="1664"/>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sz w:val="20"/>
                <w:szCs w:val="20"/>
              </w:rPr>
              <w:t xml:space="preserve">0.957</w:t>
            </w:r>
          </w:p>
        </w:tc>
        <w:tc>
          <w:tcPr>
            <w:tcW w:type="dxa" w:w="1664"/>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sz w:val="20"/>
                <w:szCs w:val="20"/>
              </w:rPr>
              <w:t xml:space="preserve">5.40</w:t>
            </w:r>
          </w:p>
        </w:tc>
        <w:tc>
          <w:tcPr>
            <w:tcW w:type="dxa" w:w="20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sz w:val="20"/>
                <w:szCs w:val="20"/>
              </w:rPr>
              <w:t xml:space="preserve">+0.043</w:t>
            </w:r>
          </w:p>
        </w:tc>
      </w:tr>
      <w:tr>
        <w:tc>
          <w:tcPr>
            <w:tcW w:type="dxa" w:w="1872"/>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sz w:val="20"/>
                <w:szCs w:val="20"/>
              </w:rPr>
              <w:t xml:space="preserve">PIRNN</w:t>
            </w:r>
          </w:p>
        </w:tc>
        <w:tc>
          <w:tcPr>
            <w:tcW w:type="dxa" w:w="20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sz w:val="20"/>
                <w:szCs w:val="20"/>
              </w:rPr>
              <w:t xml:space="preserve">0.863 ± 0.181</w:t>
            </w:r>
          </w:p>
        </w:tc>
        <w:tc>
          <w:tcPr>
            <w:tcW w:type="dxa" w:w="1664"/>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sz w:val="20"/>
                <w:szCs w:val="20"/>
              </w:rPr>
              <w:t xml:space="preserve">0.937</w:t>
            </w:r>
          </w:p>
        </w:tc>
        <w:tc>
          <w:tcPr>
            <w:tcW w:type="dxa" w:w="1664"/>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sz w:val="20"/>
                <w:szCs w:val="20"/>
              </w:rPr>
              <w:t xml:space="preserve">6.01</w:t>
            </w:r>
          </w:p>
        </w:tc>
        <w:tc>
          <w:tcPr>
            <w:tcW w:type="dxa" w:w="20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sz w:val="20"/>
                <w:szCs w:val="20"/>
              </w:rPr>
              <w:t xml:space="preserve">+0.074</w:t>
            </w:r>
          </w:p>
        </w:tc>
      </w:tr>
      <w:tr>
        <w:tc>
          <w:tcPr>
            <w:tcW w:type="dxa" w:w="1872"/>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sz w:val="20"/>
                <w:szCs w:val="20"/>
              </w:rPr>
              <w:t xml:space="preserve">PCNN (ours)</w:t>
            </w:r>
          </w:p>
        </w:tc>
        <w:tc>
          <w:tcPr>
            <w:tcW w:type="dxa" w:w="20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sz w:val="20"/>
                <w:szCs w:val="20"/>
              </w:rPr>
              <w:t xml:space="preserve">0.893 ± 0.043</w:t>
            </w:r>
          </w:p>
        </w:tc>
        <w:tc>
          <w:tcPr>
            <w:tcW w:type="dxa" w:w="1664"/>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sz w:val="20"/>
                <w:szCs w:val="20"/>
              </w:rPr>
              <w:t xml:space="preserve">0.941</w:t>
            </w:r>
          </w:p>
        </w:tc>
        <w:tc>
          <w:tcPr>
            <w:tcW w:type="dxa" w:w="1664"/>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sz w:val="20"/>
                <w:szCs w:val="20"/>
              </w:rPr>
              <w:t xml:space="preserve">5.77</w:t>
            </w:r>
          </w:p>
        </w:tc>
        <w:tc>
          <w:tcPr>
            <w:tcW w:type="dxa" w:w="20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sz w:val="20"/>
                <w:szCs w:val="20"/>
              </w:rPr>
              <w:t xml:space="preserve">+0.048</w:t>
            </w:r>
          </w:p>
        </w:tc>
      </w:tr>
    </w:tbl>
    <w:p>
      <w:pPr>
        <w:spacing w:after="0" w:line="480" w:lineRule="auto"/>
        <w:jc w:val="left"/>
      </w:pPr>
      <w:r>
        <w:rPr>
          <w:rFonts w:ascii="Arial" w:cs="Arial" w:eastAsia="Arial" w:hAnsi="Arial"/>
          <w:sz w:val="22"/>
          <w:szCs w:val="22"/>
        </w:rPr>
        <w:t xml:space="preserve"/>
      </w:r>
    </w:p>
    <w:p>
      <w:pPr>
        <w:spacing w:after="0" w:line="480" w:lineRule="auto"/>
        <w:jc w:val="left"/>
      </w:pPr>
      <w:r>
        <w:rPr>
          <w:rFonts w:ascii="Arial" w:cs="Arial" w:eastAsia="Arial" w:hAnsi="Arial"/>
          <w:sz w:val="22"/>
          <w:szCs w:val="22"/>
        </w:rPr>
        <w:t xml:space="preserve"/>
      </w:r>
    </w:p>
    <w:p>
      <w:pPr>
        <w:spacing w:after="120" w:before="0" w:line="280" w:lineRule="auto"/>
        <w:jc w:val="left"/>
      </w:pPr>
      <w:r>
        <w:rPr>
          <w:rFonts w:ascii="Arial" w:cs="Arial" w:eastAsia="Arial" w:hAnsi="Arial"/>
          <w:b/>
          <w:bCs/>
          <w:i w:val="false"/>
          <w:iCs w:val="false"/>
          <w:sz w:val="22"/>
          <w:szCs w:val="22"/>
        </w:rPr>
        <w:t xml:space="preserve">Table 2 | </w:t>
      </w:r>
      <w:r>
        <w:rPr>
          <w:rFonts w:ascii="Arial" w:cs="Arial" w:eastAsia="Arial" w:hAnsi="Arial"/>
          <w:b w:val="false"/>
          <w:bCs w:val="false"/>
          <w:i w:val="false"/>
          <w:iCs w:val="false"/>
          <w:sz w:val="22"/>
          <w:szCs w:val="22"/>
        </w:rPr>
        <w:t xml:space="preserve">Model performance summary. Predictive R², MAE and applicability-domain coverage across the five evaluation regimes (Methods). LOFO = Leave-One-Family-Out; AD = applicability domain (σ_conf &lt; 0.35 ∩ KDE log-density gate). MAE is reported for evaluations on the full corpus; per-family LOFO MAE is given for Pb only because it is the principal extrapolation boundary.</w:t>
      </w:r>
    </w:p>
    <w:tbl>
      <w:tblPr>
        <w:tblW w:type="dxa" w:w="9488"/>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dxa" w:w="3500"/>
            <w:tcBorders>
              <w:top w:val="single" w:color="CCCCCC" w:sz="4"/>
              <w:left w:val="single" w:color="CCCCCC" w:sz="4"/>
              <w:bottom w:val="single" w:color="CCCCCC" w:sz="4"/>
              <w:right w:val="single" w:color="CCCCCC" w:sz="4"/>
            </w:tcBorders>
            <w:shd w:fill="E8EDF5" w:val="clear"/>
            <w:tcMar>
              <w:top w:type="dxa" w:w="80"/>
              <w:left w:type="dxa" w:w="120"/>
              <w:bottom w:type="dxa" w:w="80"/>
              <w:right w:type="dxa" w:w="120"/>
            </w:tcMar>
          </w:tcPr>
          <w:p>
            <w:pPr>
              <w:spacing w:after="0"/>
            </w:pPr>
            <w:r>
              <w:rPr>
                <w:rFonts w:ascii="Arial" w:cs="Arial" w:eastAsia="Arial" w:hAnsi="Arial"/>
                <w:b/>
                <w:bCs/>
                <w:sz w:val="20"/>
                <w:szCs w:val="20"/>
              </w:rPr>
              <w:t xml:space="preserve">Evaluation</w:t>
            </w:r>
          </w:p>
        </w:tc>
        <w:tc>
          <w:tcPr>
            <w:tcW w:type="dxa" w:w="3000"/>
            <w:tcBorders>
              <w:top w:val="single" w:color="CCCCCC" w:sz="4"/>
              <w:left w:val="single" w:color="CCCCCC" w:sz="4"/>
              <w:bottom w:val="single" w:color="CCCCCC" w:sz="4"/>
              <w:right w:val="single" w:color="CCCCCC" w:sz="4"/>
            </w:tcBorders>
            <w:shd w:fill="E8EDF5" w:val="clear"/>
            <w:tcMar>
              <w:top w:type="dxa" w:w="80"/>
              <w:left w:type="dxa" w:w="120"/>
              <w:bottom w:type="dxa" w:w="80"/>
              <w:right w:type="dxa" w:w="120"/>
            </w:tcMar>
          </w:tcPr>
          <w:p>
            <w:pPr>
              <w:spacing w:after="0"/>
            </w:pPr>
            <w:r>
              <w:rPr>
                <w:rFonts w:ascii="Arial" w:cs="Arial" w:eastAsia="Arial" w:hAnsi="Arial"/>
                <w:b/>
                <w:bCs/>
                <w:sz w:val="20"/>
                <w:szCs w:val="20"/>
              </w:rPr>
              <w:t xml:space="preserve">R²</w:t>
            </w:r>
          </w:p>
        </w:tc>
        <w:tc>
          <w:tcPr>
            <w:tcW w:type="dxa" w:w="1500"/>
            <w:tcBorders>
              <w:top w:val="single" w:color="CCCCCC" w:sz="4"/>
              <w:left w:val="single" w:color="CCCCCC" w:sz="4"/>
              <w:bottom w:val="single" w:color="CCCCCC" w:sz="4"/>
              <w:right w:val="single" w:color="CCCCCC" w:sz="4"/>
            </w:tcBorders>
            <w:shd w:fill="E8EDF5" w:val="clear"/>
            <w:tcMar>
              <w:top w:type="dxa" w:w="80"/>
              <w:left w:type="dxa" w:w="120"/>
              <w:bottom w:type="dxa" w:w="80"/>
              <w:right w:type="dxa" w:w="120"/>
            </w:tcMar>
          </w:tcPr>
          <w:p>
            <w:pPr>
              <w:spacing w:after="0"/>
            </w:pPr>
            <w:r>
              <w:rPr>
                <w:rFonts w:ascii="Arial" w:cs="Arial" w:eastAsia="Arial" w:hAnsi="Arial"/>
                <w:b/>
                <w:bCs/>
                <w:sz w:val="20"/>
                <w:szCs w:val="20"/>
              </w:rPr>
              <w:t xml:space="preserve">MAE (ε_r units)</w:t>
            </w:r>
          </w:p>
        </w:tc>
        <w:tc>
          <w:tcPr>
            <w:tcW w:type="dxa" w:w="1488"/>
            <w:tcBorders>
              <w:top w:val="single" w:color="CCCCCC" w:sz="4"/>
              <w:left w:val="single" w:color="CCCCCC" w:sz="4"/>
              <w:bottom w:val="single" w:color="CCCCCC" w:sz="4"/>
              <w:right w:val="single" w:color="CCCCCC" w:sz="4"/>
            </w:tcBorders>
            <w:shd w:fill="E8EDF5" w:val="clear"/>
            <w:tcMar>
              <w:top w:type="dxa" w:w="80"/>
              <w:left w:type="dxa" w:w="120"/>
              <w:bottom w:type="dxa" w:w="80"/>
              <w:right w:type="dxa" w:w="120"/>
            </w:tcMar>
          </w:tcPr>
          <w:p>
            <w:pPr>
              <w:spacing w:after="0"/>
            </w:pPr>
            <w:r>
              <w:rPr>
                <w:rFonts w:ascii="Arial" w:cs="Arial" w:eastAsia="Arial" w:hAnsi="Arial"/>
                <w:b/>
                <w:bCs/>
                <w:sz w:val="20"/>
                <w:szCs w:val="20"/>
              </w:rPr>
              <w:t xml:space="preserve">n</w:t>
            </w:r>
          </w:p>
        </w:tc>
      </w:tr>
      <w:tr>
        <w:tc>
          <w:tcPr>
            <w:tcW w:type="dxa" w:w="3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sz w:val="20"/>
                <w:szCs w:val="20"/>
              </w:rPr>
              <w:t xml:space="preserve">Held-out (family-disjoint)</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sz w:val="20"/>
                <w:szCs w:val="20"/>
              </w:rPr>
              <w:t xml:space="preserve">0.941</w:t>
            </w:r>
          </w:p>
        </w:tc>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sz w:val="20"/>
                <w:szCs w:val="20"/>
              </w:rPr>
              <w:t xml:space="preserve">5.77</w:t>
            </w:r>
          </w:p>
        </w:tc>
        <w:tc>
          <w:tcPr>
            <w:tcW w:type="dxa" w:w="148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sz w:val="20"/>
                <w:szCs w:val="20"/>
              </w:rPr>
              <w:t xml:space="preserve">116</w:t>
            </w:r>
          </w:p>
        </w:tc>
      </w:tr>
      <w:tr>
        <w:tc>
          <w:tcPr>
            <w:tcW w:type="dxa" w:w="3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sz w:val="20"/>
                <w:szCs w:val="20"/>
              </w:rPr>
              <w:t xml:space="preserve">Formula-split 5-fold CV</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sz w:val="20"/>
                <w:szCs w:val="20"/>
              </w:rPr>
              <w:t xml:space="preserve">0.946 ± 0.008</w:t>
            </w:r>
          </w:p>
        </w:tc>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sz w:val="20"/>
                <w:szCs w:val="20"/>
              </w:rPr>
              <w:t xml:space="preserve">3.78</w:t>
            </w:r>
          </w:p>
        </w:tc>
        <w:tc>
          <w:tcPr>
            <w:tcW w:type="dxa" w:w="148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sz w:val="20"/>
                <w:szCs w:val="20"/>
              </w:rPr>
              <w:t xml:space="preserve">1,188</w:t>
            </w:r>
          </w:p>
        </w:tc>
      </w:tr>
      <w:tr>
        <w:tc>
          <w:tcPr>
            <w:tcW w:type="dxa" w:w="3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sz w:val="20"/>
                <w:szCs w:val="20"/>
              </w:rPr>
              <w:t xml:space="preserve">Strat-GSS 5-fold CV</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sz w:val="20"/>
                <w:szCs w:val="20"/>
              </w:rPr>
              <w:t xml:space="preserve">0.893 ± 0.043</w:t>
            </w:r>
          </w:p>
        </w:tc>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sz w:val="20"/>
                <w:szCs w:val="20"/>
              </w:rPr>
              <w:t xml:space="preserve">5.62</w:t>
            </w:r>
          </w:p>
        </w:tc>
        <w:tc>
          <w:tcPr>
            <w:tcW w:type="dxa" w:w="148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sz w:val="20"/>
                <w:szCs w:val="20"/>
              </w:rPr>
              <w:t xml:space="preserve">1,188</w:t>
            </w:r>
          </w:p>
        </w:tc>
      </w:tr>
      <w:tr>
        <w:tc>
          <w:tcPr>
            <w:tcW w:type="dxa" w:w="3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sz w:val="20"/>
                <w:szCs w:val="20"/>
              </w:rPr>
              <w:t xml:space="preserve">A-site LOFO — Ba</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sz w:val="20"/>
                <w:szCs w:val="20"/>
              </w:rPr>
              <w:t xml:space="preserve">0.008</w:t>
            </w:r>
          </w:p>
        </w:tc>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sz w:val="20"/>
                <w:szCs w:val="20"/>
              </w:rPr>
              <w:t xml:space="preserve">—</w:t>
            </w:r>
          </w:p>
        </w:tc>
        <w:tc>
          <w:tcPr>
            <w:tcW w:type="dxa" w:w="148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sz w:val="20"/>
                <w:szCs w:val="20"/>
              </w:rPr>
              <w:t xml:space="preserve">436</w:t>
            </w:r>
          </w:p>
        </w:tc>
      </w:tr>
      <w:tr>
        <w:tc>
          <w:tcPr>
            <w:tcW w:type="dxa" w:w="3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sz w:val="20"/>
                <w:szCs w:val="20"/>
              </w:rPr>
              <w:t xml:space="preserve">A-site LOFO — Sr</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sz w:val="20"/>
                <w:szCs w:val="20"/>
              </w:rPr>
              <w:t xml:space="preserve">0.434</w:t>
            </w:r>
          </w:p>
        </w:tc>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sz w:val="20"/>
                <w:szCs w:val="20"/>
              </w:rPr>
              <w:t xml:space="preserve">—</w:t>
            </w:r>
          </w:p>
        </w:tc>
        <w:tc>
          <w:tcPr>
            <w:tcW w:type="dxa" w:w="148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sz w:val="20"/>
                <w:szCs w:val="20"/>
              </w:rPr>
              <w:t xml:space="preserve">180</w:t>
            </w:r>
          </w:p>
        </w:tc>
      </w:tr>
      <w:tr>
        <w:tc>
          <w:tcPr>
            <w:tcW w:type="dxa" w:w="3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sz w:val="20"/>
                <w:szCs w:val="20"/>
              </w:rPr>
              <w:t xml:space="preserve">A-site LOFO — Ca</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sz w:val="20"/>
                <w:szCs w:val="20"/>
              </w:rPr>
              <w:t xml:space="preserve">0.610</w:t>
            </w:r>
          </w:p>
        </w:tc>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sz w:val="20"/>
                <w:szCs w:val="20"/>
              </w:rPr>
              <w:t xml:space="preserve">—</w:t>
            </w:r>
          </w:p>
        </w:tc>
        <w:tc>
          <w:tcPr>
            <w:tcW w:type="dxa" w:w="148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sz w:val="20"/>
                <w:szCs w:val="20"/>
              </w:rPr>
              <w:t xml:space="preserve">421</w:t>
            </w:r>
          </w:p>
        </w:tc>
      </w:tr>
      <w:tr>
        <w:tc>
          <w:tcPr>
            <w:tcW w:type="dxa" w:w="3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sz w:val="20"/>
                <w:szCs w:val="20"/>
              </w:rPr>
              <w:t xml:space="preserve">A-site LOFO — La</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sz w:val="20"/>
                <w:szCs w:val="20"/>
              </w:rPr>
              <w:t xml:space="preserve">0.849</w:t>
            </w:r>
          </w:p>
        </w:tc>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sz w:val="20"/>
                <w:szCs w:val="20"/>
              </w:rPr>
              <w:t xml:space="preserve">—</w:t>
            </w:r>
          </w:p>
        </w:tc>
        <w:tc>
          <w:tcPr>
            <w:tcW w:type="dxa" w:w="148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sz w:val="20"/>
                <w:szCs w:val="20"/>
              </w:rPr>
              <w:t xml:space="preserve">125</w:t>
            </w:r>
          </w:p>
        </w:tc>
      </w:tr>
      <w:tr>
        <w:tc>
          <w:tcPr>
            <w:tcW w:type="dxa" w:w="3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sz w:val="20"/>
                <w:szCs w:val="20"/>
              </w:rPr>
              <w:t xml:space="preserve">A-site LOFO — Pb</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sz w:val="20"/>
                <w:szCs w:val="20"/>
              </w:rPr>
              <w:t xml:space="preserve">−0.097</w:t>
            </w:r>
          </w:p>
        </w:tc>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sz w:val="20"/>
                <w:szCs w:val="20"/>
              </w:rPr>
              <w:t xml:space="preserve">20.7</w:t>
            </w:r>
          </w:p>
        </w:tc>
        <w:tc>
          <w:tcPr>
            <w:tcW w:type="dxa" w:w="148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sz w:val="20"/>
                <w:szCs w:val="20"/>
              </w:rPr>
              <w:t xml:space="preserve">86</w:t>
            </w:r>
          </w:p>
        </w:tc>
      </w:tr>
      <w:tr>
        <w:tc>
          <w:tcPr>
            <w:tcW w:type="dxa" w:w="3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sz w:val="20"/>
                <w:szCs w:val="20"/>
              </w:rPr>
              <w:t xml:space="preserve">Regime LOFO — Ia</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sz w:val="20"/>
                <w:szCs w:val="20"/>
              </w:rPr>
              <w:t xml:space="preserve">−7.378</w:t>
            </w:r>
          </w:p>
        </w:tc>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sz w:val="20"/>
                <w:szCs w:val="20"/>
              </w:rPr>
              <w:t xml:space="preserve">—</w:t>
            </w:r>
          </w:p>
        </w:tc>
        <w:tc>
          <w:tcPr>
            <w:tcW w:type="dxa" w:w="148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sz w:val="20"/>
                <w:szCs w:val="20"/>
              </w:rPr>
              <w:t xml:space="preserve">60</w:t>
            </w:r>
          </w:p>
        </w:tc>
      </w:tr>
      <w:tr>
        <w:tc>
          <w:tcPr>
            <w:tcW w:type="dxa" w:w="3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sz w:val="20"/>
                <w:szCs w:val="20"/>
              </w:rPr>
              <w:t xml:space="preserve">Regime LOFO — Ib</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sz w:val="20"/>
                <w:szCs w:val="20"/>
              </w:rPr>
              <w:t xml:space="preserve">−0.158</w:t>
            </w:r>
          </w:p>
        </w:tc>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sz w:val="20"/>
                <w:szCs w:val="20"/>
              </w:rPr>
              <w:t xml:space="preserve">—</w:t>
            </w:r>
          </w:p>
        </w:tc>
        <w:tc>
          <w:tcPr>
            <w:tcW w:type="dxa" w:w="148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sz w:val="20"/>
                <w:szCs w:val="20"/>
              </w:rPr>
              <w:t xml:space="preserve">354</w:t>
            </w:r>
          </w:p>
        </w:tc>
      </w:tr>
      <w:tr>
        <w:tc>
          <w:tcPr>
            <w:tcW w:type="dxa" w:w="3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sz w:val="20"/>
                <w:szCs w:val="20"/>
              </w:rPr>
              <w:t xml:space="preserve">Regime LOFO — II</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sz w:val="20"/>
                <w:szCs w:val="20"/>
              </w:rPr>
              <w:t xml:space="preserve">0.654</w:t>
            </w:r>
          </w:p>
        </w:tc>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sz w:val="20"/>
                <w:szCs w:val="20"/>
              </w:rPr>
              <w:t xml:space="preserve">—</w:t>
            </w:r>
          </w:p>
        </w:tc>
        <w:tc>
          <w:tcPr>
            <w:tcW w:type="dxa" w:w="148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sz w:val="20"/>
                <w:szCs w:val="20"/>
              </w:rPr>
              <w:t xml:space="preserve">331</w:t>
            </w:r>
          </w:p>
        </w:tc>
      </w:tr>
      <w:tr>
        <w:tc>
          <w:tcPr>
            <w:tcW w:type="dxa" w:w="3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sz w:val="20"/>
                <w:szCs w:val="20"/>
              </w:rPr>
              <w:t xml:space="preserve">Regime LOFO — III</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sz w:val="20"/>
                <w:szCs w:val="20"/>
              </w:rPr>
              <w:t xml:space="preserve">0.490</w:t>
            </w:r>
          </w:p>
        </w:tc>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sz w:val="20"/>
                <w:szCs w:val="20"/>
              </w:rPr>
              <w:t xml:space="preserve">—</w:t>
            </w:r>
          </w:p>
        </w:tc>
        <w:tc>
          <w:tcPr>
            <w:tcW w:type="dxa" w:w="148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sz w:val="20"/>
                <w:szCs w:val="20"/>
              </w:rPr>
              <w:t xml:space="preserve">559</w:t>
            </w:r>
          </w:p>
        </w:tc>
      </w:tr>
      <w:tr>
        <w:tc>
          <w:tcPr>
            <w:tcW w:type="dxa" w:w="3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sz w:val="20"/>
                <w:szCs w:val="20"/>
              </w:rPr>
              <w:t xml:space="preserve">Applicability domain (in-AD)</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sz w:val="20"/>
                <w:szCs w:val="20"/>
              </w:rPr>
              <w:t xml:space="preserve">0.933</w:t>
            </w:r>
          </w:p>
        </w:tc>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sz w:val="20"/>
                <w:szCs w:val="20"/>
              </w:rPr>
              <w:t xml:space="preserve">—</w:t>
            </w:r>
          </w:p>
        </w:tc>
        <w:tc>
          <w:tcPr>
            <w:tcW w:type="dxa" w:w="148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sz w:val="20"/>
                <w:szCs w:val="20"/>
              </w:rPr>
              <w:t xml:space="preserve">688</w:t>
            </w:r>
          </w:p>
        </w:tc>
      </w:tr>
      <w:tr>
        <w:tc>
          <w:tcPr>
            <w:tcW w:type="dxa" w:w="3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sz w:val="20"/>
                <w:szCs w:val="20"/>
              </w:rPr>
              <w:t xml:space="preserve">Applicability domain (out-of-AD)</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sz w:val="20"/>
                <w:szCs w:val="20"/>
              </w:rPr>
              <w:t xml:space="preserve">0.858</w:t>
            </w:r>
          </w:p>
        </w:tc>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sz w:val="20"/>
                <w:szCs w:val="20"/>
              </w:rPr>
              <w:t xml:space="preserve">—</w:t>
            </w:r>
          </w:p>
        </w:tc>
        <w:tc>
          <w:tcPr>
            <w:tcW w:type="dxa" w:w="148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sz w:val="20"/>
                <w:szCs w:val="20"/>
              </w:rPr>
              <w:t xml:space="preserve">616</w:t>
            </w:r>
          </w:p>
        </w:tc>
      </w:tr>
      <w:tr>
        <w:tc>
          <w:tcPr>
            <w:tcW w:type="dxa" w:w="3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sz w:val="20"/>
                <w:szCs w:val="20"/>
              </w:rPr>
              <w:t xml:space="preserve">Conformal coverage (nom. 80/85/90/95%)</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sz w:val="20"/>
                <w:szCs w:val="20"/>
              </w:rPr>
              <w:t xml:space="preserve">80.2 / 85.3 / 90.5 / 95.7 % empirical</w:t>
            </w:r>
          </w:p>
        </w:tc>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sz w:val="20"/>
                <w:szCs w:val="20"/>
              </w:rPr>
              <w:t xml:space="preserve">—</w:t>
            </w:r>
          </w:p>
        </w:tc>
        <w:tc>
          <w:tcPr>
            <w:tcW w:type="dxa" w:w="148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pPr>
            <w:r>
              <w:rPr>
                <w:rFonts w:ascii="Arial" w:cs="Arial" w:eastAsia="Arial" w:hAnsi="Arial"/>
                <w:sz w:val="20"/>
                <w:szCs w:val="20"/>
              </w:rPr>
              <w:t xml:space="preserve">116</w:t>
            </w:r>
          </w:p>
        </w:tc>
      </w:tr>
    </w:tbl>
    <w:p>
      <w:pPr>
        <w:spacing w:after="0" w:line="480" w:lineRule="auto"/>
        <w:jc w:val="left"/>
      </w:pPr>
      <w:r>
        <w:rPr>
          <w:rFonts w:ascii="Arial" w:cs="Arial" w:eastAsia="Arial" w:hAnsi="Arial"/>
          <w:sz w:val="22"/>
          <w:szCs w:val="22"/>
        </w:rPr>
        <w:t xml:space="preserve"/>
      </w:r>
    </w:p>
    <w:p>
      <w:pPr>
        <w:spacing w:after="160" w:before="220" w:line="480" w:lineRule="auto"/>
      </w:pPr>
      <w:r>
        <w:rPr>
          <w:rFonts w:ascii="Arial" w:cs="Arial" w:eastAsia="Arial" w:hAnsi="Arial"/>
          <w:b/>
          <w:bCs/>
          <w:i/>
          <w:iCs/>
          <w:color w:val="000000"/>
          <w:sz w:val="22"/>
          <w:szCs w:val="22"/>
        </w:rPr>
        <w:t xml:space="preserve">Extrapolation boundaries, uncertainty-aware screening, and inverse design</w:t>
      </w:r>
    </w:p>
    <w:p>
      <w:pPr>
        <w:spacing w:after="120" w:line="252" w:lineRule="auto"/>
        <w:jc w:val="left"/>
      </w:pPr>
      <w:r>
        <w:rPr>
          <w:rFonts w:ascii="Arial" w:cs="Arial" w:eastAsia="Arial" w:hAnsi="Arial"/>
          <w:b w:val="false"/>
          <w:bCs w:val="false"/>
          <w:i w:val="false"/>
          <w:iCs w:val="false"/>
          <w:sz w:val="22"/>
          <w:szCs w:val="22"/>
        </w:rPr>
        <w:t xml:space="preserve">The Pb lone-pair behaviour identified above is also the model's principal extrapolation boundary. In a leave-one-family-out (LOFO) test (Methods, Supplementary Fig. 8 for full per-family detail), holding out all 86 Pb compositions yields </w:t>
      </w:r>
      <w:r>
        <w:rPr>
          <w:rFonts w:ascii="Arial" w:cs="Arial" w:eastAsia="Arial" w:hAnsi="Arial"/>
          <w:b w:val="false"/>
          <w:bCs w:val="false"/>
          <w:i/>
          <w:iCs/>
          <w:sz w:val="22"/>
          <w:szCs w:val="22"/>
        </w:rPr>
        <w:t xml:space="preserve">R</w:t>
      </w:r>
      <w:r>
        <w:rPr>
          <w:rFonts w:ascii="Arial" w:cs="Arial" w:eastAsia="Arial" w:hAnsi="Arial"/>
          <w:b w:val="false"/>
          <w:bCs w:val="false"/>
          <w:i w:val="false"/>
          <w:iCs w:val="false"/>
          <w:sz w:val="22"/>
          <w:szCs w:val="22"/>
          <w:vertAlign w:val="superscript"/>
        </w:rPr>
        <w:t xml:space="preserve">2</w:t>
      </w:r>
      <w:r>
        <w:rPr>
          <w:rFonts w:ascii="Arial" w:cs="Arial" w:eastAsia="Arial" w:hAnsi="Arial"/>
          <w:b w:val="false"/>
          <w:bCs w:val="false"/>
          <w:i w:val="false"/>
          <w:iCs w:val="false"/>
          <w:sz w:val="22"/>
          <w:szCs w:val="22"/>
        </w:rPr>
        <w:t xml:space="preserve"> = −0.097 (MAE = 20.7); the network performs poorly when Pb is held out, indicating that the available descriptors transfer incompletely to Pb-rich chemistry (Fig. 6a; per-family LOFO parity plots in Supplementary Fig. 12). The LOFO test alone is insufficient to separate genuine chemical novelty from incomplete descriptor coverage: the current feature set contains no explicit lone-pair-sensitive descriptor (for example a Born-effective-charge or 6</w:t>
      </w:r>
      <w:r>
        <w:rPr>
          <w:rFonts w:ascii="Arial" w:cs="Arial" w:eastAsia="Arial" w:hAnsi="Arial"/>
          <w:b w:val="false"/>
          <w:bCs w:val="false"/>
          <w:i/>
          <w:iCs/>
          <w:sz w:val="22"/>
          <w:szCs w:val="22"/>
        </w:rPr>
        <w:t xml:space="preserve">s</w:t>
      </w:r>
      <w:r>
        <w:rPr>
          <w:rFonts w:ascii="Arial" w:cs="Arial" w:eastAsia="Arial" w:hAnsi="Arial"/>
          <w:b w:val="false"/>
          <w:bCs w:val="false"/>
          <w:i w:val="false"/>
          <w:iCs w:val="false"/>
          <w:sz w:val="22"/>
          <w:szCs w:val="22"/>
        </w:rPr>
        <w:t xml:space="preserve">–6</w:t>
      </w:r>
      <w:r>
        <w:rPr>
          <w:rFonts w:ascii="Arial" w:cs="Arial" w:eastAsia="Arial" w:hAnsi="Arial"/>
          <w:b w:val="false"/>
          <w:bCs w:val="false"/>
          <w:i/>
          <w:iCs/>
          <w:sz w:val="22"/>
          <w:szCs w:val="22"/>
        </w:rPr>
        <w:t xml:space="preserve">p</w:t>
      </w:r>
      <w:r>
        <w:rPr>
          <w:rFonts w:ascii="Arial" w:cs="Arial" w:eastAsia="Arial" w:hAnsi="Arial"/>
          <w:b w:val="false"/>
          <w:bCs w:val="false"/>
          <w:i w:val="false"/>
          <w:iCs w:val="false"/>
          <w:sz w:val="22"/>
          <w:szCs w:val="22"/>
        </w:rPr>
        <w:t xml:space="preserve"> hybridisation proxy), so we advance the 6</w:t>
      </w:r>
      <w:r>
        <w:rPr>
          <w:rFonts w:ascii="Arial" w:cs="Arial" w:eastAsia="Arial" w:hAnsi="Arial"/>
          <w:b w:val="false"/>
          <w:bCs w:val="false"/>
          <w:i/>
          <w:iCs/>
          <w:sz w:val="22"/>
          <w:szCs w:val="22"/>
        </w:rPr>
        <w:t xml:space="preserve">s</w:t>
      </w:r>
      <w:r>
        <w:rPr>
          <w:rFonts w:ascii="Arial" w:cs="Arial" w:eastAsia="Arial" w:hAnsi="Arial"/>
          <w:b w:val="false"/>
          <w:bCs w:val="false"/>
          <w:i w:val="false"/>
          <w:iCs w:val="false"/>
          <w:sz w:val="22"/>
          <w:szCs w:val="22"/>
          <w:vertAlign w:val="superscript"/>
        </w:rPr>
        <w:t xml:space="preserve">2</w:t>
      </w:r>
      <w:r>
        <w:rPr>
          <w:rFonts w:ascii="Arial" w:cs="Arial" w:eastAsia="Arial" w:hAnsi="Arial"/>
          <w:b w:val="false"/>
          <w:bCs w:val="false"/>
          <w:i w:val="false"/>
          <w:iCs w:val="false"/>
          <w:sz w:val="22"/>
          <w:szCs w:val="22"/>
        </w:rPr>
        <w:t xml:space="preserve"> lone-pair attribution as a hypothesis consistent with the failure rather than a proven cause, to be tested by refitting with such descriptors. The remaining A-site families generalise progressively better, Ba </w:t>
      </w:r>
      <w:r>
        <w:rPr>
          <w:rFonts w:ascii="Arial" w:cs="Arial" w:eastAsia="Arial" w:hAnsi="Arial"/>
          <w:b w:val="false"/>
          <w:bCs w:val="false"/>
          <w:i/>
          <w:iCs/>
          <w:sz w:val="22"/>
          <w:szCs w:val="22"/>
        </w:rPr>
        <w:t xml:space="preserve">R</w:t>
      </w:r>
      <w:r>
        <w:rPr>
          <w:rFonts w:ascii="Arial" w:cs="Arial" w:eastAsia="Arial" w:hAnsi="Arial"/>
          <w:b w:val="false"/>
          <w:bCs w:val="false"/>
          <w:i w:val="false"/>
          <w:iCs w:val="false"/>
          <w:sz w:val="22"/>
          <w:szCs w:val="22"/>
          <w:vertAlign w:val="superscript"/>
        </w:rPr>
        <w:t xml:space="preserve">2</w:t>
      </w:r>
      <w:r>
        <w:rPr>
          <w:rFonts w:ascii="Arial" w:cs="Arial" w:eastAsia="Arial" w:hAnsi="Arial"/>
          <w:b w:val="false"/>
          <w:bCs w:val="false"/>
          <w:i w:val="false"/>
          <w:iCs w:val="false"/>
          <w:sz w:val="22"/>
          <w:szCs w:val="22"/>
        </w:rPr>
        <w:t xml:space="preserve"> = 0.008, Sr 0.434, Ca 0.610, La 0.849, consistent with their decreasing chemical isolation.</w:t>
      </w:r>
    </w:p>
    <w:p>
      <w:pPr>
        <w:spacing w:after="120" w:line="252" w:lineRule="auto"/>
        <w:jc w:val="left"/>
      </w:pPr>
      <w:r>
        <w:rPr>
          <w:rFonts w:ascii="Arial" w:cs="Arial" w:eastAsia="Arial" w:hAnsi="Arial"/>
          <w:b w:val="false"/>
          <w:bCs w:val="false"/>
          <w:i w:val="false"/>
          <w:iCs w:val="false"/>
          <w:sz w:val="22"/>
          <w:szCs w:val="22"/>
        </w:rPr>
        <w:t xml:space="preserve">Regime-LOFO is more severe: Regime Ia </w:t>
      </w:r>
      <w:r>
        <w:rPr>
          <w:rFonts w:ascii="Arial" w:cs="Arial" w:eastAsia="Arial" w:hAnsi="Arial"/>
          <w:b w:val="false"/>
          <w:bCs w:val="false"/>
          <w:i/>
          <w:iCs/>
          <w:sz w:val="22"/>
          <w:szCs w:val="22"/>
        </w:rPr>
        <w:t xml:space="preserve">R</w:t>
      </w:r>
      <w:r>
        <w:rPr>
          <w:rFonts w:ascii="Arial" w:cs="Arial" w:eastAsia="Arial" w:hAnsi="Arial"/>
          <w:b w:val="false"/>
          <w:bCs w:val="false"/>
          <w:i w:val="false"/>
          <w:iCs w:val="false"/>
          <w:sz w:val="22"/>
          <w:szCs w:val="22"/>
          <w:vertAlign w:val="superscript"/>
        </w:rPr>
        <w:t xml:space="preserve">2</w:t>
      </w:r>
      <w:r>
        <w:rPr>
          <w:rFonts w:ascii="Arial" w:cs="Arial" w:eastAsia="Arial" w:hAnsi="Arial"/>
          <w:b w:val="false"/>
          <w:bCs w:val="false"/>
          <w:i w:val="false"/>
          <w:iCs w:val="false"/>
          <w:sz w:val="22"/>
          <w:szCs w:val="22"/>
        </w:rPr>
        <w:t xml:space="preserve"> = −7.378 (only 60 samples, no tilt and no soft-mode), Ib −0.158, II 0.654 and III 0.490. The extreme Regime Ia value reflects both its small size and its physical distinctness: held out, the model must predict an untilted, paraelectric regime from tilted, soft-mode-active training data, where neither the tilt nor the soft-mode branch carries transferable signal. Reaney's 1994 regime taxonomy [4] is therefore reproduced as a </w:t>
      </w:r>
      <w:r>
        <w:rPr>
          <w:rFonts w:ascii="Arial" w:cs="Arial" w:eastAsia="Arial" w:hAnsi="Arial"/>
          <w:b w:val="false"/>
          <w:bCs w:val="false"/>
          <w:i/>
          <w:iCs/>
          <w:sz w:val="22"/>
          <w:szCs w:val="22"/>
        </w:rPr>
        <w:t xml:space="preserve">computationally</w:t>
      </w:r>
      <w:r>
        <w:rPr>
          <w:rFonts w:ascii="Arial" w:cs="Arial" w:eastAsia="Arial" w:hAnsi="Arial"/>
          <w:b w:val="false"/>
          <w:bCs w:val="false"/>
          <w:i w:val="false"/>
          <w:iCs w:val="false"/>
          <w:sz w:val="22"/>
          <w:szCs w:val="22"/>
        </w:rPr>
        <w:t xml:space="preserve"> distinct partition rather than merely a geometric one.</w:t>
      </w:r>
    </w:p>
    <w:p>
      <w:pPr>
        <w:spacing w:after="120" w:line="252" w:lineRule="auto"/>
        <w:jc w:val="left"/>
      </w:pPr>
      <w:r>
        <w:rPr>
          <w:rFonts w:ascii="Arial" w:cs="Arial" w:eastAsia="Arial" w:hAnsi="Arial"/>
          <w:b w:val="false"/>
          <w:bCs w:val="false"/>
          <w:i w:val="false"/>
          <w:iCs w:val="false"/>
          <w:sz w:val="22"/>
          <w:szCs w:val="22"/>
        </w:rPr>
        <w:t xml:space="preserve">The applicability domain (AD) reflects the same boundaries. A two-layer applicability-domain test [36,37] (physics gate </w:t>
      </w:r>
      <w:r>
        <w:rPr>
          <w:rFonts w:ascii="Arial" w:cs="Arial" w:eastAsia="Arial" w:hAnsi="Arial"/>
          <w:b w:val="false"/>
          <w:bCs w:val="false"/>
          <w:i/>
          <w:iCs/>
          <w:sz w:val="22"/>
          <w:szCs w:val="22"/>
        </w:rPr>
        <w:t xml:space="preserve">σ</w:t>
      </w:r>
      <w:r>
        <w:rPr>
          <w:rFonts w:ascii="Arial" w:cs="Arial" w:eastAsia="Arial" w:hAnsi="Arial"/>
          <w:b w:val="false"/>
          <w:bCs w:val="false"/>
          <w:i w:val="false"/>
          <w:iCs w:val="false"/>
          <w:sz w:val="22"/>
          <w:szCs w:val="22"/>
          <w:vertAlign w:val="subscript"/>
        </w:rPr>
        <w:t xml:space="preserve">conf</w:t>
      </w:r>
      <w:r>
        <w:rPr>
          <w:rFonts w:ascii="Arial" w:cs="Arial" w:eastAsia="Arial" w:hAnsi="Arial"/>
          <w:b w:val="false"/>
          <w:bCs w:val="false"/>
          <w:i w:val="false"/>
          <w:iCs w:val="false"/>
          <w:sz w:val="22"/>
          <w:szCs w:val="22"/>
        </w:rPr>
        <w:t xml:space="preserve"> &lt; 0.35 ∩ kernel-density gate on input features; detailed gating diagnostics in Supplementary Fig. 9) classifies 52.8% of the dataset as in-domain. Performance separates accordingly: </w:t>
      </w:r>
      <w:r>
        <w:rPr>
          <w:rFonts w:ascii="Arial" w:cs="Arial" w:eastAsia="Arial" w:hAnsi="Arial"/>
          <w:b w:val="false"/>
          <w:bCs w:val="false"/>
          <w:i/>
          <w:iCs/>
          <w:sz w:val="22"/>
          <w:szCs w:val="22"/>
        </w:rPr>
        <w:t xml:space="preserve">R</w:t>
      </w:r>
      <w:r>
        <w:rPr>
          <w:rFonts w:ascii="Arial" w:cs="Arial" w:eastAsia="Arial" w:hAnsi="Arial"/>
          <w:b w:val="false"/>
          <w:bCs w:val="false"/>
          <w:i w:val="false"/>
          <w:iCs w:val="false"/>
          <w:sz w:val="22"/>
          <w:szCs w:val="22"/>
          <w:vertAlign w:val="superscript"/>
        </w:rPr>
        <w:t xml:space="preserve">2</w:t>
      </w:r>
      <w:r>
        <w:rPr>
          <w:rFonts w:ascii="Arial" w:cs="Arial" w:eastAsia="Arial" w:hAnsi="Arial"/>
          <w:b w:val="false"/>
          <w:bCs w:val="false"/>
          <w:i w:val="false"/>
          <w:iCs w:val="false"/>
          <w:sz w:val="22"/>
          <w:szCs w:val="22"/>
          <w:vertAlign w:val="subscript"/>
        </w:rPr>
        <w:t xml:space="preserve">in</w:t>
      </w:r>
      <w:r>
        <w:rPr>
          <w:rFonts w:ascii="Arial" w:cs="Arial" w:eastAsia="Arial" w:hAnsi="Arial"/>
          <w:b w:val="false"/>
          <w:bCs w:val="false"/>
          <w:i w:val="false"/>
          <w:iCs w:val="false"/>
          <w:sz w:val="22"/>
          <w:szCs w:val="22"/>
        </w:rPr>
        <w:t xml:space="preserve"> = 0.933 versus </w:t>
      </w:r>
      <w:r>
        <w:rPr>
          <w:rFonts w:ascii="Arial" w:cs="Arial" w:eastAsia="Arial" w:hAnsi="Arial"/>
          <w:b w:val="false"/>
          <w:bCs w:val="false"/>
          <w:i/>
          <w:iCs/>
          <w:sz w:val="22"/>
          <w:szCs w:val="22"/>
        </w:rPr>
        <w:t xml:space="preserve">R</w:t>
      </w:r>
      <w:r>
        <w:rPr>
          <w:rFonts w:ascii="Arial" w:cs="Arial" w:eastAsia="Arial" w:hAnsi="Arial"/>
          <w:b w:val="false"/>
          <w:bCs w:val="false"/>
          <w:i w:val="false"/>
          <w:iCs w:val="false"/>
          <w:sz w:val="22"/>
          <w:szCs w:val="22"/>
          <w:vertAlign w:val="superscript"/>
        </w:rPr>
        <w:t xml:space="preserve">2</w:t>
      </w:r>
      <w:r>
        <w:rPr>
          <w:rFonts w:ascii="Arial" w:cs="Arial" w:eastAsia="Arial" w:hAnsi="Arial"/>
          <w:b w:val="false"/>
          <w:bCs w:val="false"/>
          <w:i w:val="false"/>
          <w:iCs w:val="false"/>
          <w:sz w:val="22"/>
          <w:szCs w:val="22"/>
          <w:vertAlign w:val="subscript"/>
        </w:rPr>
        <w:t xml:space="preserve">out</w:t>
      </w:r>
      <w:r>
        <w:rPr>
          <w:rFonts w:ascii="Arial" w:cs="Arial" w:eastAsia="Arial" w:hAnsi="Arial"/>
          <w:b w:val="false"/>
          <w:bCs w:val="false"/>
          <w:i w:val="false"/>
          <w:iCs w:val="false"/>
          <w:sz w:val="22"/>
          <w:szCs w:val="22"/>
        </w:rPr>
        <w:t xml:space="preserve"> = 0.858 (gap +0.075). The per-A-site confidence ordering </w:t>
      </w:r>
      <w:r>
        <w:rPr>
          <w:rFonts w:ascii="Arial" w:cs="Arial" w:eastAsia="Arial" w:hAnsi="Arial"/>
          <w:b w:val="false"/>
          <w:bCs w:val="false"/>
          <w:i/>
          <w:iCs/>
          <w:sz w:val="22"/>
          <w:szCs w:val="22"/>
        </w:rPr>
        <w:t xml:space="preserve">σ</w:t>
      </w:r>
      <w:r>
        <w:rPr>
          <w:rFonts w:ascii="Arial" w:cs="Arial" w:eastAsia="Arial" w:hAnsi="Arial"/>
          <w:b w:val="false"/>
          <w:bCs w:val="false"/>
          <w:i w:val="false"/>
          <w:iCs w:val="false"/>
          <w:sz w:val="22"/>
          <w:szCs w:val="22"/>
          <w:vertAlign w:val="subscript"/>
        </w:rPr>
        <w:t xml:space="preserve">conf</w:t>
      </w:r>
      <w:r>
        <w:rPr>
          <w:rFonts w:ascii="Arial" w:cs="Arial" w:eastAsia="Arial" w:hAnsi="Arial"/>
          <w:b w:val="false"/>
          <w:bCs w:val="false"/>
          <w:i w:val="false"/>
          <w:iCs w:val="false"/>
          <w:sz w:val="22"/>
          <w:szCs w:val="22"/>
        </w:rPr>
        <w:t xml:space="preserve"> (Pb = 0.288, La = 0.298, Ba = 0.491, Ca = 0.509, Sr = 0.545) reveals an instructive failure mode: Pb is the most confident family by raw uncertainty, with 74.4% of Pb compositions inside the AD, but its LOFO </w:t>
      </w:r>
      <w:r>
        <w:rPr>
          <w:rFonts w:ascii="Arial" w:cs="Arial" w:eastAsia="Arial" w:hAnsi="Arial"/>
          <w:b w:val="false"/>
          <w:bCs w:val="false"/>
          <w:i/>
          <w:iCs/>
          <w:sz w:val="22"/>
          <w:szCs w:val="22"/>
        </w:rPr>
        <w:t xml:space="preserve">R</w:t>
      </w:r>
      <w:r>
        <w:rPr>
          <w:rFonts w:ascii="Arial" w:cs="Arial" w:eastAsia="Arial" w:hAnsi="Arial"/>
          <w:b w:val="false"/>
          <w:bCs w:val="false"/>
          <w:i w:val="false"/>
          <w:iCs w:val="false"/>
          <w:sz w:val="22"/>
          <w:szCs w:val="22"/>
          <w:vertAlign w:val="superscript"/>
        </w:rPr>
        <w:t xml:space="preserve">2</w:t>
      </w:r>
      <w:r>
        <w:rPr>
          <w:rFonts w:ascii="Arial" w:cs="Arial" w:eastAsia="Arial" w:hAnsi="Arial"/>
          <w:b w:val="false"/>
          <w:bCs w:val="false"/>
          <w:i w:val="false"/>
          <w:iCs w:val="false"/>
          <w:sz w:val="22"/>
          <w:szCs w:val="22"/>
        </w:rPr>
        <w:t xml:space="preserve"> is the worst (−0.097); Pb is highly confident yet yields the worst LOFO performance (Fig. 6b), the failure mode that arises when nominal in-distribution coverage masks genuine extrapolation [38,39]. Sr is the opposite, 23.3% in-AD, indicating genuine uncertainty that the model correctly flags. This is precisely the regime in which conformal bands and physics-aware gating are useful.</w:t>
      </w:r>
    </w:p>
    <w:p>
      <w:pPr>
        <w:spacing w:after="120" w:line="252" w:lineRule="auto"/>
        <w:jc w:val="left"/>
      </w:pPr>
      <w:r>
        <w:rPr>
          <w:rFonts w:ascii="Arial" w:cs="Arial" w:eastAsia="Arial" w:hAnsi="Arial"/>
          <w:b w:val="false"/>
          <w:bCs w:val="false"/>
          <w:i w:val="false"/>
          <w:iCs w:val="false"/>
          <w:sz w:val="22"/>
          <w:szCs w:val="22"/>
        </w:rPr>
        <w:t xml:space="preserve">We exploit this calibrated uncertainty in an uncertainty-aware virtual screening of 72 Pb-free candidate compositions drawn from eight families (Sr-Ca-Ti, Sr-Ce-Ti, La-Na-Ti, Ca-Li-Sm-Ti and four more; Methods). Applying the conjunctive filter predicted </w:t>
      </w:r>
      <w:r>
        <w:rPr>
          <w:rFonts w:ascii="Arial" w:cs="Arial" w:eastAsia="Arial" w:hAnsi="Arial"/>
          <w:b w:val="false"/>
          <w:bCs w:val="false"/>
          <w:i/>
          <w:iCs/>
          <w:sz w:val="22"/>
          <w:szCs w:val="22"/>
        </w:rPr>
        <w:t xml:space="preserve">ε</w:t>
      </w:r>
      <w:r>
        <w:rPr>
          <w:rFonts w:ascii="Arial" w:cs="Arial" w:eastAsia="Arial" w:hAnsi="Arial"/>
          <w:b w:val="false"/>
          <w:bCs w:val="false"/>
          <w:i w:val="false"/>
          <w:iCs w:val="false"/>
          <w:sz w:val="22"/>
          <w:szCs w:val="22"/>
          <w:vertAlign w:val="subscript"/>
        </w:rPr>
        <w:t xml:space="preserve">r</w:t>
      </w:r>
      <w:r>
        <w:rPr>
          <w:rFonts w:ascii="Arial" w:cs="Arial" w:eastAsia="Arial" w:hAnsi="Arial"/>
          <w:b w:val="false"/>
          <w:bCs w:val="false"/>
          <w:i w:val="false"/>
          <w:iCs w:val="false"/>
          <w:sz w:val="22"/>
          <w:szCs w:val="22"/>
        </w:rPr>
        <w:t xml:space="preserve"> ≥ 80 </w:t>
      </w:r>
      <w:r>
        <w:rPr>
          <w:rFonts w:ascii="Arial" w:cs="Arial" w:eastAsia="Arial" w:hAnsi="Arial"/>
          <w:b w:val="false"/>
          <w:bCs w:val="false"/>
          <w:i/>
          <w:iCs/>
          <w:sz w:val="22"/>
          <w:szCs w:val="22"/>
        </w:rPr>
        <w:t xml:space="preserve">and</w:t>
      </w:r>
      <w:r>
        <w:rPr>
          <w:rFonts w:ascii="Arial" w:cs="Arial" w:eastAsia="Arial" w:hAnsi="Arial"/>
          <w:b w:val="false"/>
          <w:bCs w:val="false"/>
          <w:i w:val="false"/>
          <w:iCs w:val="false"/>
          <w:sz w:val="22"/>
          <w:szCs w:val="22"/>
        </w:rPr>
        <w:t xml:space="preserve"> 90% conformal lower bound ≥ 65, 70 of 72 candidates pass (97% hit rate over this δ</w:t>
      </w:r>
      <w:r>
        <w:rPr>
          <w:rFonts w:ascii="Arial" w:cs="Arial" w:eastAsia="Arial" w:hAnsi="Arial"/>
          <w:b w:val="false"/>
          <w:bCs w:val="false"/>
          <w:i w:val="false"/>
          <w:iCs w:val="false"/>
          <w:sz w:val="22"/>
          <w:szCs w:val="22"/>
          <w:vertAlign w:val="subscript"/>
        </w:rPr>
        <w:t xml:space="preserve">LST</w:t>
      </w:r>
      <w:r>
        <w:rPr>
          <w:rFonts w:ascii="Arial" w:cs="Arial" w:eastAsia="Arial" w:hAnsi="Arial"/>
          <w:b w:val="false"/>
          <w:bCs w:val="false"/>
          <w:i w:val="false"/>
          <w:iCs w:val="false"/>
          <w:sz w:val="22"/>
          <w:szCs w:val="22"/>
        </w:rPr>
        <w:t xml:space="preserve">-curated library, rather than a uniform sampling of composition space; Fig. 6c). The top candidates are Sr-Ca-Ti solid solutions, Sr</w:t>
      </w:r>
      <w:r>
        <w:rPr>
          <w:rFonts w:ascii="Arial" w:cs="Arial" w:eastAsia="Arial" w:hAnsi="Arial"/>
          <w:b w:val="false"/>
          <w:bCs w:val="false"/>
          <w:i w:val="false"/>
          <w:iCs w:val="false"/>
          <w:sz w:val="22"/>
          <w:szCs w:val="22"/>
          <w:vertAlign w:val="subscript"/>
        </w:rPr>
        <w:t xml:space="preserve">0.9</w:t>
      </w:r>
      <w:r>
        <w:rPr>
          <w:rFonts w:ascii="Arial" w:cs="Arial" w:eastAsia="Arial" w:hAnsi="Arial"/>
          <w:b w:val="false"/>
          <w:bCs w:val="false"/>
          <w:i w:val="false"/>
          <w:iCs w:val="false"/>
          <w:sz w:val="22"/>
          <w:szCs w:val="22"/>
        </w:rPr>
        <w:t xml:space="preserve">Ca</w:t>
      </w:r>
      <w:r>
        <w:rPr>
          <w:rFonts w:ascii="Arial" w:cs="Arial" w:eastAsia="Arial" w:hAnsi="Arial"/>
          <w:b w:val="false"/>
          <w:bCs w:val="false"/>
          <w:i w:val="false"/>
          <w:iCs w:val="false"/>
          <w:sz w:val="22"/>
          <w:szCs w:val="22"/>
          <w:vertAlign w:val="subscript"/>
        </w:rPr>
        <w:t xml:space="preserve">0.1</w:t>
      </w:r>
      <w:r>
        <w:rPr>
          <w:rFonts w:ascii="Arial" w:cs="Arial" w:eastAsia="Arial" w:hAnsi="Arial"/>
          <w:b w:val="false"/>
          <w:bCs w:val="false"/>
          <w:i w:val="false"/>
          <w:iCs w:val="false"/>
          <w:sz w:val="22"/>
          <w:szCs w:val="22"/>
        </w:rPr>
        <w:t xml:space="preserve">TiO</w:t>
      </w:r>
      <w:r>
        <w:rPr>
          <w:rFonts w:ascii="Arial" w:cs="Arial" w:eastAsia="Arial" w:hAnsi="Arial"/>
          <w:b w:val="false"/>
          <w:bCs w:val="false"/>
          <w:i w:val="false"/>
          <w:iCs w:val="false"/>
          <w:sz w:val="22"/>
          <w:szCs w:val="22"/>
          <w:vertAlign w:val="subscript"/>
        </w:rPr>
        <w:t xml:space="preserve">3</w:t>
      </w:r>
      <w:r>
        <w:rPr>
          <w:rFonts w:ascii="Arial" w:cs="Arial" w:eastAsia="Arial" w:hAnsi="Arial"/>
          <w:b w:val="false"/>
          <w:bCs w:val="false"/>
          <w:i w:val="false"/>
          <w:iCs w:val="false"/>
          <w:sz w:val="22"/>
          <w:szCs w:val="22"/>
        </w:rPr>
        <w:t xml:space="preserve"> (predicted </w:t>
      </w:r>
      <w:r>
        <w:rPr>
          <w:rFonts w:ascii="Arial" w:cs="Arial" w:eastAsia="Arial" w:hAnsi="Arial"/>
          <w:b w:val="false"/>
          <w:bCs w:val="false"/>
          <w:i/>
          <w:iCs/>
          <w:sz w:val="22"/>
          <w:szCs w:val="22"/>
        </w:rPr>
        <w:t xml:space="preserve">ε</w:t>
      </w:r>
      <w:r>
        <w:rPr>
          <w:rFonts w:ascii="Arial" w:cs="Arial" w:eastAsia="Arial" w:hAnsi="Arial"/>
          <w:b w:val="false"/>
          <w:bCs w:val="false"/>
          <w:i w:val="false"/>
          <w:iCs w:val="false"/>
          <w:sz w:val="22"/>
          <w:szCs w:val="22"/>
          <w:vertAlign w:val="subscript"/>
        </w:rPr>
        <w:t xml:space="preserve">r</w:t>
      </w:r>
      <w:r>
        <w:rPr>
          <w:rFonts w:ascii="Arial" w:cs="Arial" w:eastAsia="Arial" w:hAnsi="Arial"/>
          <w:b w:val="false"/>
          <w:bCs w:val="false"/>
          <w:i w:val="false"/>
          <w:iCs w:val="false"/>
          <w:sz w:val="22"/>
          <w:szCs w:val="22"/>
        </w:rPr>
        <w:t xml:space="preserve"> = 140.1, 90% CI [126, 154]), Sr</w:t>
      </w:r>
      <w:r>
        <w:rPr>
          <w:rFonts w:ascii="Arial" w:cs="Arial" w:eastAsia="Arial" w:hAnsi="Arial"/>
          <w:b w:val="false"/>
          <w:bCs w:val="false"/>
          <w:i w:val="false"/>
          <w:iCs w:val="false"/>
          <w:sz w:val="22"/>
          <w:szCs w:val="22"/>
          <w:vertAlign w:val="subscript"/>
        </w:rPr>
        <w:t xml:space="preserve">0.5</w:t>
      </w:r>
      <w:r>
        <w:rPr>
          <w:rFonts w:ascii="Arial" w:cs="Arial" w:eastAsia="Arial" w:hAnsi="Arial"/>
          <w:b w:val="false"/>
          <w:bCs w:val="false"/>
          <w:i w:val="false"/>
          <w:iCs w:val="false"/>
          <w:sz w:val="22"/>
          <w:szCs w:val="22"/>
        </w:rPr>
        <w:t xml:space="preserve">Ca</w:t>
      </w:r>
      <w:r>
        <w:rPr>
          <w:rFonts w:ascii="Arial" w:cs="Arial" w:eastAsia="Arial" w:hAnsi="Arial"/>
          <w:b w:val="false"/>
          <w:bCs w:val="false"/>
          <w:i w:val="false"/>
          <w:iCs w:val="false"/>
          <w:sz w:val="22"/>
          <w:szCs w:val="22"/>
          <w:vertAlign w:val="subscript"/>
        </w:rPr>
        <w:t xml:space="preserve">0.5</w:t>
      </w:r>
      <w:r>
        <w:rPr>
          <w:rFonts w:ascii="Arial" w:cs="Arial" w:eastAsia="Arial" w:hAnsi="Arial"/>
          <w:b w:val="false"/>
          <w:bCs w:val="false"/>
          <w:i w:val="false"/>
          <w:iCs w:val="false"/>
          <w:sz w:val="22"/>
          <w:szCs w:val="22"/>
        </w:rPr>
        <w:t xml:space="preserve">TiO</w:t>
      </w:r>
      <w:r>
        <w:rPr>
          <w:rFonts w:ascii="Arial" w:cs="Arial" w:eastAsia="Arial" w:hAnsi="Arial"/>
          <w:b w:val="false"/>
          <w:bCs w:val="false"/>
          <w:i w:val="false"/>
          <w:iCs w:val="false"/>
          <w:sz w:val="22"/>
          <w:szCs w:val="22"/>
          <w:vertAlign w:val="subscript"/>
        </w:rPr>
        <w:t xml:space="preserve">3</w:t>
      </w:r>
      <w:r>
        <w:rPr>
          <w:rFonts w:ascii="Arial" w:cs="Arial" w:eastAsia="Arial" w:hAnsi="Arial"/>
          <w:b w:val="false"/>
          <w:bCs w:val="false"/>
          <w:i w:val="false"/>
          <w:iCs w:val="false"/>
          <w:sz w:val="22"/>
          <w:szCs w:val="22"/>
        </w:rPr>
        <w:t xml:space="preserve"> (138.4, [124, 153]) and Sr</w:t>
      </w:r>
      <w:r>
        <w:rPr>
          <w:rFonts w:ascii="Arial" w:cs="Arial" w:eastAsia="Arial" w:hAnsi="Arial"/>
          <w:b w:val="false"/>
          <w:bCs w:val="false"/>
          <w:i w:val="false"/>
          <w:iCs w:val="false"/>
          <w:sz w:val="22"/>
          <w:szCs w:val="22"/>
          <w:vertAlign w:val="subscript"/>
        </w:rPr>
        <w:t xml:space="preserve">0.82</w:t>
      </w:r>
      <w:r>
        <w:rPr>
          <w:rFonts w:ascii="Arial" w:cs="Arial" w:eastAsia="Arial" w:hAnsi="Arial"/>
          <w:b w:val="false"/>
          <w:bCs w:val="false"/>
          <w:i w:val="false"/>
          <w:iCs w:val="false"/>
          <w:sz w:val="22"/>
          <w:szCs w:val="22"/>
        </w:rPr>
        <w:t xml:space="preserve">Ce</w:t>
      </w:r>
      <w:r>
        <w:rPr>
          <w:rFonts w:ascii="Arial" w:cs="Arial" w:eastAsia="Arial" w:hAnsi="Arial"/>
          <w:b w:val="false"/>
          <w:bCs w:val="false"/>
          <w:i w:val="false"/>
          <w:iCs w:val="false"/>
          <w:sz w:val="22"/>
          <w:szCs w:val="22"/>
          <w:vertAlign w:val="subscript"/>
        </w:rPr>
        <w:t xml:space="preserve">0.18</w:t>
      </w:r>
      <w:r>
        <w:rPr>
          <w:rFonts w:ascii="Arial" w:cs="Arial" w:eastAsia="Arial" w:hAnsi="Arial"/>
          <w:b w:val="false"/>
          <w:bCs w:val="false"/>
          <w:i w:val="false"/>
          <w:iCs w:val="false"/>
          <w:sz w:val="22"/>
          <w:szCs w:val="22"/>
        </w:rPr>
        <w:t xml:space="preserve">TiO</w:t>
      </w:r>
      <w:r>
        <w:rPr>
          <w:rFonts w:ascii="Arial" w:cs="Arial" w:eastAsia="Arial" w:hAnsi="Arial"/>
          <w:b w:val="false"/>
          <w:bCs w:val="false"/>
          <w:i w:val="false"/>
          <w:iCs w:val="false"/>
          <w:sz w:val="22"/>
          <w:szCs w:val="22"/>
          <w:vertAlign w:val="subscript"/>
        </w:rPr>
        <w:t xml:space="preserve">3</w:t>
      </w:r>
      <w:r>
        <w:rPr>
          <w:rFonts w:ascii="Arial" w:cs="Arial" w:eastAsia="Arial" w:hAnsi="Arial"/>
          <w:b w:val="false"/>
          <w:bCs w:val="false"/>
          <w:i w:val="false"/>
          <w:iCs w:val="false"/>
          <w:sz w:val="22"/>
          <w:szCs w:val="22"/>
        </w:rPr>
        <w:t xml:space="preserve"> (132.8, [118, 147]), together with Sm/Nd-substituted Ca-Zr-Ti compositions in the range </w:t>
      </w:r>
      <w:r>
        <w:rPr>
          <w:rFonts w:ascii="Arial" w:cs="Arial" w:eastAsia="Arial" w:hAnsi="Arial"/>
          <w:b w:val="false"/>
          <w:bCs w:val="false"/>
          <w:i/>
          <w:iCs/>
          <w:sz w:val="22"/>
          <w:szCs w:val="22"/>
        </w:rPr>
        <w:t xml:space="preserve">ε</w:t>
      </w:r>
      <w:r>
        <w:rPr>
          <w:rFonts w:ascii="Arial" w:cs="Arial" w:eastAsia="Arial" w:hAnsi="Arial"/>
          <w:b w:val="false"/>
          <w:bCs w:val="false"/>
          <w:i w:val="false"/>
          <w:iCs w:val="false"/>
          <w:sz w:val="22"/>
          <w:szCs w:val="22"/>
          <w:vertAlign w:val="subscript"/>
        </w:rPr>
        <w:t xml:space="preserve">r</w:t>
      </w:r>
      <w:r>
        <w:rPr>
          <w:rFonts w:ascii="Arial" w:cs="Arial" w:eastAsia="Arial" w:hAnsi="Arial"/>
          <w:b w:val="false"/>
          <w:bCs w:val="false"/>
          <w:i w:val="false"/>
          <w:iCs w:val="false"/>
          <w:sz w:val="22"/>
          <w:szCs w:val="22"/>
        </w:rPr>
        <w:t xml:space="preserve"> ≈ 130–135 (the full Sr-Ca-Ti pseudobinary discovery map is shown in Supplementary Fig. 18). All top-ranked candidates derive their permittivity through the LST branch (</w:t>
      </w:r>
      <w:r>
        <w:rPr>
          <w:rFonts w:ascii="Arial" w:cs="Arial" w:eastAsia="Arial" w:hAnsi="Arial"/>
          <w:b w:val="false"/>
          <w:bCs w:val="false"/>
          <w:i/>
          <w:iCs/>
          <w:sz w:val="22"/>
          <w:szCs w:val="22"/>
        </w:rPr>
        <w:t xml:space="preserve">δ</w:t>
      </w:r>
      <w:r>
        <w:rPr>
          <w:rFonts w:ascii="Arial" w:cs="Arial" w:eastAsia="Arial" w:hAnsi="Arial"/>
          <w:b w:val="false"/>
          <w:bCs w:val="false"/>
          <w:i w:val="false"/>
          <w:iCs w:val="false"/>
          <w:sz w:val="22"/>
          <w:szCs w:val="22"/>
          <w:vertAlign w:val="subscript"/>
        </w:rPr>
        <w:t xml:space="preserve">LST</w:t>
      </w:r>
      <w:r>
        <w:rPr>
          <w:rFonts w:ascii="Arial" w:cs="Arial" w:eastAsia="Arial" w:hAnsi="Arial"/>
          <w:b w:val="false"/>
          <w:bCs w:val="false"/>
          <w:i w:val="false"/>
          <w:iCs w:val="false"/>
          <w:sz w:val="22"/>
          <w:szCs w:val="22"/>
        </w:rPr>
        <w:t xml:space="preserve"> &gt; 80), consistent with the A-site hierarchy and with the requirement of a d</w:t>
      </w:r>
      <w:r>
        <w:rPr>
          <w:rFonts w:ascii="Arial" w:cs="Arial" w:eastAsia="Arial" w:hAnsi="Arial"/>
          <w:b w:val="false"/>
          <w:bCs w:val="false"/>
          <w:i w:val="false"/>
          <w:iCs w:val="false"/>
          <w:sz w:val="22"/>
          <w:szCs w:val="22"/>
          <w:vertAlign w:val="superscript"/>
        </w:rPr>
        <w:t xml:space="preserve">0</w:t>
      </w:r>
      <w:r>
        <w:rPr>
          <w:rFonts w:ascii="Arial" w:cs="Arial" w:eastAsia="Arial" w:hAnsi="Arial"/>
          <w:b w:val="false"/>
          <w:bCs w:val="false"/>
          <w:i w:val="false"/>
          <w:iCs w:val="false"/>
          <w:sz w:val="22"/>
          <w:szCs w:val="22"/>
        </w:rPr>
        <w:t xml:space="preserve"> (empty-d-shell) B-site such as Ti</w:t>
      </w:r>
      <w:r>
        <w:rPr>
          <w:rFonts w:ascii="Arial" w:cs="Arial" w:eastAsia="Arial" w:hAnsi="Arial"/>
          <w:b w:val="false"/>
          <w:bCs w:val="false"/>
          <w:i w:val="false"/>
          <w:iCs w:val="false"/>
          <w:sz w:val="22"/>
          <w:szCs w:val="22"/>
          <w:vertAlign w:val="superscript"/>
        </w:rPr>
        <w:t xml:space="preserve">4+</w:t>
      </w:r>
      <w:r>
        <w:rPr>
          <w:rFonts w:ascii="Arial" w:cs="Arial" w:eastAsia="Arial" w:hAnsi="Arial"/>
          <w:b w:val="false"/>
          <w:bCs w:val="false"/>
          <w:i w:val="false"/>
          <w:iCs w:val="false"/>
          <w:sz w:val="22"/>
          <w:szCs w:val="22"/>
        </w:rPr>
        <w:t xml:space="preserve"> for soft-mode activation [1,13].</w:t>
      </w:r>
    </w:p>
    <w:p>
      <w:pPr>
        <w:spacing w:after="120" w:line="252" w:lineRule="auto"/>
        <w:jc w:val="left"/>
      </w:pPr>
      <w:r>
        <w:rPr>
          <w:rFonts w:ascii="Arial" w:cs="Arial" w:eastAsia="Arial" w:hAnsi="Arial"/>
          <w:b w:val="false"/>
          <w:bCs w:val="false"/>
          <w:i w:val="false"/>
          <w:iCs w:val="false"/>
          <w:sz w:val="22"/>
          <w:szCs w:val="22"/>
        </w:rPr>
        <w:t xml:space="preserve">Beyond ranking a fixed library, we performed physics-constrained inverse design with a genetic algorithm (GA) [40] that searches the A- and B-site composition simplices directly (Methods). Three independent runs, Pb-allowed, Pb-free and d</w:t>
      </w:r>
      <w:r>
        <w:rPr>
          <w:rFonts w:ascii="Arial" w:cs="Arial" w:eastAsia="Arial" w:hAnsi="Arial"/>
          <w:b w:val="false"/>
          <w:bCs w:val="false"/>
          <w:i w:val="false"/>
          <w:iCs w:val="false"/>
          <w:sz w:val="22"/>
          <w:szCs w:val="22"/>
          <w:vertAlign w:val="superscript"/>
        </w:rPr>
        <w:t xml:space="preserve">0</w:t>
      </w:r>
      <w:r>
        <w:rPr>
          <w:rFonts w:ascii="Arial" w:cs="Arial" w:eastAsia="Arial" w:hAnsi="Arial"/>
          <w:b w:val="false"/>
          <w:bCs w:val="false"/>
          <w:i w:val="false"/>
          <w:iCs w:val="false"/>
          <w:sz w:val="22"/>
          <w:szCs w:val="22"/>
        </w:rPr>
        <w:t xml:space="preserve">-strict, each evolved 100 candidates over 50 generations (≈ 5,000 PCNN evaluations) under hard physical-validity constraints (charge balance, Goldschmidt tolerance factor 0.85–1.05, d</w:t>
      </w:r>
      <w:r>
        <w:rPr>
          <w:rFonts w:ascii="Arial" w:cs="Arial" w:eastAsia="Arial" w:hAnsi="Arial"/>
          <w:b w:val="false"/>
          <w:bCs w:val="false"/>
          <w:i w:val="false"/>
          <w:iCs w:val="false"/>
          <w:sz w:val="22"/>
          <w:szCs w:val="22"/>
          <w:vertAlign w:val="superscript"/>
        </w:rPr>
        <w:t xml:space="preserve">0</w:t>
      </w:r>
      <w:r>
        <w:rPr>
          <w:rFonts w:ascii="Arial" w:cs="Arial" w:eastAsia="Arial" w:hAnsi="Arial"/>
          <w:b w:val="false"/>
          <w:bCs w:val="false"/>
          <w:i w:val="false"/>
          <w:iCs w:val="false"/>
          <w:sz w:val="22"/>
          <w:szCs w:val="22"/>
        </w:rPr>
        <w:t xml:space="preserve"> fraction ≥ 0.5), maximising predicted </w:t>
      </w:r>
      <w:r>
        <w:rPr>
          <w:rFonts w:ascii="Arial" w:cs="Arial" w:eastAsia="Arial" w:hAnsi="Arial"/>
          <w:b w:val="false"/>
          <w:bCs w:val="false"/>
          <w:i/>
          <w:iCs/>
          <w:sz w:val="22"/>
          <w:szCs w:val="22"/>
        </w:rPr>
        <w:t xml:space="preserve">ε</w:t>
      </w:r>
      <w:r>
        <w:rPr>
          <w:rFonts w:ascii="Arial" w:cs="Arial" w:eastAsia="Arial" w:hAnsi="Arial"/>
          <w:b w:val="false"/>
          <w:bCs w:val="false"/>
          <w:i w:val="false"/>
          <w:iCs w:val="false"/>
          <w:sz w:val="22"/>
          <w:szCs w:val="22"/>
          <w:vertAlign w:val="subscript"/>
        </w:rPr>
        <w:t xml:space="preserve">r</w:t>
      </w:r>
      <w:r>
        <w:rPr>
          <w:rFonts w:ascii="Arial" w:cs="Arial" w:eastAsia="Arial" w:hAnsi="Arial"/>
          <w:b w:val="false"/>
          <w:bCs w:val="false"/>
          <w:i w:val="false"/>
          <w:iCs w:val="false"/>
          <w:sz w:val="22"/>
          <w:szCs w:val="22"/>
        </w:rPr>
        <w:t xml:space="preserve"> penalised by predictive uncertainty. The search exceeds the curated library in predicted permittivity: the best Pb-free candidate, Ba</w:t>
      </w:r>
      <w:r>
        <w:rPr>
          <w:rFonts w:ascii="Arial" w:cs="Arial" w:eastAsia="Arial" w:hAnsi="Arial"/>
          <w:b w:val="false"/>
          <w:bCs w:val="false"/>
          <w:i w:val="false"/>
          <w:iCs w:val="false"/>
          <w:sz w:val="22"/>
          <w:szCs w:val="22"/>
          <w:vertAlign w:val="subscript"/>
        </w:rPr>
        <w:t xml:space="preserve">0.05</w:t>
      </w:r>
      <w:r>
        <w:rPr>
          <w:rFonts w:ascii="Arial" w:cs="Arial" w:eastAsia="Arial" w:hAnsi="Arial"/>
          <w:b w:val="false"/>
          <w:bCs w:val="false"/>
          <w:i w:val="false"/>
          <w:iCs w:val="false"/>
          <w:sz w:val="22"/>
          <w:szCs w:val="22"/>
        </w:rPr>
        <w:t xml:space="preserve">Sr</w:t>
      </w:r>
      <w:r>
        <w:rPr>
          <w:rFonts w:ascii="Arial" w:cs="Arial" w:eastAsia="Arial" w:hAnsi="Arial"/>
          <w:b w:val="false"/>
          <w:bCs w:val="false"/>
          <w:i w:val="false"/>
          <w:iCs w:val="false"/>
          <w:sz w:val="22"/>
          <w:szCs w:val="22"/>
          <w:vertAlign w:val="subscript"/>
        </w:rPr>
        <w:t xml:space="preserve">0.95</w:t>
      </w:r>
      <w:r>
        <w:rPr>
          <w:rFonts w:ascii="Arial" w:cs="Arial" w:eastAsia="Arial" w:hAnsi="Arial"/>
          <w:b w:val="false"/>
          <w:bCs w:val="false"/>
          <w:i w:val="false"/>
          <w:iCs w:val="false"/>
          <w:sz w:val="22"/>
          <w:szCs w:val="22"/>
        </w:rPr>
        <w:t xml:space="preserve">Ti</w:t>
      </w:r>
      <w:r>
        <w:rPr>
          <w:rFonts w:ascii="Arial" w:cs="Arial" w:eastAsia="Arial" w:hAnsi="Arial"/>
          <w:b w:val="false"/>
          <w:bCs w:val="false"/>
          <w:i w:val="false"/>
          <w:iCs w:val="false"/>
          <w:sz w:val="22"/>
          <w:szCs w:val="22"/>
          <w:vertAlign w:val="subscript"/>
        </w:rPr>
        <w:t xml:space="preserve">0.84</w:t>
      </w:r>
      <w:r>
        <w:rPr>
          <w:rFonts w:ascii="Arial" w:cs="Arial" w:eastAsia="Arial" w:hAnsi="Arial"/>
          <w:b w:val="false"/>
          <w:bCs w:val="false"/>
          <w:i w:val="false"/>
          <w:iCs w:val="false"/>
          <w:sz w:val="22"/>
          <w:szCs w:val="22"/>
        </w:rPr>
        <w:t xml:space="preserve">Zr</w:t>
      </w:r>
      <w:r>
        <w:rPr>
          <w:rFonts w:ascii="Arial" w:cs="Arial" w:eastAsia="Arial" w:hAnsi="Arial"/>
          <w:b w:val="false"/>
          <w:bCs w:val="false"/>
          <w:i w:val="false"/>
          <w:iCs w:val="false"/>
          <w:sz w:val="22"/>
          <w:szCs w:val="22"/>
          <w:vertAlign w:val="subscript"/>
        </w:rPr>
        <w:t xml:space="preserve">0.15</w:t>
      </w:r>
      <w:r>
        <w:rPr>
          <w:rFonts w:ascii="Arial" w:cs="Arial" w:eastAsia="Arial" w:hAnsi="Arial"/>
          <w:b w:val="false"/>
          <w:bCs w:val="false"/>
          <w:i w:val="false"/>
          <w:iCs w:val="false"/>
          <w:sz w:val="22"/>
          <w:szCs w:val="22"/>
        </w:rPr>
        <w:t xml:space="preserve">O</w:t>
      </w:r>
      <w:r>
        <w:rPr>
          <w:rFonts w:ascii="Arial" w:cs="Arial" w:eastAsia="Arial" w:hAnsi="Arial"/>
          <w:b w:val="false"/>
          <w:bCs w:val="false"/>
          <w:i w:val="false"/>
          <w:iCs w:val="false"/>
          <w:sz w:val="22"/>
          <w:szCs w:val="22"/>
          <w:vertAlign w:val="subscript"/>
        </w:rPr>
        <w:t xml:space="preserve">3</w:t>
      </w:r>
      <w:r>
        <w:rPr>
          <w:rFonts w:ascii="Arial" w:cs="Arial" w:eastAsia="Arial" w:hAnsi="Arial"/>
          <w:b w:val="false"/>
          <w:bCs w:val="false"/>
          <w:i w:val="false"/>
          <w:iCs w:val="false"/>
          <w:sz w:val="22"/>
          <w:szCs w:val="22"/>
        </w:rPr>
        <w:t xml:space="preserve">, reaches a predicted </w:t>
      </w:r>
      <w:r>
        <w:rPr>
          <w:rFonts w:ascii="Arial" w:cs="Arial" w:eastAsia="Arial" w:hAnsi="Arial"/>
          <w:b w:val="false"/>
          <w:bCs w:val="false"/>
          <w:i/>
          <w:iCs/>
          <w:sz w:val="22"/>
          <w:szCs w:val="22"/>
        </w:rPr>
        <w:t xml:space="preserve">ε</w:t>
      </w:r>
      <w:r>
        <w:rPr>
          <w:rFonts w:ascii="Arial" w:cs="Arial" w:eastAsia="Arial" w:hAnsi="Arial"/>
          <w:b w:val="false"/>
          <w:bCs w:val="false"/>
          <w:i w:val="false"/>
          <w:iCs w:val="false"/>
          <w:sz w:val="22"/>
          <w:szCs w:val="22"/>
          <w:vertAlign w:val="subscript"/>
        </w:rPr>
        <w:t xml:space="preserve">r</w:t>
      </w:r>
      <w:r>
        <w:rPr>
          <w:rFonts w:ascii="Arial" w:cs="Arial" w:eastAsia="Arial" w:hAnsi="Arial"/>
          <w:b w:val="false"/>
          <w:bCs w:val="false"/>
          <w:i w:val="false"/>
          <w:iCs w:val="false"/>
          <w:sz w:val="22"/>
          <w:szCs w:val="22"/>
        </w:rPr>
        <w:t xml:space="preserve"> ≈ 147 with a 90% conformal lower bound of 132 (versus 140 for the curated optimum), while the Pb-allowed run attains </w:t>
      </w:r>
      <w:r>
        <w:rPr>
          <w:rFonts w:ascii="Arial" w:cs="Arial" w:eastAsia="Arial" w:hAnsi="Arial"/>
          <w:b w:val="false"/>
          <w:bCs w:val="false"/>
          <w:i/>
          <w:iCs/>
          <w:sz w:val="22"/>
          <w:szCs w:val="22"/>
        </w:rPr>
        <w:t xml:space="preserve">ε</w:t>
      </w:r>
      <w:r>
        <w:rPr>
          <w:rFonts w:ascii="Arial" w:cs="Arial" w:eastAsia="Arial" w:hAnsi="Arial"/>
          <w:b w:val="false"/>
          <w:bCs w:val="false"/>
          <w:i w:val="false"/>
          <w:iCs w:val="false"/>
          <w:sz w:val="22"/>
          <w:szCs w:val="22"/>
          <w:vertAlign w:val="subscript"/>
        </w:rPr>
        <w:t xml:space="preserve">r</w:t>
      </w:r>
      <w:r>
        <w:rPr>
          <w:rFonts w:ascii="Arial" w:cs="Arial" w:eastAsia="Arial" w:hAnsi="Arial"/>
          <w:b w:val="false"/>
          <w:bCs w:val="false"/>
          <w:i w:val="false"/>
          <w:iCs w:val="false"/>
          <w:sz w:val="22"/>
          <w:szCs w:val="22"/>
        </w:rPr>
        <w:t xml:space="preserve"> ≈ 166–170, the Pb lone-pair ceiling anticipated by the extrapolation analysis above.</w:t>
      </w:r>
    </w:p>
    <w:p>
      <w:pPr>
        <w:spacing w:after="120" w:line="252" w:lineRule="auto"/>
        <w:jc w:val="left"/>
      </w:pPr>
      <w:r>
        <w:rPr>
          <w:rFonts w:ascii="Arial" w:cs="Arial" w:eastAsia="Arial" w:hAnsi="Arial"/>
          <w:b w:val="false"/>
          <w:bCs w:val="false"/>
          <w:i w:val="false"/>
          <w:iCs w:val="false"/>
          <w:sz w:val="22"/>
          <w:szCs w:val="22"/>
        </w:rPr>
        <w:t xml:space="preserve">Despite receiving no explicit design rules, the optimiser independently converges on the regime the A-site hierarchy predicts: the Pb-free optimum is </w:t>
      </w:r>
      <w:r>
        <w:rPr>
          <w:rFonts w:ascii="Arial" w:cs="Arial" w:eastAsia="Arial" w:hAnsi="Arial"/>
          <w:b w:val="false"/>
          <w:bCs w:val="false"/>
          <w:i/>
          <w:iCs/>
          <w:sz w:val="22"/>
          <w:szCs w:val="22"/>
        </w:rPr>
        <w:t xml:space="preserve">δ</w:t>
      </w:r>
      <w:r>
        <w:rPr>
          <w:rFonts w:ascii="Arial" w:cs="Arial" w:eastAsia="Arial" w:hAnsi="Arial"/>
          <w:b w:val="false"/>
          <w:bCs w:val="false"/>
          <w:i w:val="false"/>
          <w:iCs w:val="false"/>
          <w:sz w:val="22"/>
          <w:szCs w:val="22"/>
          <w:vertAlign w:val="subscript"/>
        </w:rPr>
        <w:t xml:space="preserve">LST</w:t>
      </w:r>
      <w:r>
        <w:rPr>
          <w:rFonts w:ascii="Arial" w:cs="Arial" w:eastAsia="Arial" w:hAnsi="Arial"/>
          <w:b w:val="false"/>
          <w:bCs w:val="false"/>
          <w:i w:val="false"/>
          <w:iCs w:val="false"/>
          <w:sz w:val="22"/>
          <w:szCs w:val="22"/>
        </w:rPr>
        <w:t xml:space="preserve">-dominated (</w:t>
      </w:r>
      <w:r>
        <w:rPr>
          <w:rFonts w:ascii="Arial" w:cs="Arial" w:eastAsia="Arial" w:hAnsi="Arial"/>
          <w:b w:val="false"/>
          <w:bCs w:val="false"/>
          <w:i/>
          <w:iCs/>
          <w:sz w:val="22"/>
          <w:szCs w:val="22"/>
        </w:rPr>
        <w:t xml:space="preserve">δ</w:t>
      </w:r>
      <w:r>
        <w:rPr>
          <w:rFonts w:ascii="Arial" w:cs="Arial" w:eastAsia="Arial" w:hAnsi="Arial"/>
          <w:b w:val="false"/>
          <w:bCs w:val="false"/>
          <w:i w:val="false"/>
          <w:iCs w:val="false"/>
          <w:sz w:val="22"/>
          <w:szCs w:val="22"/>
          <w:vertAlign w:val="subscript"/>
        </w:rPr>
        <w:t xml:space="preserve">LST</w:t>
      </w:r>
      <w:r>
        <w:rPr>
          <w:rFonts w:ascii="Arial" w:cs="Arial" w:eastAsia="Arial" w:hAnsi="Arial"/>
          <w:b w:val="false"/>
          <w:bCs w:val="false"/>
          <w:i w:val="false"/>
          <w:iCs w:val="false"/>
          <w:sz w:val="22"/>
          <w:szCs w:val="22"/>
        </w:rPr>
        <w:t xml:space="preserve"> ≈ 108 versus </w:t>
      </w:r>
      <w:r>
        <w:rPr>
          <w:rFonts w:ascii="Arial" w:cs="Arial" w:eastAsia="Arial" w:hAnsi="Arial"/>
          <w:b w:val="false"/>
          <w:bCs w:val="false"/>
          <w:i/>
          <w:iCs/>
          <w:sz w:val="22"/>
          <w:szCs w:val="22"/>
        </w:rPr>
        <w:t xml:space="preserve">ε</w:t>
      </w:r>
      <w:r>
        <w:rPr>
          <w:rFonts w:ascii="Arial" w:cs="Arial" w:eastAsia="Arial" w:hAnsi="Arial"/>
          <w:b w:val="false"/>
          <w:bCs w:val="false"/>
          <w:i w:val="false"/>
          <w:iCs w:val="false"/>
          <w:sz w:val="22"/>
          <w:szCs w:val="22"/>
          <w:vertAlign w:val="subscript"/>
        </w:rPr>
        <w:t xml:space="preserve">CM</w:t>
      </w:r>
      <w:r>
        <w:rPr>
          <w:rFonts w:ascii="Arial" w:cs="Arial" w:eastAsia="Arial" w:hAnsi="Arial"/>
          <w:b w:val="false"/>
          <w:bCs w:val="false"/>
          <w:i w:val="false"/>
          <w:iCs w:val="false"/>
          <w:sz w:val="22"/>
          <w:szCs w:val="22"/>
        </w:rPr>
        <w:t xml:space="preserve"> ≈ 38, </w:t>
      </w:r>
      <w:r>
        <w:rPr>
          <w:rFonts w:ascii="Arial" w:cs="Arial" w:eastAsia="Arial" w:hAnsi="Arial"/>
          <w:b w:val="false"/>
          <w:bCs w:val="false"/>
          <w:i/>
          <w:iCs/>
          <w:sz w:val="22"/>
          <w:szCs w:val="22"/>
        </w:rPr>
        <w:t xml:space="preserve">f</w:t>
      </w:r>
      <w:r>
        <w:rPr>
          <w:rFonts w:ascii="Arial" w:cs="Arial" w:eastAsia="Arial" w:hAnsi="Arial"/>
          <w:b w:val="false"/>
          <w:bCs w:val="false"/>
          <w:i w:val="false"/>
          <w:iCs w:val="false"/>
          <w:sz w:val="22"/>
          <w:szCs w:val="22"/>
          <w:vertAlign w:val="subscript"/>
        </w:rPr>
        <w:t xml:space="preserve">LST</w:t>
      </w:r>
      <w:r>
        <w:rPr>
          <w:rFonts w:ascii="Arial" w:cs="Arial" w:eastAsia="Arial" w:hAnsi="Arial"/>
          <w:b w:val="false"/>
          <w:bCs w:val="false"/>
          <w:i w:val="false"/>
          <w:iCs w:val="false"/>
          <w:sz w:val="22"/>
          <w:szCs w:val="22"/>
        </w:rPr>
        <w:t xml:space="preserve"> = 2.85) with negligible tilt, in the Sr-rich, d</w:t>
      </w:r>
      <w:r>
        <w:rPr>
          <w:rFonts w:ascii="Arial" w:cs="Arial" w:eastAsia="Arial" w:hAnsi="Arial"/>
          <w:b w:val="false"/>
          <w:bCs w:val="false"/>
          <w:i w:val="false"/>
          <w:iCs w:val="false"/>
          <w:sz w:val="22"/>
          <w:szCs w:val="22"/>
          <w:vertAlign w:val="superscript"/>
        </w:rPr>
        <w:t xml:space="preserve">0</w:t>
      </w:r>
      <w:r>
        <w:rPr>
          <w:rFonts w:ascii="Arial" w:cs="Arial" w:eastAsia="Arial" w:hAnsi="Arial"/>
          <w:b w:val="false"/>
          <w:bCs w:val="false"/>
          <w:i w:val="false"/>
          <w:iCs w:val="false"/>
          <w:sz w:val="22"/>
          <w:szCs w:val="22"/>
        </w:rPr>
        <w:t xml:space="preserve">-Ti/Zr corner, reproducing the model's own predicted soft-mode landscape (Fig. 6d). These optima are physics-reliable, within the model's mechanism-confidence gate (Layer 1 of the applicability domain), but lie at the sparse frontier of sampled composition space (flagged as compositional extrapolations by the density gate, with nearest-neighbour distances beyond the 95th percentile of the training set). We therefore report them as confidence-bounded synthesis targets rather than validated materials, complementing experimentally closed-loop and generative inverse-design frameworks [23–25].</w:t>
      </w:r>
    </w:p>
    <w:p>
      <w:pPr>
        <w:sectPr>
          <w:footerReference w:type="default" r:id="rId18"/>
          <w:type w:val="continuous"/>
          <w:pgSz w:w="12240" w:h="15840" w:orient="portrait"/>
          <w:pgMar w:top="1296" w:right="1296" w:bottom="1296" w:left="1296" w:header="708" w:footer="708" w:gutter="0"/>
          <w:pgNumType/>
          <w:docGrid w:linePitch="360"/>
        </w:sectPr>
      </w:pPr>
    </w:p>
    <w:p>
      <w:pPr>
        <w:spacing w:after="120" w:before="360"/>
      </w:pPr>
      <w:r>
        <w:rPr>
          <w:rFonts w:ascii="Arial" w:cs="Arial" w:eastAsia="Arial" w:hAnsi="Arial"/>
          <w:sz w:val="22"/>
          <w:szCs w:val="22"/>
        </w:rPr>
        <w:t xml:space="preserve"/>
      </w:r>
    </w:p>
    <w:p>
      <w:pPr>
        <w:spacing w:after="240" w:before="0"/>
        <w:jc w:val="center"/>
      </w:pPr>
      <w:r>
        <w:drawing>
          <wp:inline distT="0" distB="0" distL="0" distR="0">
            <wp:extent cx="5943600" cy="4619625"/>
            <wp:effectExtent t="0" r="0" b="0" l="0"/>
            <wp:docPr id="1" name="fig6_limits.png" descr="Figure" title="fig6_limi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943600" cy="4619625"/>
                    </a:xfrm>
                    <a:prstGeom prst="rect">
                      <a:avLst/>
                    </a:prstGeom>
                  </pic:spPr>
                </pic:pic>
              </a:graphicData>
            </a:graphic>
          </wp:inline>
        </w:drawing>
      </w:r>
    </w:p>
    <w:p>
      <w:pPr>
        <w:spacing w:after="480" w:before="0" w:line="280" w:lineRule="auto"/>
        <w:jc w:val="both"/>
      </w:pPr>
      <w:r>
        <w:rPr>
          <w:rFonts w:ascii="Arial" w:cs="Arial" w:eastAsia="Arial" w:hAnsi="Arial"/>
          <w:b/>
          <w:bCs/>
          <w:i w:val="false"/>
          <w:iCs w:val="false"/>
          <w:sz w:val="18"/>
          <w:szCs w:val="18"/>
        </w:rPr>
        <w:t xml:space="preserve">Fig. 6 | Extrapolation boundaries, uncertainty-aware screening and inverse design.</w:t>
      </w:r>
      <w:r>
        <w:rPr>
          <w:rFonts w:ascii="Arial" w:cs="Arial" w:eastAsia="Arial" w:hAnsi="Arial"/>
          <w:b w:val="false"/>
          <w:bCs w:val="false"/>
          <w:i w:val="false"/>
          <w:iCs w:val="false"/>
          <w:sz w:val="18"/>
          <w:szCs w:val="18"/>
        </w:rPr>
        <w:t xml:space="preserve"> </w:t>
      </w:r>
      <w:r>
        <w:rPr>
          <w:rFonts w:ascii="Arial" w:cs="Arial" w:eastAsia="Arial" w:hAnsi="Arial"/>
          <w:b/>
          <w:bCs/>
          <w:i w:val="false"/>
          <w:iCs w:val="false"/>
          <w:sz w:val="18"/>
          <w:szCs w:val="18"/>
        </w:rPr>
        <w:t xml:space="preserve">a</w:t>
      </w:r>
      <w:r>
        <w:rPr>
          <w:rFonts w:ascii="Arial" w:cs="Arial" w:eastAsia="Arial" w:hAnsi="Arial"/>
          <w:b w:val="false"/>
          <w:bCs w:val="false"/>
          <w:i w:val="false"/>
          <w:iCs w:val="false"/>
          <w:sz w:val="18"/>
          <w:szCs w:val="18"/>
        </w:rPr>
        <w:t xml:space="preserve">, Leave-one-family-out (LOFO) generalisation: holdout </w:t>
      </w:r>
      <w:r>
        <w:rPr>
          <w:rFonts w:ascii="Arial" w:cs="Arial" w:eastAsia="Arial" w:hAnsi="Arial"/>
          <w:b w:val="false"/>
          <w:bCs w:val="false"/>
          <w:i/>
          <w:iCs/>
          <w:sz w:val="18"/>
          <w:szCs w:val="18"/>
        </w:rPr>
        <w:t xml:space="preserve">R</w:t>
      </w:r>
      <w:r>
        <w:rPr>
          <w:rFonts w:ascii="Arial" w:cs="Arial" w:eastAsia="Arial" w:hAnsi="Arial"/>
          <w:b w:val="false"/>
          <w:bCs w:val="false"/>
          <w:i w:val="false"/>
          <w:iCs w:val="false"/>
          <w:sz w:val="18"/>
          <w:szCs w:val="18"/>
          <w:vertAlign w:val="superscript"/>
        </w:rPr>
        <w:t xml:space="preserve">2</w:t>
      </w:r>
      <w:r>
        <w:rPr>
          <w:rFonts w:ascii="Arial" w:cs="Arial" w:eastAsia="Arial" w:hAnsi="Arial"/>
          <w:b w:val="false"/>
          <w:bCs w:val="false"/>
          <w:i w:val="false"/>
          <w:iCs w:val="false"/>
          <w:sz w:val="18"/>
          <w:szCs w:val="18"/>
        </w:rPr>
        <w:t xml:space="preserve"> when each A-site family is removed entirely from training and used as test (Pb −0.097, Ba 0.008, Sr 0.434, Ca 0.610, La 0.849). The progression reflects increasing chemical isolation; Pb is the only family on which the PCNN fundamentally fails to extrapolate, identifying 6</w:t>
      </w:r>
      <w:r>
        <w:rPr>
          <w:rFonts w:ascii="Arial" w:cs="Arial" w:eastAsia="Arial" w:hAnsi="Arial"/>
          <w:b w:val="false"/>
          <w:bCs w:val="false"/>
          <w:i/>
          <w:iCs/>
          <w:sz w:val="18"/>
          <w:szCs w:val="18"/>
        </w:rPr>
        <w:t xml:space="preserve">s</w:t>
      </w:r>
      <w:r>
        <w:rPr>
          <w:rFonts w:ascii="Arial" w:cs="Arial" w:eastAsia="Arial" w:hAnsi="Arial"/>
          <w:b w:val="false"/>
          <w:bCs w:val="false"/>
          <w:i w:val="false"/>
          <w:iCs w:val="false"/>
          <w:sz w:val="18"/>
          <w:szCs w:val="18"/>
          <w:vertAlign w:val="superscript"/>
        </w:rPr>
        <w:t xml:space="preserve">2</w:t>
      </w:r>
      <w:r>
        <w:rPr>
          <w:rFonts w:ascii="Arial" w:cs="Arial" w:eastAsia="Arial" w:hAnsi="Arial"/>
          <w:b w:val="false"/>
          <w:bCs w:val="false"/>
          <w:i w:val="false"/>
          <w:iCs w:val="false"/>
          <w:sz w:val="18"/>
          <w:szCs w:val="18"/>
        </w:rPr>
        <w:t xml:space="preserve"> lone-pair stereoactivity as a hard ML boundary (regime-LOFO is shown in Supplementary Fig. 8). </w:t>
      </w:r>
      <w:r>
        <w:rPr>
          <w:rFonts w:ascii="Arial" w:cs="Arial" w:eastAsia="Arial" w:hAnsi="Arial"/>
          <w:b/>
          <w:bCs/>
          <w:i w:val="false"/>
          <w:iCs w:val="false"/>
          <w:sz w:val="18"/>
          <w:szCs w:val="18"/>
        </w:rPr>
        <w:t xml:space="preserve">b</w:t>
      </w:r>
      <w:r>
        <w:rPr>
          <w:rFonts w:ascii="Arial" w:cs="Arial" w:eastAsia="Arial" w:hAnsi="Arial"/>
          <w:b w:val="false"/>
          <w:bCs w:val="false"/>
          <w:i w:val="false"/>
          <w:iCs w:val="false"/>
          <w:sz w:val="18"/>
          <w:szCs w:val="18"/>
        </w:rPr>
        <w:t xml:space="preserve">, The confident-but-wrong failure mode: per-A-site fraction of compositions classified as in-domain by the conjunctive σ</w:t>
      </w:r>
      <w:r>
        <w:rPr>
          <w:rFonts w:ascii="Arial" w:cs="Arial" w:eastAsia="Arial" w:hAnsi="Arial"/>
          <w:b w:val="false"/>
          <w:bCs w:val="false"/>
          <w:i w:val="false"/>
          <w:iCs w:val="false"/>
          <w:sz w:val="18"/>
          <w:szCs w:val="18"/>
          <w:vertAlign w:val="subscript"/>
        </w:rPr>
        <w:t xml:space="preserve">conf</w:t>
      </w:r>
      <w:r>
        <w:rPr>
          <w:rFonts w:ascii="Arial" w:cs="Arial" w:eastAsia="Arial" w:hAnsi="Arial"/>
          <w:b w:val="false"/>
          <w:bCs w:val="false"/>
          <w:i w:val="false"/>
          <w:iCs w:val="false"/>
          <w:sz w:val="18"/>
          <w:szCs w:val="18"/>
        </w:rPr>
        <w:t xml:space="preserve"> × KDE applicability-domain gate (bars; Pb 74.4%, La 72.0%, Ba 58.3%, Ca 52.7%, Sr 23.3%, ordered by increasing mean σ</w:t>
      </w:r>
      <w:r>
        <w:rPr>
          <w:rFonts w:ascii="Arial" w:cs="Arial" w:eastAsia="Arial" w:hAnsi="Arial"/>
          <w:b w:val="false"/>
          <w:bCs w:val="false"/>
          <w:i w:val="false"/>
          <w:iCs w:val="false"/>
          <w:sz w:val="18"/>
          <w:szCs w:val="18"/>
          <w:vertAlign w:val="subscript"/>
        </w:rPr>
        <w:t xml:space="preserve">conf</w:t>
      </w:r>
      <w:r>
        <w:rPr>
          <w:rFonts w:ascii="Arial" w:cs="Arial" w:eastAsia="Arial" w:hAnsi="Arial"/>
          <w:b w:val="false"/>
          <w:bCs w:val="false"/>
          <w:i w:val="false"/>
          <w:iCs w:val="false"/>
          <w:sz w:val="18"/>
          <w:szCs w:val="18"/>
        </w:rPr>
        <w:t xml:space="preserve">) overlaid with the corresponding LOFO </w:t>
      </w:r>
      <w:r>
        <w:rPr>
          <w:rFonts w:ascii="Arial" w:cs="Arial" w:eastAsia="Arial" w:hAnsi="Arial"/>
          <w:b w:val="false"/>
          <w:bCs w:val="false"/>
          <w:i/>
          <w:iCs/>
          <w:sz w:val="18"/>
          <w:szCs w:val="18"/>
        </w:rPr>
        <w:t xml:space="preserve">R</w:t>
      </w:r>
      <w:r>
        <w:rPr>
          <w:rFonts w:ascii="Arial" w:cs="Arial" w:eastAsia="Arial" w:hAnsi="Arial"/>
          <w:b w:val="false"/>
          <w:bCs w:val="false"/>
          <w:i w:val="false"/>
          <w:iCs w:val="false"/>
          <w:sz w:val="18"/>
          <w:szCs w:val="18"/>
          <w:vertAlign w:val="superscript"/>
        </w:rPr>
        <w:t xml:space="preserve">2</w:t>
      </w:r>
      <w:r>
        <w:rPr>
          <w:rFonts w:ascii="Arial" w:cs="Arial" w:eastAsia="Arial" w:hAnsi="Arial"/>
          <w:b w:val="false"/>
          <w:bCs w:val="false"/>
          <w:i w:val="false"/>
          <w:iCs w:val="false"/>
          <w:sz w:val="18"/>
          <w:szCs w:val="18"/>
        </w:rPr>
        <w:t xml:space="preserve"> (markers, right axis). Pb is the family with the lowest mean σ</w:t>
      </w:r>
      <w:r>
        <w:rPr>
          <w:rFonts w:ascii="Arial" w:cs="Arial" w:eastAsia="Arial" w:hAnsi="Arial"/>
          <w:b w:val="false"/>
          <w:bCs w:val="false"/>
          <w:i w:val="false"/>
          <w:iCs w:val="false"/>
          <w:sz w:val="18"/>
          <w:szCs w:val="18"/>
          <w:vertAlign w:val="subscript"/>
        </w:rPr>
        <w:t xml:space="preserve">conf</w:t>
      </w:r>
      <w:r>
        <w:rPr>
          <w:rFonts w:ascii="Arial" w:cs="Arial" w:eastAsia="Arial" w:hAnsi="Arial"/>
          <w:b w:val="false"/>
          <w:bCs w:val="false"/>
          <w:i w:val="false"/>
          <w:iCs w:val="false"/>
          <w:sz w:val="18"/>
          <w:szCs w:val="18"/>
        </w:rPr>
        <w:t xml:space="preserve"> (0.288) and highest in-AD fraction (74.4%) yet exhibits the worst LOFO performance (</w:t>
      </w:r>
      <w:r>
        <w:rPr>
          <w:rFonts w:ascii="Arial" w:cs="Arial" w:eastAsia="Arial" w:hAnsi="Arial"/>
          <w:b w:val="false"/>
          <w:bCs w:val="false"/>
          <w:i/>
          <w:iCs/>
          <w:sz w:val="18"/>
          <w:szCs w:val="18"/>
        </w:rPr>
        <w:t xml:space="preserve">R</w:t>
      </w:r>
      <w:r>
        <w:rPr>
          <w:rFonts w:ascii="Arial" w:cs="Arial" w:eastAsia="Arial" w:hAnsi="Arial"/>
          <w:b w:val="false"/>
          <w:bCs w:val="false"/>
          <w:i w:val="false"/>
          <w:iCs w:val="false"/>
          <w:sz w:val="18"/>
          <w:szCs w:val="18"/>
          <w:vertAlign w:val="superscript"/>
        </w:rPr>
        <w:t xml:space="preserve">2</w:t>
      </w:r>
      <w:r>
        <w:rPr>
          <w:rFonts w:ascii="Arial" w:cs="Arial" w:eastAsia="Arial" w:hAnsi="Arial"/>
          <w:b w:val="false"/>
          <w:bCs w:val="false"/>
          <w:i w:val="false"/>
          <w:iCs w:val="false"/>
          <w:sz w:val="18"/>
          <w:szCs w:val="18"/>
        </w:rPr>
        <w:t xml:space="preserve"> = −0.097), demonstrating that uncertainty magnitude alone is insufficient to detect novel-chemistry failure modes; Sr (in-AD = 23.3%) is correctly flagged as uncertain. </w:t>
      </w:r>
      <w:r>
        <w:rPr>
          <w:rFonts w:ascii="Arial" w:cs="Arial" w:eastAsia="Arial" w:hAnsi="Arial"/>
          <w:b/>
          <w:bCs/>
          <w:i w:val="false"/>
          <w:iCs w:val="false"/>
          <w:sz w:val="18"/>
          <w:szCs w:val="18"/>
        </w:rPr>
        <w:t xml:space="preserve">c</w:t>
      </w:r>
      <w:r>
        <w:rPr>
          <w:rFonts w:ascii="Arial" w:cs="Arial" w:eastAsia="Arial" w:hAnsi="Arial"/>
          <w:b w:val="false"/>
          <w:bCs w:val="false"/>
          <w:i w:val="false"/>
          <w:iCs w:val="false"/>
          <w:sz w:val="18"/>
          <w:szCs w:val="18"/>
        </w:rPr>
        <w:t xml:space="preserve">, Uncertainty-aware virtual screening of 72 Pb-free candidate compositions: predicted ε</w:t>
      </w:r>
      <w:r>
        <w:rPr>
          <w:rFonts w:ascii="Arial" w:cs="Arial" w:eastAsia="Arial" w:hAnsi="Arial"/>
          <w:b w:val="false"/>
          <w:bCs w:val="false"/>
          <w:i w:val="false"/>
          <w:iCs w:val="false"/>
          <w:sz w:val="18"/>
          <w:szCs w:val="18"/>
          <w:vertAlign w:val="subscript"/>
        </w:rPr>
        <w:t xml:space="preserve">r</w:t>
      </w:r>
      <w:r>
        <w:rPr>
          <w:rFonts w:ascii="Arial" w:cs="Arial" w:eastAsia="Arial" w:hAnsi="Arial"/>
          <w:b w:val="false"/>
          <w:bCs w:val="false"/>
          <w:i w:val="false"/>
          <w:iCs w:val="false"/>
          <w:sz w:val="18"/>
          <w:szCs w:val="18"/>
        </w:rPr>
        <w:t xml:space="preserve"> with 90% conformal interval (point + whiskers), with the inclusion thresholds (predicted ε</w:t>
      </w:r>
      <w:r>
        <w:rPr>
          <w:rFonts w:ascii="Arial" w:cs="Arial" w:eastAsia="Arial" w:hAnsi="Arial"/>
          <w:b w:val="false"/>
          <w:bCs w:val="false"/>
          <w:i w:val="false"/>
          <w:iCs w:val="false"/>
          <w:sz w:val="18"/>
          <w:szCs w:val="18"/>
          <w:vertAlign w:val="subscript"/>
        </w:rPr>
        <w:t xml:space="preserve">r</w:t>
      </w:r>
      <w:r>
        <w:rPr>
          <w:rFonts w:ascii="Arial" w:cs="Arial" w:eastAsia="Arial" w:hAnsi="Arial"/>
          <w:b w:val="false"/>
          <w:bCs w:val="false"/>
          <w:i w:val="false"/>
          <w:iCs w:val="false"/>
          <w:sz w:val="18"/>
          <w:szCs w:val="18"/>
        </w:rPr>
        <w:t xml:space="preserve"> ≥ 80, green dashed; 90% lower bound ≥ 65, orange dotted) marked. 70 of 72 candidates pass the conjunctive filter (97% hit rate); the top candidates (Sr</w:t>
      </w:r>
      <w:r>
        <w:rPr>
          <w:rFonts w:ascii="Arial" w:cs="Arial" w:eastAsia="Arial" w:hAnsi="Arial"/>
          <w:b w:val="false"/>
          <w:bCs w:val="false"/>
          <w:i w:val="false"/>
          <w:iCs w:val="false"/>
          <w:sz w:val="18"/>
          <w:szCs w:val="18"/>
          <w:vertAlign w:val="subscript"/>
        </w:rPr>
        <w:t xml:space="preserve">0.9</w:t>
      </w:r>
      <w:r>
        <w:rPr>
          <w:rFonts w:ascii="Arial" w:cs="Arial" w:eastAsia="Arial" w:hAnsi="Arial"/>
          <w:b w:val="false"/>
          <w:bCs w:val="false"/>
          <w:i w:val="false"/>
          <w:iCs w:val="false"/>
          <w:sz w:val="18"/>
          <w:szCs w:val="18"/>
        </w:rPr>
        <w:t xml:space="preserve">Ca</w:t>
      </w:r>
      <w:r>
        <w:rPr>
          <w:rFonts w:ascii="Arial" w:cs="Arial" w:eastAsia="Arial" w:hAnsi="Arial"/>
          <w:b w:val="false"/>
          <w:bCs w:val="false"/>
          <w:i w:val="false"/>
          <w:iCs w:val="false"/>
          <w:sz w:val="18"/>
          <w:szCs w:val="18"/>
          <w:vertAlign w:val="subscript"/>
        </w:rPr>
        <w:t xml:space="preserve">0.1</w:t>
      </w:r>
      <w:r>
        <w:rPr>
          <w:rFonts w:ascii="Arial" w:cs="Arial" w:eastAsia="Arial" w:hAnsi="Arial"/>
          <w:b w:val="false"/>
          <w:bCs w:val="false"/>
          <w:i w:val="false"/>
          <w:iCs w:val="false"/>
          <w:sz w:val="18"/>
          <w:szCs w:val="18"/>
        </w:rPr>
        <w:t xml:space="preserve">TiO</w:t>
      </w:r>
      <w:r>
        <w:rPr>
          <w:rFonts w:ascii="Arial" w:cs="Arial" w:eastAsia="Arial" w:hAnsi="Arial"/>
          <w:b w:val="false"/>
          <w:bCs w:val="false"/>
          <w:i w:val="false"/>
          <w:iCs w:val="false"/>
          <w:sz w:val="18"/>
          <w:szCs w:val="18"/>
          <w:vertAlign w:val="subscript"/>
        </w:rPr>
        <w:t xml:space="preserve">3</w:t>
      </w:r>
      <w:r>
        <w:rPr>
          <w:rFonts w:ascii="Arial" w:cs="Arial" w:eastAsia="Arial" w:hAnsi="Arial"/>
          <w:b w:val="false"/>
          <w:bCs w:val="false"/>
          <w:i w:val="false"/>
          <w:iCs w:val="false"/>
          <w:sz w:val="18"/>
          <w:szCs w:val="18"/>
        </w:rPr>
        <w:t xml:space="preserve">, Sr</w:t>
      </w:r>
      <w:r>
        <w:rPr>
          <w:rFonts w:ascii="Arial" w:cs="Arial" w:eastAsia="Arial" w:hAnsi="Arial"/>
          <w:b w:val="false"/>
          <w:bCs w:val="false"/>
          <w:i w:val="false"/>
          <w:iCs w:val="false"/>
          <w:sz w:val="18"/>
          <w:szCs w:val="18"/>
          <w:vertAlign w:val="subscript"/>
        </w:rPr>
        <w:t xml:space="preserve">0.95</w:t>
      </w:r>
      <w:r>
        <w:rPr>
          <w:rFonts w:ascii="Arial" w:cs="Arial" w:eastAsia="Arial" w:hAnsi="Arial"/>
          <w:b w:val="false"/>
          <w:bCs w:val="false"/>
          <w:i w:val="false"/>
          <w:iCs w:val="false"/>
          <w:sz w:val="18"/>
          <w:szCs w:val="18"/>
        </w:rPr>
        <w:t xml:space="preserve">Ca</w:t>
      </w:r>
      <w:r>
        <w:rPr>
          <w:rFonts w:ascii="Arial" w:cs="Arial" w:eastAsia="Arial" w:hAnsi="Arial"/>
          <w:b w:val="false"/>
          <w:bCs w:val="false"/>
          <w:i w:val="false"/>
          <w:iCs w:val="false"/>
          <w:sz w:val="18"/>
          <w:szCs w:val="18"/>
          <w:vertAlign w:val="subscript"/>
        </w:rPr>
        <w:t xml:space="preserve">0.05</w:t>
      </w:r>
      <w:r>
        <w:rPr>
          <w:rFonts w:ascii="Arial" w:cs="Arial" w:eastAsia="Arial" w:hAnsi="Arial"/>
          <w:b w:val="false"/>
          <w:bCs w:val="false"/>
          <w:i w:val="false"/>
          <w:iCs w:val="false"/>
          <w:sz w:val="18"/>
          <w:szCs w:val="18"/>
        </w:rPr>
        <w:t xml:space="preserve">TiO</w:t>
      </w:r>
      <w:r>
        <w:rPr>
          <w:rFonts w:ascii="Arial" w:cs="Arial" w:eastAsia="Arial" w:hAnsi="Arial"/>
          <w:b w:val="false"/>
          <w:bCs w:val="false"/>
          <w:i w:val="false"/>
          <w:iCs w:val="false"/>
          <w:sz w:val="18"/>
          <w:szCs w:val="18"/>
          <w:vertAlign w:val="subscript"/>
        </w:rPr>
        <w:t xml:space="preserve">3</w:t>
      </w:r>
      <w:r>
        <w:rPr>
          <w:rFonts w:ascii="Arial" w:cs="Arial" w:eastAsia="Arial" w:hAnsi="Arial"/>
          <w:b w:val="false"/>
          <w:bCs w:val="false"/>
          <w:i w:val="false"/>
          <w:iCs w:val="false"/>
          <w:sz w:val="18"/>
          <w:szCs w:val="18"/>
        </w:rPr>
        <w:t xml:space="preserve">, Sr</w:t>
      </w:r>
      <w:r>
        <w:rPr>
          <w:rFonts w:ascii="Arial" w:cs="Arial" w:eastAsia="Arial" w:hAnsi="Arial"/>
          <w:b w:val="false"/>
          <w:bCs w:val="false"/>
          <w:i w:val="false"/>
          <w:iCs w:val="false"/>
          <w:sz w:val="18"/>
          <w:szCs w:val="18"/>
          <w:vertAlign w:val="subscript"/>
        </w:rPr>
        <w:t xml:space="preserve">0.5</w:t>
      </w:r>
      <w:r>
        <w:rPr>
          <w:rFonts w:ascii="Arial" w:cs="Arial" w:eastAsia="Arial" w:hAnsi="Arial"/>
          <w:b w:val="false"/>
          <w:bCs w:val="false"/>
          <w:i w:val="false"/>
          <w:iCs w:val="false"/>
          <w:sz w:val="18"/>
          <w:szCs w:val="18"/>
        </w:rPr>
        <w:t xml:space="preserve">Ca</w:t>
      </w:r>
      <w:r>
        <w:rPr>
          <w:rFonts w:ascii="Arial" w:cs="Arial" w:eastAsia="Arial" w:hAnsi="Arial"/>
          <w:b w:val="false"/>
          <w:bCs w:val="false"/>
          <w:i w:val="false"/>
          <w:iCs w:val="false"/>
          <w:sz w:val="18"/>
          <w:szCs w:val="18"/>
          <w:vertAlign w:val="subscript"/>
        </w:rPr>
        <w:t xml:space="preserve">0.5</w:t>
      </w:r>
      <w:r>
        <w:rPr>
          <w:rFonts w:ascii="Arial" w:cs="Arial" w:eastAsia="Arial" w:hAnsi="Arial"/>
          <w:b w:val="false"/>
          <w:bCs w:val="false"/>
          <w:i w:val="false"/>
          <w:iCs w:val="false"/>
          <w:sz w:val="18"/>
          <w:szCs w:val="18"/>
        </w:rPr>
        <w:t xml:space="preserve">TiO</w:t>
      </w:r>
      <w:r>
        <w:rPr>
          <w:rFonts w:ascii="Arial" w:cs="Arial" w:eastAsia="Arial" w:hAnsi="Arial"/>
          <w:b w:val="false"/>
          <w:bCs w:val="false"/>
          <w:i w:val="false"/>
          <w:iCs w:val="false"/>
          <w:sz w:val="18"/>
          <w:szCs w:val="18"/>
          <w:vertAlign w:val="subscript"/>
        </w:rPr>
        <w:t xml:space="preserve">3</w:t>
      </w:r>
      <w:r>
        <w:rPr>
          <w:rFonts w:ascii="Arial" w:cs="Arial" w:eastAsia="Arial" w:hAnsi="Arial"/>
          <w:b w:val="false"/>
          <w:bCs w:val="false"/>
          <w:i w:val="false"/>
          <w:iCs w:val="false"/>
          <w:sz w:val="18"/>
          <w:szCs w:val="18"/>
        </w:rPr>
        <w:t xml:space="preserve">) are all Sr-Ca-Ti solid solutions, consistent with the A-site hierarchy in Fig. 2a. </w:t>
      </w:r>
      <w:r>
        <w:rPr>
          <w:rFonts w:ascii="Arial" w:cs="Arial" w:eastAsia="Arial" w:hAnsi="Arial"/>
          <w:b/>
          <w:bCs/>
          <w:i w:val="false"/>
          <w:iCs w:val="false"/>
          <w:sz w:val="18"/>
          <w:szCs w:val="18"/>
        </w:rPr>
        <w:t xml:space="preserve">d</w:t>
      </w:r>
      <w:r>
        <w:rPr>
          <w:rFonts w:ascii="Arial" w:cs="Arial" w:eastAsia="Arial" w:hAnsi="Arial"/>
          <w:b w:val="false"/>
          <w:bCs w:val="false"/>
          <w:i w:val="false"/>
          <w:iCs w:val="false"/>
          <w:sz w:val="18"/>
          <w:szCs w:val="18"/>
        </w:rPr>
        <w:t xml:space="preserve">, Physics-constrained genetic-algorithm (GA) inverse design: best predicted ε</w:t>
      </w:r>
      <w:r>
        <w:rPr>
          <w:rFonts w:ascii="Arial" w:cs="Arial" w:eastAsia="Arial" w:hAnsi="Arial"/>
          <w:b w:val="false"/>
          <w:bCs w:val="false"/>
          <w:i w:val="false"/>
          <w:iCs w:val="false"/>
          <w:sz w:val="18"/>
          <w:szCs w:val="18"/>
          <w:vertAlign w:val="subscript"/>
        </w:rPr>
        <w:t xml:space="preserve">r</w:t>
      </w:r>
      <w:r>
        <w:rPr>
          <w:rFonts w:ascii="Arial" w:cs="Arial" w:eastAsia="Arial" w:hAnsi="Arial"/>
          <w:b w:val="false"/>
          <w:bCs w:val="false"/>
          <w:i w:val="false"/>
          <w:iCs w:val="false"/>
          <w:sz w:val="18"/>
          <w:szCs w:val="18"/>
        </w:rPr>
        <w:t xml:space="preserve"> per generation for three runs (Pb-allowed, </w:t>
      </w:r>
      <w:r>
        <w:rPr>
          <w:rFonts w:ascii="Arial" w:cs="Arial" w:eastAsia="Arial" w:hAnsi="Arial"/>
          <w:b w:val="false"/>
          <w:bCs w:val="false"/>
          <w:i/>
          <w:iCs/>
          <w:sz w:val="18"/>
          <w:szCs w:val="18"/>
        </w:rPr>
        <w:t xml:space="preserve">d</w:t>
      </w:r>
      <w:r>
        <w:rPr>
          <w:rFonts w:ascii="Arial" w:cs="Arial" w:eastAsia="Arial" w:hAnsi="Arial"/>
          <w:b w:val="false"/>
          <w:bCs w:val="false"/>
          <w:i w:val="false"/>
          <w:iCs w:val="false"/>
          <w:sz w:val="18"/>
          <w:szCs w:val="18"/>
          <w:vertAlign w:val="superscript"/>
        </w:rPr>
        <w:t xml:space="preserve">0</w:t>
      </w:r>
      <w:r>
        <w:rPr>
          <w:rFonts w:ascii="Arial" w:cs="Arial" w:eastAsia="Arial" w:hAnsi="Arial"/>
          <w:b w:val="false"/>
          <w:bCs w:val="false"/>
          <w:i w:val="false"/>
          <w:iCs w:val="false"/>
          <w:sz w:val="18"/>
          <w:szCs w:val="18"/>
        </w:rPr>
        <w:t xml:space="preserve">-strict, Pb-free; ≈ 5,000 PCNN evaluations each). All runs exceed the curated-screen optimum (140, grey dashed). The Pb-free optimum Ba</w:t>
      </w:r>
      <w:r>
        <w:rPr>
          <w:rFonts w:ascii="Arial" w:cs="Arial" w:eastAsia="Arial" w:hAnsi="Arial"/>
          <w:b w:val="false"/>
          <w:bCs w:val="false"/>
          <w:i w:val="false"/>
          <w:iCs w:val="false"/>
          <w:sz w:val="18"/>
          <w:szCs w:val="18"/>
          <w:vertAlign w:val="subscript"/>
        </w:rPr>
        <w:t xml:space="preserve">0.05</w:t>
      </w:r>
      <w:r>
        <w:rPr>
          <w:rFonts w:ascii="Arial" w:cs="Arial" w:eastAsia="Arial" w:hAnsi="Arial"/>
          <w:b w:val="false"/>
          <w:bCs w:val="false"/>
          <w:i w:val="false"/>
          <w:iCs w:val="false"/>
          <w:sz w:val="18"/>
          <w:szCs w:val="18"/>
        </w:rPr>
        <w:t xml:space="preserve">Sr</w:t>
      </w:r>
      <w:r>
        <w:rPr>
          <w:rFonts w:ascii="Arial" w:cs="Arial" w:eastAsia="Arial" w:hAnsi="Arial"/>
          <w:b w:val="false"/>
          <w:bCs w:val="false"/>
          <w:i w:val="false"/>
          <w:iCs w:val="false"/>
          <w:sz w:val="18"/>
          <w:szCs w:val="18"/>
          <w:vertAlign w:val="subscript"/>
        </w:rPr>
        <w:t xml:space="preserve">0.95</w:t>
      </w:r>
      <w:r>
        <w:rPr>
          <w:rFonts w:ascii="Arial" w:cs="Arial" w:eastAsia="Arial" w:hAnsi="Arial"/>
          <w:b w:val="false"/>
          <w:bCs w:val="false"/>
          <w:i w:val="false"/>
          <w:iCs w:val="false"/>
          <w:sz w:val="18"/>
          <w:szCs w:val="18"/>
        </w:rPr>
        <w:t xml:space="preserve">Ti</w:t>
      </w:r>
      <w:r>
        <w:rPr>
          <w:rFonts w:ascii="Arial" w:cs="Arial" w:eastAsia="Arial" w:hAnsi="Arial"/>
          <w:b w:val="false"/>
          <w:bCs w:val="false"/>
          <w:i w:val="false"/>
          <w:iCs w:val="false"/>
          <w:sz w:val="18"/>
          <w:szCs w:val="18"/>
          <w:vertAlign w:val="subscript"/>
        </w:rPr>
        <w:t xml:space="preserve">0.84</w:t>
      </w:r>
      <w:r>
        <w:rPr>
          <w:rFonts w:ascii="Arial" w:cs="Arial" w:eastAsia="Arial" w:hAnsi="Arial"/>
          <w:b w:val="false"/>
          <w:bCs w:val="false"/>
          <w:i w:val="false"/>
          <w:iCs w:val="false"/>
          <w:sz w:val="18"/>
          <w:szCs w:val="18"/>
        </w:rPr>
        <w:t xml:space="preserve">Zr</w:t>
      </w:r>
      <w:r>
        <w:rPr>
          <w:rFonts w:ascii="Arial" w:cs="Arial" w:eastAsia="Arial" w:hAnsi="Arial"/>
          <w:b w:val="false"/>
          <w:bCs w:val="false"/>
          <w:i w:val="false"/>
          <w:iCs w:val="false"/>
          <w:sz w:val="18"/>
          <w:szCs w:val="18"/>
          <w:vertAlign w:val="subscript"/>
        </w:rPr>
        <w:t xml:space="preserve">0.15</w:t>
      </w:r>
      <w:r>
        <w:rPr>
          <w:rFonts w:ascii="Arial" w:cs="Arial" w:eastAsia="Arial" w:hAnsi="Arial"/>
          <w:b w:val="false"/>
          <w:bCs w:val="false"/>
          <w:i w:val="false"/>
          <w:iCs w:val="false"/>
          <w:sz w:val="18"/>
          <w:szCs w:val="18"/>
        </w:rPr>
        <w:t xml:space="preserve">O</w:t>
      </w:r>
      <w:r>
        <w:rPr>
          <w:rFonts w:ascii="Arial" w:cs="Arial" w:eastAsia="Arial" w:hAnsi="Arial"/>
          <w:b w:val="false"/>
          <w:bCs w:val="false"/>
          <w:i w:val="false"/>
          <w:iCs w:val="false"/>
          <w:sz w:val="18"/>
          <w:szCs w:val="18"/>
          <w:vertAlign w:val="subscript"/>
        </w:rPr>
        <w:t xml:space="preserve">3</w:t>
      </w:r>
      <w:r>
        <w:rPr>
          <w:rFonts w:ascii="Arial" w:cs="Arial" w:eastAsia="Arial" w:hAnsi="Arial"/>
          <w:b w:val="false"/>
          <w:bCs w:val="false"/>
          <w:i w:val="false"/>
          <w:iCs w:val="false"/>
          <w:sz w:val="18"/>
          <w:szCs w:val="18"/>
        </w:rPr>
        <w:t xml:space="preserve"> reaches predicted ε</w:t>
      </w:r>
      <w:r>
        <w:rPr>
          <w:rFonts w:ascii="Arial" w:cs="Arial" w:eastAsia="Arial" w:hAnsi="Arial"/>
          <w:b w:val="false"/>
          <w:bCs w:val="false"/>
          <w:i w:val="false"/>
          <w:iCs w:val="false"/>
          <w:sz w:val="18"/>
          <w:szCs w:val="18"/>
          <w:vertAlign w:val="subscript"/>
        </w:rPr>
        <w:t xml:space="preserve">r</w:t>
      </w:r>
      <w:r>
        <w:rPr>
          <w:rFonts w:ascii="Arial" w:cs="Arial" w:eastAsia="Arial" w:hAnsi="Arial"/>
          <w:b w:val="false"/>
          <w:bCs w:val="false"/>
          <w:i w:val="false"/>
          <w:iCs w:val="false"/>
          <w:sz w:val="18"/>
          <w:szCs w:val="18"/>
        </w:rPr>
        <w:t xml:space="preserve"> ≈ 147 (90% LCB 132) and is δ</w:t>
      </w:r>
      <w:r>
        <w:rPr>
          <w:rFonts w:ascii="Arial" w:cs="Arial" w:eastAsia="Arial" w:hAnsi="Arial"/>
          <w:b w:val="false"/>
          <w:bCs w:val="false"/>
          <w:i w:val="false"/>
          <w:iCs w:val="false"/>
          <w:sz w:val="18"/>
          <w:szCs w:val="18"/>
          <w:vertAlign w:val="subscript"/>
        </w:rPr>
        <w:t xml:space="preserve">LST</w:t>
      </w:r>
      <w:r>
        <w:rPr>
          <w:rFonts w:ascii="Arial" w:cs="Arial" w:eastAsia="Arial" w:hAnsi="Arial"/>
          <w:b w:val="false"/>
          <w:bCs w:val="false"/>
          <w:i w:val="false"/>
          <w:iCs w:val="false"/>
          <w:sz w:val="18"/>
          <w:szCs w:val="18"/>
        </w:rPr>
        <w:t xml:space="preserve">-dominated (</w:t>
      </w:r>
      <w:r>
        <w:rPr>
          <w:rFonts w:ascii="Arial" w:cs="Arial" w:eastAsia="Arial" w:hAnsi="Arial"/>
          <w:b w:val="false"/>
          <w:bCs w:val="false"/>
          <w:i/>
          <w:iCs/>
          <w:sz w:val="18"/>
          <w:szCs w:val="18"/>
        </w:rPr>
        <w:t xml:space="preserve">f</w:t>
      </w:r>
      <w:r>
        <w:rPr>
          <w:rFonts w:ascii="Arial" w:cs="Arial" w:eastAsia="Arial" w:hAnsi="Arial"/>
          <w:b w:val="false"/>
          <w:bCs w:val="false"/>
          <w:i w:val="false"/>
          <w:iCs w:val="false"/>
          <w:sz w:val="18"/>
          <w:szCs w:val="18"/>
          <w:vertAlign w:val="subscript"/>
        </w:rPr>
        <w:t xml:space="preserve">LST</w:t>
      </w:r>
      <w:r>
        <w:rPr>
          <w:rFonts w:ascii="Arial" w:cs="Arial" w:eastAsia="Arial" w:hAnsi="Arial"/>
          <w:b w:val="false"/>
          <w:bCs w:val="false"/>
          <w:i w:val="false"/>
          <w:iCs w:val="false"/>
          <w:sz w:val="18"/>
          <w:szCs w:val="18"/>
        </w:rPr>
        <w:t xml:space="preserve"> = 2.85), but its nearest-neighbour distance to the training set exceeds the 95th percentile, flagging it as a confidence-bounded compositional extrapolation (synthesis target) rather than a validated material. Source data are provided as a Source Data file.
---
## Supplementary Figure Legends</w:t>
      </w:r>
    </w:p>
    <w:p>
      <w:pPr>
        <w:sectPr>
          <w:footerReference w:type="default" r:id="rId19"/>
          <w:type w:val="continuous"/>
          <w:pgSz w:w="12240" w:h="15840" w:orient="portrait"/>
          <w:pgMar w:top="1296" w:right="1296" w:bottom="1296" w:left="1296" w:header="708" w:footer="708" w:gutter="0"/>
          <w:pgNumType/>
          <w:docGrid w:linePitch="360"/>
        </w:sectPr>
      </w:pPr>
    </w:p>
    <w:p>
      <w:pPr>
        <w:spacing w:after="240" w:before="0"/>
      </w:pPr>
      <w:r>
        <w:rPr>
          <w:rFonts w:ascii="Arial" w:cs="Arial" w:eastAsia="Arial" w:hAnsi="Arial"/>
          <w:sz w:val="22"/>
          <w:szCs w:val="22"/>
        </w:rPr>
        <w:t xml:space="preserve"/>
      </w:r>
    </w:p>
    <w:p>
      <w:pPr>
        <w:pStyle w:val="Heading1"/>
        <w:spacing w:after="240" w:before="360" w:line="480" w:lineRule="auto"/>
      </w:pPr>
      <w:r>
        <w:rPr>
          <w:rFonts w:ascii="Arial" w:cs="Arial" w:eastAsia="Arial" w:hAnsi="Arial"/>
          <w:b/>
          <w:bCs/>
          <w:color w:val="000000"/>
          <w:sz w:val="28"/>
          <w:szCs w:val="28"/>
        </w:rPr>
        <w:t xml:space="preserve">Discussion</w:t>
      </w:r>
    </w:p>
    <w:p>
      <w:pPr>
        <w:spacing w:after="120" w:line="252" w:lineRule="auto"/>
        <w:jc w:val="left"/>
      </w:pPr>
      <w:r>
        <w:rPr>
          <w:rFonts w:ascii="Arial" w:cs="Arial" w:eastAsia="Arial" w:hAnsi="Arial"/>
          <w:b w:val="false"/>
          <w:bCs w:val="false"/>
          <w:i w:val="false"/>
          <w:iCs w:val="false"/>
          <w:sz w:val="22"/>
          <w:szCs w:val="22"/>
        </w:rPr>
        <w:t xml:space="preserve">Across 1,304 ABO</w:t>
      </w:r>
      <w:r>
        <w:rPr>
          <w:rFonts w:ascii="Arial" w:cs="Arial" w:eastAsia="Arial" w:hAnsi="Arial"/>
          <w:b w:val="false"/>
          <w:bCs w:val="false"/>
          <w:i w:val="false"/>
          <w:iCs w:val="false"/>
          <w:sz w:val="22"/>
          <w:szCs w:val="22"/>
          <w:vertAlign w:val="subscript"/>
        </w:rPr>
        <w:t xml:space="preserve">3</w:t>
      </w:r>
      <w:r>
        <w:rPr>
          <w:rFonts w:ascii="Arial" w:cs="Arial" w:eastAsia="Arial" w:hAnsi="Arial"/>
          <w:b w:val="false"/>
          <w:bCs w:val="false"/>
          <w:i w:val="false"/>
          <w:iCs w:val="false"/>
          <w:sz w:val="22"/>
          <w:szCs w:val="22"/>
        </w:rPr>
        <w:t xml:space="preserve">-type perovskite microwave dielectrics, our physics-constrained decomposition shows that dielectric diversity in this materials class is organised almost entirely through the lattice/soft-mode channel rather than the electronic one, with A-site chemistry as its primary control variable. The Clausius–Mossotti electronic baseline behaves as a near-uniform floor, 46.2% of </w:t>
      </w:r>
      <w:r>
        <w:rPr>
          <w:rFonts w:ascii="Arial" w:cs="Arial" w:eastAsia="Arial" w:hAnsi="Arial"/>
          <w:b w:val="false"/>
          <w:bCs w:val="false"/>
          <w:i/>
          <w:iCs/>
          <w:sz w:val="22"/>
          <w:szCs w:val="22"/>
        </w:rPr>
        <w:t xml:space="preserve">ε</w:t>
      </w:r>
      <w:r>
        <w:rPr>
          <w:rFonts w:ascii="Arial" w:cs="Arial" w:eastAsia="Arial" w:hAnsi="Arial"/>
          <w:b w:val="false"/>
          <w:bCs w:val="false"/>
          <w:i w:val="false"/>
          <w:iCs w:val="false"/>
          <w:sz w:val="22"/>
          <w:szCs w:val="22"/>
          <w:vertAlign w:val="subscript"/>
        </w:rPr>
        <w:t xml:space="preserve">r</w:t>
      </w:r>
      <w:r>
        <w:rPr>
          <w:rFonts w:ascii="Arial" w:cs="Arial" w:eastAsia="Arial" w:hAnsi="Arial"/>
          <w:b w:val="false"/>
          <w:bCs w:val="false"/>
          <w:i w:val="false"/>
          <w:iCs w:val="false"/>
          <w:sz w:val="22"/>
          <w:szCs w:val="22"/>
        </w:rPr>
        <w:t xml:space="preserve"> on average but only ~11% of its composition-to-composition variance, while the soft-mode branch carries ~87% of the variance and sets a clean A-site amplification hierarchy. The decomposition recasts qualitative soft-mode and lone-pair arguments [9,10,13] as a single quantitative organisation of composition space, obtained without auxiliary post-hoc attribution machinery. Three results support this picture.</w:t>
      </w:r>
    </w:p>
    <w:p>
      <w:pPr>
        <w:spacing w:after="120" w:line="252" w:lineRule="auto"/>
        <w:jc w:val="left"/>
      </w:pPr>
      <w:r>
        <w:rPr>
          <w:rFonts w:ascii="Arial" w:cs="Arial" w:eastAsia="Arial" w:hAnsi="Arial"/>
          <w:b w:val="false"/>
          <w:bCs w:val="false"/>
          <w:i w:val="false"/>
          <w:iCs w:val="false"/>
          <w:sz w:val="22"/>
          <w:szCs w:val="22"/>
        </w:rPr>
        <w:t xml:space="preserve">(i) Architectural sign constraints (</w:t>
      </w:r>
      <w:r>
        <w:rPr>
          <w:rFonts w:ascii="Arial" w:cs="Arial" w:eastAsia="Arial" w:hAnsi="Arial"/>
          <w:b w:val="false"/>
          <w:bCs w:val="false"/>
          <w:i/>
          <w:iCs/>
          <w:sz w:val="22"/>
          <w:szCs w:val="22"/>
        </w:rPr>
        <w:t xml:space="preserve">δ</w:t>
      </w:r>
      <w:r>
        <w:rPr>
          <w:rFonts w:ascii="Arial" w:cs="Arial" w:eastAsia="Arial" w:hAnsi="Arial"/>
          <w:b w:val="false"/>
          <w:bCs w:val="false"/>
          <w:i w:val="false"/>
          <w:iCs w:val="false"/>
          <w:sz w:val="22"/>
          <w:szCs w:val="22"/>
          <w:vertAlign w:val="subscript"/>
        </w:rPr>
        <w:t xml:space="preserve">LST</w:t>
      </w:r>
      <w:r>
        <w:rPr>
          <w:rFonts w:ascii="Arial" w:cs="Arial" w:eastAsia="Arial" w:hAnsi="Arial"/>
          <w:b w:val="false"/>
          <w:bCs w:val="false"/>
          <w:i w:val="false"/>
          <w:iCs w:val="false"/>
          <w:sz w:val="22"/>
          <w:szCs w:val="22"/>
        </w:rPr>
        <w:t xml:space="preserve"> ≥ 0, </w:t>
      </w:r>
      <w:r>
        <w:rPr>
          <w:rFonts w:ascii="Arial" w:cs="Arial" w:eastAsia="Arial" w:hAnsi="Arial"/>
          <w:b w:val="false"/>
          <w:bCs w:val="false"/>
          <w:i/>
          <w:iCs/>
          <w:sz w:val="22"/>
          <w:szCs w:val="22"/>
        </w:rPr>
        <w:t xml:space="preserve">δ</w:t>
      </w:r>
      <w:r>
        <w:rPr>
          <w:rFonts w:ascii="Arial" w:cs="Arial" w:eastAsia="Arial" w:hAnsi="Arial"/>
          <w:b w:val="false"/>
          <w:bCs w:val="false"/>
          <w:i w:val="false"/>
          <w:iCs w:val="false"/>
          <w:sz w:val="22"/>
          <w:szCs w:val="22"/>
          <w:vertAlign w:val="subscript"/>
        </w:rPr>
        <w:t xml:space="preserve">tilt</w:t>
      </w:r>
      <w:r>
        <w:rPr>
          <w:rFonts w:ascii="Arial" w:cs="Arial" w:eastAsia="Arial" w:hAnsi="Arial"/>
          <w:b w:val="false"/>
          <w:bCs w:val="false"/>
          <w:i w:val="false"/>
          <w:iCs w:val="false"/>
          <w:sz w:val="22"/>
          <w:szCs w:val="22"/>
        </w:rPr>
        <w:t xml:space="preserve"> ≤ 0, confidence-gated </w:t>
      </w:r>
      <w:r>
        <w:rPr>
          <w:rFonts w:ascii="Arial" w:cs="Arial" w:eastAsia="Arial" w:hAnsi="Arial"/>
          <w:b w:val="false"/>
          <w:bCs w:val="false"/>
          <w:i/>
          <w:iCs/>
          <w:sz w:val="22"/>
          <w:szCs w:val="22"/>
        </w:rPr>
        <w:t xml:space="preserve">δ</w:t>
      </w:r>
      <w:r>
        <w:rPr>
          <w:rFonts w:ascii="Arial" w:cs="Arial" w:eastAsia="Arial" w:hAnsi="Arial"/>
          <w:b w:val="false"/>
          <w:bCs w:val="false"/>
          <w:i w:val="false"/>
          <w:iCs w:val="false"/>
          <w:sz w:val="22"/>
          <w:szCs w:val="22"/>
          <w:vertAlign w:val="subscript"/>
        </w:rPr>
        <w:t xml:space="preserve">res</w:t>
      </w:r>
      <w:r>
        <w:rPr>
          <w:rFonts w:ascii="Arial" w:cs="Arial" w:eastAsia="Arial" w:hAnsi="Arial"/>
          <w:b w:val="false"/>
          <w:bCs w:val="false"/>
          <w:i w:val="false"/>
          <w:iCs w:val="false"/>
          <w:sz w:val="22"/>
          <w:szCs w:val="22"/>
        </w:rPr>
        <w:t xml:space="preserve">) function as a structural inductive bias: they deliver calibrated conformal coverage and reduce OOD variance two- to four-fold relative to unconstrained baselines (Results, Table 1), without requiring explicit regularisers. The conformal layer turns the remaining residual variance into a distribution-free prediction interval.</w:t>
      </w:r>
    </w:p>
    <w:p>
      <w:pPr>
        <w:spacing w:after="120" w:line="252" w:lineRule="auto"/>
        <w:jc w:val="left"/>
      </w:pPr>
      <w:r>
        <w:rPr>
          <w:rFonts w:ascii="Arial" w:cs="Arial" w:eastAsia="Arial" w:hAnsi="Arial"/>
          <w:b w:val="false"/>
          <w:bCs w:val="false"/>
          <w:i w:val="false"/>
          <w:iCs w:val="false"/>
          <w:sz w:val="22"/>
          <w:szCs w:val="22"/>
        </w:rPr>
        <w:t xml:space="preserve">(ii) The explicit branch decomposition recasts qualitative soft-mode and lone-pair arguments [9,13] as quantitative per-composition attribution: the soft-mode contribution emerges as the largest single attributed contributor to permittivity in microwave-dielectric ABO</w:t>
      </w:r>
      <w:r>
        <w:rPr>
          <w:rFonts w:ascii="Arial" w:cs="Arial" w:eastAsia="Arial" w:hAnsi="Arial"/>
          <w:b w:val="false"/>
          <w:bCs w:val="false"/>
          <w:i w:val="false"/>
          <w:iCs w:val="false"/>
          <w:sz w:val="22"/>
          <w:szCs w:val="22"/>
          <w:vertAlign w:val="subscript"/>
        </w:rPr>
        <w:t xml:space="preserve">3</w:t>
      </w:r>
      <w:r>
        <w:rPr>
          <w:rFonts w:ascii="Arial" w:cs="Arial" w:eastAsia="Arial" w:hAnsi="Arial"/>
          <w:b w:val="false"/>
          <w:bCs w:val="false"/>
          <w:i w:val="false"/>
          <w:iCs w:val="false"/>
          <w:sz w:val="22"/>
          <w:szCs w:val="22"/>
        </w:rPr>
        <w:t xml:space="preserve"> ceramics, with the electronic CM baseline a near-uniform secondary contribution and tilt + residual essentially inactive (Results §1). We emphasise that </w:t>
      </w:r>
      <w:r>
        <w:rPr>
          <w:rFonts w:ascii="Arial" w:cs="Arial" w:eastAsia="Arial" w:hAnsi="Arial"/>
          <w:b w:val="false"/>
          <w:bCs w:val="false"/>
          <w:i/>
          <w:iCs/>
          <w:sz w:val="22"/>
          <w:szCs w:val="22"/>
        </w:rPr>
        <w:t xml:space="preserve">δ</w:t>
      </w:r>
      <w:r>
        <w:rPr>
          <w:rFonts w:ascii="Arial" w:cs="Arial" w:eastAsia="Arial" w:hAnsi="Arial"/>
          <w:b w:val="false"/>
          <w:bCs w:val="false"/>
          <w:i w:val="false"/>
          <w:iCs w:val="false"/>
          <w:sz w:val="22"/>
          <w:szCs w:val="22"/>
          <w:vertAlign w:val="subscript"/>
        </w:rPr>
        <w:t xml:space="preserve">LST</w:t>
      </w:r>
      <w:r>
        <w:rPr>
          <w:rFonts w:ascii="Arial" w:cs="Arial" w:eastAsia="Arial" w:hAnsi="Arial"/>
          <w:b w:val="false"/>
          <w:bCs w:val="false"/>
          <w:i w:val="false"/>
          <w:iCs w:val="false"/>
          <w:sz w:val="22"/>
          <w:szCs w:val="22"/>
        </w:rPr>
        <w:t xml:space="preserve"> is the model's allocation of </w:t>
      </w:r>
      <w:r>
        <w:rPr>
          <w:rFonts w:ascii="Arial" w:cs="Arial" w:eastAsia="Arial" w:hAnsi="Arial"/>
          <w:b w:val="false"/>
          <w:bCs w:val="false"/>
          <w:i/>
          <w:iCs/>
          <w:sz w:val="22"/>
          <w:szCs w:val="22"/>
        </w:rPr>
        <w:t xml:space="preserve">ε</w:t>
      </w:r>
      <w:r>
        <w:rPr>
          <w:rFonts w:ascii="Arial" w:cs="Arial" w:eastAsia="Arial" w:hAnsi="Arial"/>
          <w:b w:val="false"/>
          <w:bCs w:val="false"/>
          <w:i w:val="false"/>
          <w:iCs w:val="false"/>
          <w:sz w:val="22"/>
          <w:szCs w:val="22"/>
          <w:vertAlign w:val="subscript"/>
        </w:rPr>
        <w:t xml:space="preserve">r</w:t>
      </w:r>
      <w:r>
        <w:rPr>
          <w:rFonts w:ascii="Arial" w:cs="Arial" w:eastAsia="Arial" w:hAnsi="Arial"/>
          <w:b w:val="false"/>
          <w:bCs w:val="false"/>
          <w:i w:val="false"/>
          <w:iCs w:val="false"/>
          <w:sz w:val="22"/>
          <w:szCs w:val="22"/>
        </w:rPr>
        <w:t xml:space="preserve"> rather than a spectroscopically measured soft-mode amplitude: the model lacks phonon-frequency input, and independent confirmation would require external </w:t>
      </w:r>
      <w:r>
        <w:rPr>
          <w:rFonts w:ascii="Arial" w:cs="Arial" w:eastAsia="Arial" w:hAnsi="Arial"/>
          <w:b w:val="false"/>
          <w:bCs w:val="false"/>
          <w:i/>
          <w:iCs/>
          <w:sz w:val="22"/>
          <w:szCs w:val="22"/>
        </w:rPr>
        <w:t xml:space="preserve">ω</w:t>
      </w:r>
      <w:r>
        <w:rPr>
          <w:rFonts w:ascii="Arial" w:cs="Arial" w:eastAsia="Arial" w:hAnsi="Arial"/>
          <w:b w:val="false"/>
          <w:bCs w:val="false"/>
          <w:i w:val="false"/>
          <w:iCs w:val="false"/>
          <w:sz w:val="22"/>
          <w:szCs w:val="22"/>
          <w:vertAlign w:val="subscript"/>
        </w:rPr>
        <w:t xml:space="preserve">TO</w:t>
      </w:r>
      <w:r>
        <w:rPr>
          <w:rFonts w:ascii="Arial" w:cs="Arial" w:eastAsia="Arial" w:hAnsi="Arial"/>
          <w:b w:val="false"/>
          <w:bCs w:val="false"/>
          <w:i w:val="false"/>
          <w:iCs w:val="false"/>
          <w:sz w:val="22"/>
          <w:szCs w:val="22"/>
        </w:rPr>
        <w:t xml:space="preserve"> data. The non-negativity bound on </w:t>
      </w:r>
      <w:r>
        <w:rPr>
          <w:rFonts w:ascii="Arial" w:cs="Arial" w:eastAsia="Arial" w:hAnsi="Arial"/>
          <w:b w:val="false"/>
          <w:bCs w:val="false"/>
          <w:i/>
          <w:iCs/>
          <w:sz w:val="22"/>
          <w:szCs w:val="22"/>
        </w:rPr>
        <w:t xml:space="preserve">δ</w:t>
      </w:r>
      <w:r>
        <w:rPr>
          <w:rFonts w:ascii="Arial" w:cs="Arial" w:eastAsia="Arial" w:hAnsi="Arial"/>
          <w:b w:val="false"/>
          <w:bCs w:val="false"/>
          <w:i w:val="false"/>
          <w:iCs w:val="false"/>
          <w:sz w:val="22"/>
          <w:szCs w:val="22"/>
          <w:vertAlign w:val="subscript"/>
        </w:rPr>
        <w:t xml:space="preserve">LST</w:t>
      </w:r>
      <w:r>
        <w:rPr>
          <w:rFonts w:ascii="Arial" w:cs="Arial" w:eastAsia="Arial" w:hAnsi="Arial"/>
          <w:b w:val="false"/>
          <w:bCs w:val="false"/>
          <w:i w:val="false"/>
          <w:iCs w:val="false"/>
          <w:sz w:val="22"/>
          <w:szCs w:val="22"/>
        </w:rPr>
        <w:t xml:space="preserve"> is slack throughout (</w:t>
      </w:r>
      <w:r>
        <w:rPr>
          <w:rFonts w:ascii="Arial" w:cs="Arial" w:eastAsia="Arial" w:hAnsi="Arial"/>
          <w:b w:val="false"/>
          <w:bCs w:val="false"/>
          <w:i/>
          <w:iCs/>
          <w:sz w:val="22"/>
          <w:szCs w:val="22"/>
        </w:rPr>
        <w:t xml:space="preserve">δ</w:t>
      </w:r>
      <w:r>
        <w:rPr>
          <w:rFonts w:ascii="Arial" w:cs="Arial" w:eastAsia="Arial" w:hAnsi="Arial"/>
          <w:b w:val="false"/>
          <w:bCs w:val="false"/>
          <w:i w:val="false"/>
          <w:iCs w:val="false"/>
          <w:sz w:val="22"/>
          <w:szCs w:val="22"/>
          <w:vertAlign w:val="subscript"/>
        </w:rPr>
        <w:t xml:space="preserve">LST</w:t>
      </w:r>
      <w:r>
        <w:rPr>
          <w:rFonts w:ascii="Arial" w:cs="Arial" w:eastAsia="Arial" w:hAnsi="Arial"/>
          <w:b w:val="false"/>
          <w:bCs w:val="false"/>
          <w:i w:val="false"/>
          <w:iCs w:val="false"/>
          <w:sz w:val="22"/>
          <w:szCs w:val="22"/>
        </w:rPr>
        <w:t xml:space="preserve"> &gt; 0.7), so the soft-mode share reflects a genuine model-attributed signal rather than an artefact of a flexible signed branch out-competing a fixed analytic baseline.</w:t>
      </w:r>
    </w:p>
    <w:p>
      <w:pPr>
        <w:spacing w:after="120" w:line="252" w:lineRule="auto"/>
        <w:jc w:val="left"/>
      </w:pPr>
      <w:r>
        <w:rPr>
          <w:rFonts w:ascii="Arial" w:cs="Arial" w:eastAsia="Arial" w:hAnsi="Arial"/>
          <w:b w:val="false"/>
          <w:bCs w:val="false"/>
          <w:i w:val="false"/>
          <w:iCs w:val="false"/>
          <w:sz w:val="22"/>
          <w:szCs w:val="22"/>
        </w:rPr>
        <w:t xml:space="preserve">(iii) The A-site hierarchy Pb &gt; Ca &gt; La &gt; Sr &gt; Ba (Results §2; </w:t>
      </w:r>
      <w:r>
        <w:rPr>
          <w:rFonts w:ascii="Arial" w:cs="Arial" w:eastAsia="Arial" w:hAnsi="Arial"/>
          <w:b w:val="false"/>
          <w:bCs w:val="false"/>
          <w:i/>
          <w:iCs/>
          <w:sz w:val="22"/>
          <w:szCs w:val="22"/>
        </w:rPr>
        <w:t xml:space="preserve">p</w:t>
      </w:r>
      <w:r>
        <w:rPr>
          <w:rFonts w:ascii="Arial" w:cs="Arial" w:eastAsia="Arial" w:hAnsi="Arial"/>
          <w:b w:val="false"/>
          <w:bCs w:val="false"/>
          <w:i w:val="false"/>
          <w:iCs w:val="false"/>
          <w:sz w:val="22"/>
          <w:szCs w:val="22"/>
        </w:rPr>
        <w:t xml:space="preserve"> &lt; 10</w:t>
      </w:r>
      <w:r>
        <w:rPr>
          <w:rFonts w:ascii="Arial" w:cs="Arial" w:eastAsia="Arial" w:hAnsi="Arial"/>
          <w:b w:val="false"/>
          <w:bCs w:val="false"/>
          <w:i w:val="false"/>
          <w:iCs w:val="false"/>
          <w:sz w:val="22"/>
          <w:szCs w:val="22"/>
          <w:vertAlign w:val="superscript"/>
        </w:rPr>
        <w:t xml:space="preserve">−3</w:t>
      </w:r>
      <w:r>
        <w:rPr>
          <w:rFonts w:ascii="Arial" w:cs="Arial" w:eastAsia="Arial" w:hAnsi="Arial"/>
          <w:b w:val="false"/>
          <w:bCs w:val="false"/>
          <w:i w:val="false"/>
          <w:iCs w:val="false"/>
          <w:sz w:val="22"/>
          <w:szCs w:val="22"/>
        </w:rPr>
        <w:t xml:space="preserve"> under label permutation) emerges from the LST branch without being imposed — the sign constraint is identical across compositions, so the ranking is data-driven rather than architectural. The monotonic Ba→Sr→La→Ca segment tracks Shannon 12-coordinate ionic-radius contraction; Pb breaks upward, probably reflecting 6</w:t>
      </w:r>
      <w:r>
        <w:rPr>
          <w:rFonts w:ascii="Arial" w:cs="Arial" w:eastAsia="Arial" w:hAnsi="Arial"/>
          <w:b w:val="false"/>
          <w:bCs w:val="false"/>
          <w:i/>
          <w:iCs/>
          <w:sz w:val="22"/>
          <w:szCs w:val="22"/>
        </w:rPr>
        <w:t xml:space="preserve">s</w:t>
      </w:r>
      <w:r>
        <w:rPr>
          <w:rFonts w:ascii="Arial" w:cs="Arial" w:eastAsia="Arial" w:hAnsi="Arial"/>
          <w:b w:val="false"/>
          <w:bCs w:val="false"/>
          <w:i w:val="false"/>
          <w:iCs w:val="false"/>
          <w:sz w:val="22"/>
          <w:szCs w:val="22"/>
          <w:vertAlign w:val="superscript"/>
        </w:rPr>
        <w:t xml:space="preserve">2</w:t>
      </w:r>
      <w:r>
        <w:rPr>
          <w:rFonts w:ascii="Arial" w:cs="Arial" w:eastAsia="Arial" w:hAnsi="Arial"/>
          <w:b w:val="false"/>
          <w:bCs w:val="false"/>
          <w:i w:val="false"/>
          <w:iCs w:val="false"/>
          <w:sz w:val="22"/>
          <w:szCs w:val="22"/>
        </w:rPr>
        <w:t xml:space="preserve"> lone-pair stereoactivity [13,14,31].</w:t>
      </w:r>
    </w:p>
    <w:p>
      <w:pPr>
        <w:spacing w:after="120" w:line="252" w:lineRule="auto"/>
        <w:jc w:val="left"/>
      </w:pPr>
      <w:r>
        <w:rPr>
          <w:rFonts w:ascii="Arial" w:cs="Arial" w:eastAsia="Arial" w:hAnsi="Arial"/>
          <w:b w:val="false"/>
          <w:bCs w:val="false"/>
          <w:i w:val="false"/>
          <w:iCs w:val="false"/>
          <w:sz w:val="22"/>
          <w:szCs w:val="22"/>
        </w:rPr>
        <w:t xml:space="preserve">Two design inferences follow. First, for high-</w:t>
      </w:r>
      <w:r>
        <w:rPr>
          <w:rFonts w:ascii="Arial" w:cs="Arial" w:eastAsia="Arial" w:hAnsi="Arial"/>
          <w:b w:val="false"/>
          <w:bCs w:val="false"/>
          <w:i/>
          <w:iCs/>
          <w:sz w:val="22"/>
          <w:szCs w:val="22"/>
        </w:rPr>
        <w:t xml:space="preserve">ε</w:t>
      </w:r>
      <w:r>
        <w:rPr>
          <w:rFonts w:ascii="Arial" w:cs="Arial" w:eastAsia="Arial" w:hAnsi="Arial"/>
          <w:b w:val="false"/>
          <w:bCs w:val="false"/>
          <w:i w:val="false"/>
          <w:iCs w:val="false"/>
          <w:sz w:val="22"/>
          <w:szCs w:val="22"/>
          <w:vertAlign w:val="subscript"/>
        </w:rPr>
        <w:t xml:space="preserve">r</w:t>
      </w:r>
      <w:r>
        <w:rPr>
          <w:rFonts w:ascii="Arial" w:cs="Arial" w:eastAsia="Arial" w:hAnsi="Arial"/>
          <w:b w:val="false"/>
          <w:bCs w:val="false"/>
          <w:i w:val="false"/>
          <w:iCs w:val="false"/>
          <w:sz w:val="22"/>
          <w:szCs w:val="22"/>
        </w:rPr>
        <w:t xml:space="preserve"> Pb-free microwave dielectrics, the optimal compositional zone is the Ca-rich, Sr-rich, Ti-rich Reaney Regime III, with the Sr-Ca-Ti family ranking highest because it combines the second-largest </w:t>
      </w:r>
      <w:r>
        <w:rPr>
          <w:rFonts w:ascii="Arial" w:cs="Arial" w:eastAsia="Arial" w:hAnsi="Arial"/>
          <w:b w:val="false"/>
          <w:bCs w:val="false"/>
          <w:i/>
          <w:iCs/>
          <w:sz w:val="22"/>
          <w:szCs w:val="22"/>
        </w:rPr>
        <w:t xml:space="preserve">f</w:t>
      </w:r>
      <w:r>
        <w:rPr>
          <w:rFonts w:ascii="Arial" w:cs="Arial" w:eastAsia="Arial" w:hAnsi="Arial"/>
          <w:b w:val="false"/>
          <w:bCs w:val="false"/>
          <w:i w:val="false"/>
          <w:iCs w:val="false"/>
          <w:sz w:val="22"/>
          <w:szCs w:val="22"/>
          <w:vertAlign w:val="subscript"/>
        </w:rPr>
        <w:t xml:space="preserve">LST</w:t>
      </w:r>
      <w:r>
        <w:rPr>
          <w:rFonts w:ascii="Arial" w:cs="Arial" w:eastAsia="Arial" w:hAnsi="Arial"/>
          <w:b w:val="false"/>
          <w:bCs w:val="false"/>
          <w:i w:val="false"/>
          <w:iCs w:val="false"/>
          <w:sz w:val="22"/>
          <w:szCs w:val="22"/>
        </w:rPr>
        <w:t xml:space="preserve"> with d</w:t>
      </w:r>
      <w:r>
        <w:rPr>
          <w:rFonts w:ascii="Arial" w:cs="Arial" w:eastAsia="Arial" w:hAnsi="Arial"/>
          <w:b w:val="false"/>
          <w:bCs w:val="false"/>
          <w:i w:val="false"/>
          <w:iCs w:val="false"/>
          <w:sz w:val="22"/>
          <w:szCs w:val="22"/>
          <w:vertAlign w:val="superscript"/>
        </w:rPr>
        <w:t xml:space="preserve">0</w:t>
      </w:r>
      <w:r>
        <w:rPr>
          <w:rFonts w:ascii="Arial" w:cs="Arial" w:eastAsia="Arial" w:hAnsi="Arial"/>
          <w:b w:val="false"/>
          <w:bCs w:val="false"/>
          <w:i w:val="false"/>
          <w:iCs w:val="false"/>
          <w:sz w:val="22"/>
          <w:szCs w:val="22"/>
        </w:rPr>
        <w:t xml:space="preserve"> Ti and tolerance factor below 0.985. Of 72 Pb-free candidates we screen, 70 satisfy predicted </w:t>
      </w:r>
      <w:r>
        <w:rPr>
          <w:rFonts w:ascii="Arial" w:cs="Arial" w:eastAsia="Arial" w:hAnsi="Arial"/>
          <w:b w:val="false"/>
          <w:bCs w:val="false"/>
          <w:i/>
          <w:iCs/>
          <w:sz w:val="22"/>
          <w:szCs w:val="22"/>
        </w:rPr>
        <w:t xml:space="preserve">ε</w:t>
      </w:r>
      <w:r>
        <w:rPr>
          <w:rFonts w:ascii="Arial" w:cs="Arial" w:eastAsia="Arial" w:hAnsi="Arial"/>
          <w:b w:val="false"/>
          <w:bCs w:val="false"/>
          <w:i w:val="false"/>
          <w:iCs w:val="false"/>
          <w:sz w:val="22"/>
          <w:szCs w:val="22"/>
          <w:vertAlign w:val="subscript"/>
        </w:rPr>
        <w:t xml:space="preserve">r</w:t>
      </w:r>
      <w:r>
        <w:rPr>
          <w:rFonts w:ascii="Arial" w:cs="Arial" w:eastAsia="Arial" w:hAnsi="Arial"/>
          <w:b w:val="false"/>
          <w:bCs w:val="false"/>
          <w:i w:val="false"/>
          <w:iCs w:val="false"/>
          <w:sz w:val="22"/>
          <w:szCs w:val="22"/>
        </w:rPr>
        <w:t xml:space="preserve"> ≥ 80 with a 90% conformal lower bound ≥ 65, including Sr</w:t>
      </w:r>
      <w:r>
        <w:rPr>
          <w:rFonts w:ascii="Arial" w:cs="Arial" w:eastAsia="Arial" w:hAnsi="Arial"/>
          <w:b w:val="false"/>
          <w:bCs w:val="false"/>
          <w:i w:val="false"/>
          <w:iCs w:val="false"/>
          <w:sz w:val="22"/>
          <w:szCs w:val="22"/>
          <w:vertAlign w:val="subscript"/>
        </w:rPr>
        <w:t xml:space="preserve">0.9</w:t>
      </w:r>
      <w:r>
        <w:rPr>
          <w:rFonts w:ascii="Arial" w:cs="Arial" w:eastAsia="Arial" w:hAnsi="Arial"/>
          <w:b w:val="false"/>
          <w:bCs w:val="false"/>
          <w:i w:val="false"/>
          <w:iCs w:val="false"/>
          <w:sz w:val="22"/>
          <w:szCs w:val="22"/>
        </w:rPr>
        <w:t xml:space="preserve">Ca</w:t>
      </w:r>
      <w:r>
        <w:rPr>
          <w:rFonts w:ascii="Arial" w:cs="Arial" w:eastAsia="Arial" w:hAnsi="Arial"/>
          <w:b w:val="false"/>
          <w:bCs w:val="false"/>
          <w:i w:val="false"/>
          <w:iCs w:val="false"/>
          <w:sz w:val="22"/>
          <w:szCs w:val="22"/>
          <w:vertAlign w:val="subscript"/>
        </w:rPr>
        <w:t xml:space="preserve">0.1</w:t>
      </w:r>
      <w:r>
        <w:rPr>
          <w:rFonts w:ascii="Arial" w:cs="Arial" w:eastAsia="Arial" w:hAnsi="Arial"/>
          <w:b w:val="false"/>
          <w:bCs w:val="false"/>
          <w:i w:val="false"/>
          <w:iCs w:val="false"/>
          <w:sz w:val="22"/>
          <w:szCs w:val="22"/>
        </w:rPr>
        <w:t xml:space="preserve">TiO</w:t>
      </w:r>
      <w:r>
        <w:rPr>
          <w:rFonts w:ascii="Arial" w:cs="Arial" w:eastAsia="Arial" w:hAnsi="Arial"/>
          <w:b w:val="false"/>
          <w:bCs w:val="false"/>
          <w:i w:val="false"/>
          <w:iCs w:val="false"/>
          <w:sz w:val="22"/>
          <w:szCs w:val="22"/>
          <w:vertAlign w:val="subscript"/>
        </w:rPr>
        <w:t xml:space="preserve">3</w:t>
      </w:r>
      <w:r>
        <w:rPr>
          <w:rFonts w:ascii="Arial" w:cs="Arial" w:eastAsia="Arial" w:hAnsi="Arial"/>
          <w:b w:val="false"/>
          <w:bCs w:val="false"/>
          <w:i w:val="false"/>
          <w:iCs w:val="false"/>
          <w:sz w:val="22"/>
          <w:szCs w:val="22"/>
        </w:rPr>
        <w:t xml:space="preserve"> at predicted </w:t>
      </w:r>
      <w:r>
        <w:rPr>
          <w:rFonts w:ascii="Arial" w:cs="Arial" w:eastAsia="Arial" w:hAnsi="Arial"/>
          <w:b w:val="false"/>
          <w:bCs w:val="false"/>
          <w:i/>
          <w:iCs/>
          <w:sz w:val="22"/>
          <w:szCs w:val="22"/>
        </w:rPr>
        <w:t xml:space="preserve">ε</w:t>
      </w:r>
      <w:r>
        <w:rPr>
          <w:rFonts w:ascii="Arial" w:cs="Arial" w:eastAsia="Arial" w:hAnsi="Arial"/>
          <w:b w:val="false"/>
          <w:bCs w:val="false"/>
          <w:i w:val="false"/>
          <w:iCs w:val="false"/>
          <w:sz w:val="22"/>
          <w:szCs w:val="22"/>
          <w:vertAlign w:val="subscript"/>
        </w:rPr>
        <w:t xml:space="preserve">r</w:t>
      </w:r>
      <w:r>
        <w:rPr>
          <w:rFonts w:ascii="Arial" w:cs="Arial" w:eastAsia="Arial" w:hAnsi="Arial"/>
          <w:b w:val="false"/>
          <w:bCs w:val="false"/>
          <w:i w:val="false"/>
          <w:iCs w:val="false"/>
          <w:sz w:val="22"/>
          <w:szCs w:val="22"/>
        </w:rPr>
        <w:t xml:space="preserve"> = 140.1 and Sr</w:t>
      </w:r>
      <w:r>
        <w:rPr>
          <w:rFonts w:ascii="Arial" w:cs="Arial" w:eastAsia="Arial" w:hAnsi="Arial"/>
          <w:b w:val="false"/>
          <w:bCs w:val="false"/>
          <w:i w:val="false"/>
          <w:iCs w:val="false"/>
          <w:sz w:val="22"/>
          <w:szCs w:val="22"/>
          <w:vertAlign w:val="subscript"/>
        </w:rPr>
        <w:t xml:space="preserve">0.5</w:t>
      </w:r>
      <w:r>
        <w:rPr>
          <w:rFonts w:ascii="Arial" w:cs="Arial" w:eastAsia="Arial" w:hAnsi="Arial"/>
          <w:b w:val="false"/>
          <w:bCs w:val="false"/>
          <w:i w:val="false"/>
          <w:iCs w:val="false"/>
          <w:sz w:val="22"/>
          <w:szCs w:val="22"/>
        </w:rPr>
        <w:t xml:space="preserve">Ca</w:t>
      </w:r>
      <w:r>
        <w:rPr>
          <w:rFonts w:ascii="Arial" w:cs="Arial" w:eastAsia="Arial" w:hAnsi="Arial"/>
          <w:b w:val="false"/>
          <w:bCs w:val="false"/>
          <w:i w:val="false"/>
          <w:iCs w:val="false"/>
          <w:sz w:val="22"/>
          <w:szCs w:val="22"/>
          <w:vertAlign w:val="subscript"/>
        </w:rPr>
        <w:t xml:space="preserve">0.5</w:t>
      </w:r>
      <w:r>
        <w:rPr>
          <w:rFonts w:ascii="Arial" w:cs="Arial" w:eastAsia="Arial" w:hAnsi="Arial"/>
          <w:b w:val="false"/>
          <w:bCs w:val="false"/>
          <w:i w:val="false"/>
          <w:iCs w:val="false"/>
          <w:sz w:val="22"/>
          <w:szCs w:val="22"/>
        </w:rPr>
        <w:t xml:space="preserve">TiO</w:t>
      </w:r>
      <w:r>
        <w:rPr>
          <w:rFonts w:ascii="Arial" w:cs="Arial" w:eastAsia="Arial" w:hAnsi="Arial"/>
          <w:b w:val="false"/>
          <w:bCs w:val="false"/>
          <w:i w:val="false"/>
          <w:iCs w:val="false"/>
          <w:sz w:val="22"/>
          <w:szCs w:val="22"/>
          <w:vertAlign w:val="subscript"/>
        </w:rPr>
        <w:t xml:space="preserve">3</w:t>
      </w:r>
      <w:r>
        <w:rPr>
          <w:rFonts w:ascii="Arial" w:cs="Arial" w:eastAsia="Arial" w:hAnsi="Arial"/>
          <w:b w:val="false"/>
          <w:bCs w:val="false"/>
          <w:i w:val="false"/>
          <w:iCs w:val="false"/>
          <w:sz w:val="22"/>
          <w:szCs w:val="22"/>
        </w:rPr>
        <w:t xml:space="preserve"> at 138.4. These Sr-Ca-Ti targets are promising lead-free alternatives for a property class in which high permittivity has historically relied on Pb, aligning materials discovery with the regulatory drive toward Pb-free electroceramics. Second, for ML extrapolation in this materials class, physics-aware confidence </w:t>
      </w:r>
      <w:r>
        <w:rPr>
          <w:rFonts w:ascii="Arial" w:cs="Arial" w:eastAsia="Arial" w:hAnsi="Arial"/>
          <w:b w:val="false"/>
          <w:bCs w:val="false"/>
          <w:i/>
          <w:iCs/>
          <w:sz w:val="22"/>
          <w:szCs w:val="22"/>
        </w:rPr>
        <w:t xml:space="preserve">σ</w:t>
      </w:r>
      <w:r>
        <w:rPr>
          <w:rFonts w:ascii="Arial" w:cs="Arial" w:eastAsia="Arial" w:hAnsi="Arial"/>
          <w:b w:val="false"/>
          <w:bCs w:val="false"/>
          <w:i w:val="false"/>
          <w:iCs w:val="false"/>
          <w:sz w:val="22"/>
          <w:szCs w:val="22"/>
          <w:vertAlign w:val="subscript"/>
        </w:rPr>
        <w:t xml:space="preserve">conf</w:t>
      </w:r>
      <w:r>
        <w:rPr>
          <w:rFonts w:ascii="Arial" w:cs="Arial" w:eastAsia="Arial" w:hAnsi="Arial"/>
          <w:b w:val="false"/>
          <w:bCs w:val="false"/>
          <w:i w:val="false"/>
          <w:iCs w:val="false"/>
          <w:sz w:val="22"/>
          <w:szCs w:val="22"/>
        </w:rPr>
        <w:t xml:space="preserve"> reliably partitions compositions into chemically coherent applicability zones [36]: Pb in-AD = 74.4% (high confidence but LOFO </w:t>
      </w:r>
      <w:r>
        <w:rPr>
          <w:rFonts w:ascii="Arial" w:cs="Arial" w:eastAsia="Arial" w:hAnsi="Arial"/>
          <w:b w:val="false"/>
          <w:bCs w:val="false"/>
          <w:i/>
          <w:iCs/>
          <w:sz w:val="22"/>
          <w:szCs w:val="22"/>
        </w:rPr>
        <w:t xml:space="preserve">R</w:t>
      </w:r>
      <w:r>
        <w:rPr>
          <w:rFonts w:ascii="Arial" w:cs="Arial" w:eastAsia="Arial" w:hAnsi="Arial"/>
          <w:b w:val="false"/>
          <w:bCs w:val="false"/>
          <w:i w:val="false"/>
          <w:iCs w:val="false"/>
          <w:sz w:val="22"/>
          <w:szCs w:val="22"/>
          <w:vertAlign w:val="superscript"/>
        </w:rPr>
        <w:t xml:space="preserve">2</w:t>
      </w:r>
      <w:r>
        <w:rPr>
          <w:rFonts w:ascii="Arial" w:cs="Arial" w:eastAsia="Arial" w:hAnsi="Arial"/>
          <w:b w:val="false"/>
          <w:bCs w:val="false"/>
          <w:i w:val="false"/>
          <w:iCs w:val="false"/>
          <w:sz w:val="22"/>
          <w:szCs w:val="22"/>
        </w:rPr>
        <w:t xml:space="preserve"> = −0.097, a confident-but-wrong failure mode that must be detected by mechanistic chemistry rather than by </w:t>
      </w:r>
      <w:r>
        <w:rPr>
          <w:rFonts w:ascii="Arial" w:cs="Arial" w:eastAsia="Arial" w:hAnsi="Arial"/>
          <w:b w:val="false"/>
          <w:bCs w:val="false"/>
          <w:i/>
          <w:iCs/>
          <w:sz w:val="22"/>
          <w:szCs w:val="22"/>
        </w:rPr>
        <w:t xml:space="preserve">σ</w:t>
      </w:r>
      <w:r>
        <w:rPr>
          <w:rFonts w:ascii="Arial" w:cs="Arial" w:eastAsia="Arial" w:hAnsi="Arial"/>
          <w:b w:val="false"/>
          <w:bCs w:val="false"/>
          <w:i w:val="false"/>
          <w:iCs w:val="false"/>
          <w:sz w:val="22"/>
          <w:szCs w:val="22"/>
        </w:rPr>
        <w:t xml:space="preserve"> alone), versus Sr in-AD = 23.3% (low confidence, genuinely flagged as uncertain). Beyond Pb, Ba, the largest A-site family (</w:t>
      </w:r>
      <w:r>
        <w:rPr>
          <w:rFonts w:ascii="Arial" w:cs="Arial" w:eastAsia="Arial" w:hAnsi="Arial"/>
          <w:b w:val="false"/>
          <w:bCs w:val="false"/>
          <w:i/>
          <w:iCs/>
          <w:sz w:val="22"/>
          <w:szCs w:val="22"/>
        </w:rPr>
        <w:t xml:space="preserve">n</w:t>
      </w:r>
      <w:r>
        <w:rPr>
          <w:rFonts w:ascii="Arial" w:cs="Arial" w:eastAsia="Arial" w:hAnsi="Arial"/>
          <w:b w:val="false"/>
          <w:bCs w:val="false"/>
          <w:i w:val="false"/>
          <w:iCs w:val="false"/>
          <w:sz w:val="22"/>
          <w:szCs w:val="22"/>
        </w:rPr>
        <w:t xml:space="preserve"> = 436), also fails to extrapolate from Ba-free data (LOFO </w:t>
      </w:r>
      <w:r>
        <w:rPr>
          <w:rFonts w:ascii="Arial" w:cs="Arial" w:eastAsia="Arial" w:hAnsi="Arial"/>
          <w:b w:val="false"/>
          <w:bCs w:val="false"/>
          <w:i/>
          <w:iCs/>
          <w:sz w:val="22"/>
          <w:szCs w:val="22"/>
        </w:rPr>
        <w:t xml:space="preserve">R</w:t>
      </w:r>
      <w:r>
        <w:rPr>
          <w:rFonts w:ascii="Arial" w:cs="Arial" w:eastAsia="Arial" w:hAnsi="Arial"/>
          <w:b w:val="false"/>
          <w:bCs w:val="false"/>
          <w:i w:val="false"/>
          <w:iCs w:val="false"/>
          <w:sz w:val="22"/>
          <w:szCs w:val="22"/>
          <w:vertAlign w:val="superscript"/>
        </w:rPr>
        <w:t xml:space="preserve">2</w:t>
      </w:r>
      <w:r>
        <w:rPr>
          <w:rFonts w:ascii="Arial" w:cs="Arial" w:eastAsia="Arial" w:hAnsi="Arial"/>
          <w:b w:val="false"/>
          <w:bCs w:val="false"/>
          <w:i w:val="false"/>
          <w:iCs w:val="false"/>
          <w:sz w:val="22"/>
          <w:szCs w:val="22"/>
        </w:rPr>
        <w:t xml:space="preserve"> = 0.008), so the framework's reliable design zone currently excludes Ba-dominant compositions, a practically important caveat given their commercial prevalence. Reaney Regime Ia (LOFO </w:t>
      </w:r>
      <w:r>
        <w:rPr>
          <w:rFonts w:ascii="Arial" w:cs="Arial" w:eastAsia="Arial" w:hAnsi="Arial"/>
          <w:b w:val="false"/>
          <w:bCs w:val="false"/>
          <w:i/>
          <w:iCs/>
          <w:sz w:val="22"/>
          <w:szCs w:val="22"/>
        </w:rPr>
        <w:t xml:space="preserve">R</w:t>
      </w:r>
      <w:r>
        <w:rPr>
          <w:rFonts w:ascii="Arial" w:cs="Arial" w:eastAsia="Arial" w:hAnsi="Arial"/>
          <w:b w:val="false"/>
          <w:bCs w:val="false"/>
          <w:i w:val="false"/>
          <w:iCs w:val="false"/>
          <w:sz w:val="22"/>
          <w:szCs w:val="22"/>
          <w:vertAlign w:val="superscript"/>
        </w:rPr>
        <w:t xml:space="preserve">2</w:t>
      </w:r>
      <w:r>
        <w:rPr>
          <w:rFonts w:ascii="Arial" w:cs="Arial" w:eastAsia="Arial" w:hAnsi="Arial"/>
          <w:b w:val="false"/>
          <w:bCs w:val="false"/>
          <w:i w:val="false"/>
          <w:iCs w:val="false"/>
          <w:sz w:val="22"/>
          <w:szCs w:val="22"/>
        </w:rPr>
        <w:t xml:space="preserve"> = −7.378) is similarly identified as a separate physical category rather than just a tolerance-factor bin.</w:t>
      </w:r>
    </w:p>
    <w:p>
      <w:pPr>
        <w:spacing w:after="120" w:line="252" w:lineRule="auto"/>
        <w:jc w:val="left"/>
      </w:pPr>
      <w:r>
        <w:rPr>
          <w:rFonts w:ascii="Arial" w:cs="Arial" w:eastAsia="Arial" w:hAnsi="Arial"/>
          <w:b w:val="false"/>
          <w:bCs w:val="false"/>
          <w:i w:val="false"/>
          <w:iCs w:val="false"/>
          <w:sz w:val="22"/>
          <w:szCs w:val="22"/>
        </w:rPr>
        <w:t xml:space="preserve">Three limitations bound these claims. First, the decomposition is an interpretive attribution rather than a measurement: because the model lacks access to phonon frequencies, </w:t>
      </w:r>
      <w:r>
        <w:rPr>
          <w:rFonts w:ascii="Arial" w:cs="Arial" w:eastAsia="Arial" w:hAnsi="Arial"/>
          <w:b w:val="false"/>
          <w:bCs w:val="false"/>
          <w:i/>
          <w:iCs/>
          <w:sz w:val="22"/>
          <w:szCs w:val="22"/>
        </w:rPr>
        <w:t xml:space="preserve">δ</w:t>
      </w:r>
      <w:r>
        <w:rPr>
          <w:rFonts w:ascii="Arial" w:cs="Arial" w:eastAsia="Arial" w:hAnsi="Arial"/>
          <w:b w:val="false"/>
          <w:bCs w:val="false"/>
          <w:i w:val="false"/>
          <w:iCs w:val="false"/>
          <w:sz w:val="22"/>
          <w:szCs w:val="22"/>
          <w:vertAlign w:val="subscript"/>
        </w:rPr>
        <w:t xml:space="preserve">LST</w:t>
      </w:r>
      <w:r>
        <w:rPr>
          <w:rFonts w:ascii="Arial" w:cs="Arial" w:eastAsia="Arial" w:hAnsi="Arial"/>
          <w:b w:val="false"/>
          <w:bCs w:val="false"/>
          <w:i w:val="false"/>
          <w:iCs w:val="false"/>
          <w:sz w:val="22"/>
          <w:szCs w:val="22"/>
        </w:rPr>
        <w:t xml:space="preserve"> quantifies the lattice contribution the electronic baseline omits but stops short of independently measuring the soft-mode amplitude — external </w:t>
      </w:r>
      <w:r>
        <w:rPr>
          <w:rFonts w:ascii="Arial" w:cs="Arial" w:eastAsia="Arial" w:hAnsi="Arial"/>
          <w:b w:val="false"/>
          <w:bCs w:val="false"/>
          <w:i/>
          <w:iCs/>
          <w:sz w:val="22"/>
          <w:szCs w:val="22"/>
        </w:rPr>
        <w:t xml:space="preserve">ω</w:t>
      </w:r>
      <w:r>
        <w:rPr>
          <w:rFonts w:ascii="Arial" w:cs="Arial" w:eastAsia="Arial" w:hAnsi="Arial"/>
          <w:b w:val="false"/>
          <w:bCs w:val="false"/>
          <w:i w:val="false"/>
          <w:iCs w:val="false"/>
          <w:sz w:val="22"/>
          <w:szCs w:val="22"/>
          <w:vertAlign w:val="subscript"/>
        </w:rPr>
        <w:t xml:space="preserve">TO</w:t>
      </w:r>
      <w:r>
        <w:rPr>
          <w:rFonts w:ascii="Arial" w:cs="Arial" w:eastAsia="Arial" w:hAnsi="Arial"/>
          <w:b w:val="false"/>
          <w:bCs w:val="false"/>
          <w:i w:val="false"/>
          <w:iCs w:val="false"/>
          <w:sz w:val="22"/>
          <w:szCs w:val="22"/>
        </w:rPr>
        <w:t xml:space="preserve"> or first-principles validation would be required to close that gap. Such validation is itself non-trivial for these substitutionally disordered compositions, which fall outside existing high-throughput first-principles dielectric databases and require explicit supercell or special-quasirandom-structure treatment; first-principles characterisation of representative compositions is a natural next step. Second, the LST/tilt/residual partition is made identifiable by a strict disjoint feature assignment and a confidence-gated residual, though formal uniqueness guarantees are lacking; the tilt branch in particular is near-inactive (active for ~10% of compositions, −0.7% of </w:t>
      </w:r>
      <w:r>
        <w:rPr>
          <w:rFonts w:ascii="Arial" w:cs="Arial" w:eastAsia="Arial" w:hAnsi="Arial"/>
          <w:b w:val="false"/>
          <w:bCs w:val="false"/>
          <w:i/>
          <w:iCs/>
          <w:sz w:val="22"/>
          <w:szCs w:val="22"/>
        </w:rPr>
        <w:t xml:space="preserve">ε</w:t>
      </w:r>
      <w:r>
        <w:rPr>
          <w:rFonts w:ascii="Arial" w:cs="Arial" w:eastAsia="Arial" w:hAnsi="Arial"/>
          <w:b w:val="false"/>
          <w:bCs w:val="false"/>
          <w:i w:val="false"/>
          <w:iCs w:val="false"/>
          <w:sz w:val="22"/>
          <w:szCs w:val="22"/>
          <w:vertAlign w:val="subscript"/>
        </w:rPr>
        <w:t xml:space="preserve">r</w:t>
      </w:r>
      <w:r>
        <w:rPr>
          <w:rFonts w:ascii="Arial" w:cs="Arial" w:eastAsia="Arial" w:hAnsi="Arial"/>
          <w:b w:val="false"/>
          <w:bCs w:val="false"/>
          <w:i w:val="false"/>
          <w:iCs w:val="false"/>
          <w:sz w:val="22"/>
          <w:szCs w:val="22"/>
        </w:rPr>
        <w:t xml:space="preserve">) and should be read as a small, physically expected correction rather than an independent predictor, consistent with recent evidence that octahedral tilting can be symmetry-decoupled from B-site off-centring [41]. Third, the model is composition-conditioned, processing and structural diversity (sintering, calcination, crystal system) enter only through engineered features, so within-composition variation from processing is absorbed as aleatoric uncertainty rather than resolved. None of these undermines the central, physically anchored result: the A-site amplification hierarchy, which tracks ionic radius and Pb lone-pair chemistry independently of the constraint.</w:t>
      </w:r>
    </w:p>
    <w:p>
      <w:pPr>
        <w:spacing w:after="120" w:line="252" w:lineRule="auto"/>
        <w:jc w:val="left"/>
      </w:pPr>
      <w:r>
        <w:rPr>
          <w:rFonts w:ascii="Arial" w:cs="Arial" w:eastAsia="Arial" w:hAnsi="Arial"/>
          <w:b w:val="false"/>
          <w:bCs w:val="false"/>
          <w:i w:val="false"/>
          <w:iCs w:val="false"/>
          <w:sz w:val="22"/>
          <w:szCs w:val="22"/>
        </w:rPr>
        <w:t xml:space="preserve">The architecture extends beyond permittivity: a disjoint physics-feature partition with hard sign constraints and a confidence-gated residual is a general template, in the lineage of additive interpretable models [42] and of physics-informed architectures now spanning diverse materials classes [43], for any property expressible as a sum of mechanistically signed contributions, in settings where post-hoc attribution is untrustworthy. The Pb "confident-but-wrong" failure (74.4% in-domain yet leave-Pb-out </w:t>
      </w:r>
      <w:r>
        <w:rPr>
          <w:rFonts w:ascii="Arial" w:cs="Arial" w:eastAsia="Arial" w:hAnsi="Arial"/>
          <w:b w:val="false"/>
          <w:bCs w:val="false"/>
          <w:i/>
          <w:iCs/>
          <w:sz w:val="22"/>
          <w:szCs w:val="22"/>
        </w:rPr>
        <w:t xml:space="preserve">R</w:t>
      </w:r>
      <w:r>
        <w:rPr>
          <w:rFonts w:ascii="Arial" w:cs="Arial" w:eastAsia="Arial" w:hAnsi="Arial"/>
          <w:b w:val="false"/>
          <w:bCs w:val="false"/>
          <w:i w:val="false"/>
          <w:iCs w:val="false"/>
          <w:sz w:val="22"/>
          <w:szCs w:val="22"/>
          <w:vertAlign w:val="superscript"/>
        </w:rPr>
        <w:t xml:space="preserve">2</w:t>
      </w:r>
      <w:r>
        <w:rPr>
          <w:rFonts w:ascii="Arial" w:cs="Arial" w:eastAsia="Arial" w:hAnsi="Arial"/>
          <w:b w:val="false"/>
          <w:bCs w:val="false"/>
          <w:i w:val="false"/>
          <w:iCs w:val="false"/>
          <w:sz w:val="22"/>
          <w:szCs w:val="22"/>
        </w:rPr>
        <w:t xml:space="preserve"> = −0.097) is itself a transferable lesson: in chemically isolated regions, mechanistic priors — rather than uncertainty magnitude alone — must gate extrapolation.</w:t>
      </w:r>
    </w:p>
    <w:p>
      <w:pPr>
        <w:spacing w:after="120" w:line="252" w:lineRule="auto"/>
        <w:jc w:val="left"/>
      </w:pPr>
      <w:r>
        <w:rPr>
          <w:rFonts w:ascii="Arial" w:cs="Arial" w:eastAsia="Arial" w:hAnsi="Arial"/>
          <w:b w:val="false"/>
          <w:bCs w:val="false"/>
          <w:i w:val="false"/>
          <w:iCs w:val="false"/>
          <w:sz w:val="22"/>
          <w:szCs w:val="22"/>
        </w:rPr>
        <w:t xml:space="preserve">In summary, we present a physics-constrained neural network that decomposes </w:t>
      </w:r>
      <w:r>
        <w:rPr>
          <w:rFonts w:ascii="Arial" w:cs="Arial" w:eastAsia="Arial" w:hAnsi="Arial"/>
          <w:b w:val="false"/>
          <w:bCs w:val="false"/>
          <w:i/>
          <w:iCs/>
          <w:sz w:val="22"/>
          <w:szCs w:val="22"/>
        </w:rPr>
        <w:t xml:space="preserve">ε</w:t>
      </w:r>
      <w:r>
        <w:rPr>
          <w:rFonts w:ascii="Arial" w:cs="Arial" w:eastAsia="Arial" w:hAnsi="Arial"/>
          <w:b w:val="false"/>
          <w:bCs w:val="false"/>
          <w:i w:val="false"/>
          <w:iCs w:val="false"/>
          <w:sz w:val="22"/>
          <w:szCs w:val="22"/>
          <w:vertAlign w:val="subscript"/>
        </w:rPr>
        <w:t xml:space="preserve">r</w:t>
      </w:r>
      <w:r>
        <w:rPr>
          <w:rFonts w:ascii="Arial" w:cs="Arial" w:eastAsia="Arial" w:hAnsi="Arial"/>
          <w:b w:val="false"/>
          <w:bCs w:val="false"/>
          <w:i w:val="false"/>
          <w:iCs w:val="false"/>
          <w:sz w:val="22"/>
          <w:szCs w:val="22"/>
        </w:rPr>
        <w:t xml:space="preserve"> predictions for </w:t>
      </w:r>
      <w:r>
        <w:rPr>
          <w:rFonts w:ascii="Arial" w:cs="Arial" w:eastAsia="Arial" w:hAnsi="Arial"/>
          <w:b w:val="false"/>
          <w:bCs w:val="false"/>
          <w:i/>
          <w:iCs/>
          <w:sz w:val="22"/>
          <w:szCs w:val="22"/>
        </w:rPr>
        <w:t xml:space="preserve">ABO</w:t>
      </w:r>
      <w:r>
        <w:rPr>
          <w:rFonts w:ascii="Arial" w:cs="Arial" w:eastAsia="Arial" w:hAnsi="Arial"/>
          <w:b w:val="false"/>
          <w:bCs w:val="false"/>
          <w:i w:val="false"/>
          <w:iCs w:val="false"/>
          <w:sz w:val="22"/>
          <w:szCs w:val="22"/>
          <w:vertAlign w:val="subscript"/>
        </w:rPr>
        <w:t xml:space="preserve">3</w:t>
      </w:r>
      <w:r>
        <w:rPr>
          <w:rFonts w:ascii="Arial" w:cs="Arial" w:eastAsia="Arial" w:hAnsi="Arial"/>
          <w:b w:val="false"/>
          <w:bCs w:val="false"/>
          <w:i w:val="false"/>
          <w:iCs w:val="false"/>
          <w:sz w:val="22"/>
          <w:szCs w:val="22"/>
        </w:rPr>
        <w:t xml:space="preserve"> perovskite ceramics into explicit additive physical branches, Clausius-Mossotti, Lyddane-Sachs-Teller, tilt and a confidence-gated residual, and yields a chemically interpretable, statistically validated A-site soft-mode amplification hierarchy from a cleaned corpus of 1,304 compositions. The model reaches </w:t>
      </w:r>
      <w:r>
        <w:rPr>
          <w:rFonts w:ascii="Arial" w:cs="Arial" w:eastAsia="Arial" w:hAnsi="Arial"/>
          <w:b w:val="false"/>
          <w:bCs w:val="false"/>
          <w:i/>
          <w:iCs/>
          <w:sz w:val="22"/>
          <w:szCs w:val="22"/>
        </w:rPr>
        <w:t xml:space="preserve">R</w:t>
      </w:r>
      <w:r>
        <w:rPr>
          <w:rFonts w:ascii="Arial" w:cs="Arial" w:eastAsia="Arial" w:hAnsi="Arial"/>
          <w:b w:val="false"/>
          <w:bCs w:val="false"/>
          <w:i w:val="false"/>
          <w:iCs w:val="false"/>
          <w:sz w:val="22"/>
          <w:szCs w:val="22"/>
          <w:vertAlign w:val="superscript"/>
        </w:rPr>
        <w:t xml:space="preserve">2</w:t>
      </w:r>
      <w:r>
        <w:rPr>
          <w:rFonts w:ascii="Arial" w:cs="Arial" w:eastAsia="Arial" w:hAnsi="Arial"/>
          <w:b w:val="false"/>
          <w:bCs w:val="false"/>
          <w:i w:val="false"/>
          <w:iCs w:val="false"/>
          <w:sz w:val="22"/>
          <w:szCs w:val="22"/>
        </w:rPr>
        <w:t xml:space="preserve"> = 0.941 on a family-disjoint holdout with calibrated conformal coverage (90.5% at nominal 90%), reduces OOD variance 2–4× relative to unconstrained baselines, delivers a statistically validated quantification of the A-site soft-mode hierarchy Pb &gt; Ca &gt; La &gt; Sr &gt; Ba (A-site permutation </w:t>
      </w:r>
      <w:r>
        <w:rPr>
          <w:rFonts w:ascii="Arial" w:cs="Arial" w:eastAsia="Arial" w:hAnsi="Arial"/>
          <w:b w:val="false"/>
          <w:bCs w:val="false"/>
          <w:i/>
          <w:iCs/>
          <w:sz w:val="22"/>
          <w:szCs w:val="22"/>
        </w:rPr>
        <w:t xml:space="preserve">p</w:t>
      </w:r>
      <w:r>
        <w:rPr>
          <w:rFonts w:ascii="Arial" w:cs="Arial" w:eastAsia="Arial" w:hAnsi="Arial"/>
          <w:b w:val="false"/>
          <w:bCs w:val="false"/>
          <w:i w:val="false"/>
          <w:iCs w:val="false"/>
          <w:sz w:val="22"/>
          <w:szCs w:val="22"/>
        </w:rPr>
        <w:t xml:space="preserve"> &lt; 10</w:t>
      </w:r>
      <w:r>
        <w:rPr>
          <w:rFonts w:ascii="Arial" w:cs="Arial" w:eastAsia="Arial" w:hAnsi="Arial"/>
          <w:b w:val="false"/>
          <w:bCs w:val="false"/>
          <w:i w:val="false"/>
          <w:iCs w:val="false"/>
          <w:sz w:val="22"/>
          <w:szCs w:val="22"/>
          <w:vertAlign w:val="superscript"/>
        </w:rPr>
        <w:t xml:space="preserve">−3</w:t>
      </w:r>
      <w:r>
        <w:rPr>
          <w:rFonts w:ascii="Arial" w:cs="Arial" w:eastAsia="Arial" w:hAnsi="Arial"/>
          <w:b w:val="false"/>
          <w:bCs w:val="false"/>
          <w:i w:val="false"/>
          <w:iCs w:val="false"/>
          <w:sz w:val="22"/>
          <w:szCs w:val="22"/>
        </w:rPr>
        <w:t xml:space="preserve">), and identifies 70 of 72 Pb-free candidates with predicted </w:t>
      </w:r>
      <w:r>
        <w:rPr>
          <w:rFonts w:ascii="Arial" w:cs="Arial" w:eastAsia="Arial" w:hAnsi="Arial"/>
          <w:b w:val="false"/>
          <w:bCs w:val="false"/>
          <w:i/>
          <w:iCs/>
          <w:sz w:val="22"/>
          <w:szCs w:val="22"/>
        </w:rPr>
        <w:t xml:space="preserve">ε</w:t>
      </w:r>
      <w:r>
        <w:rPr>
          <w:rFonts w:ascii="Arial" w:cs="Arial" w:eastAsia="Arial" w:hAnsi="Arial"/>
          <w:b w:val="false"/>
          <w:bCs w:val="false"/>
          <w:i w:val="false"/>
          <w:iCs w:val="false"/>
          <w:sz w:val="22"/>
          <w:szCs w:val="22"/>
          <w:vertAlign w:val="subscript"/>
        </w:rPr>
        <w:t xml:space="preserve">r</w:t>
      </w:r>
      <w:r>
        <w:rPr>
          <w:rFonts w:ascii="Arial" w:cs="Arial" w:eastAsia="Arial" w:hAnsi="Arial"/>
          <w:b w:val="false"/>
          <w:bCs w:val="false"/>
          <w:i w:val="false"/>
          <w:iCs w:val="false"/>
          <w:sz w:val="22"/>
          <w:szCs w:val="22"/>
        </w:rPr>
        <w:t xml:space="preserve"> ≥ 80, providing an interpretable, physics-explicit route for next-generation microwave dielectric design.</w:t>
      </w:r>
    </w:p>
    <w:p>
      <w:pPr>
        <w:pStyle w:val="Heading1"/>
        <w:spacing w:after="240" w:before="360" w:line="480" w:lineRule="auto"/>
      </w:pPr>
      <w:r>
        <w:rPr>
          <w:rFonts w:ascii="Arial" w:cs="Arial" w:eastAsia="Arial" w:hAnsi="Arial"/>
          <w:b/>
          <w:bCs/>
          <w:color w:val="000000"/>
          <w:sz w:val="28"/>
          <w:szCs w:val="28"/>
        </w:rPr>
        <w:t xml:space="preserve">Methods</w:t>
      </w:r>
    </w:p>
    <w:p>
      <w:pPr>
        <w:spacing w:after="160" w:before="220" w:line="480" w:lineRule="auto"/>
      </w:pPr>
      <w:r>
        <w:rPr>
          <w:rFonts w:ascii="Arial" w:cs="Arial" w:eastAsia="Arial" w:hAnsi="Arial"/>
          <w:b/>
          <w:bCs/>
          <w:i/>
          <w:iCs/>
          <w:color w:val="000000"/>
          <w:sz w:val="22"/>
          <w:szCs w:val="22"/>
        </w:rPr>
        <w:t xml:space="preserve">Dataset and features</w:t>
      </w:r>
    </w:p>
    <w:p>
      <w:pPr>
        <w:spacing w:after="120" w:line="252" w:lineRule="auto"/>
        <w:jc w:val="left"/>
      </w:pPr>
      <w:r>
        <w:rPr>
          <w:rFonts w:ascii="Arial" w:cs="Arial" w:eastAsia="Arial" w:hAnsi="Arial"/>
          <w:b w:val="false"/>
          <w:bCs w:val="false"/>
          <w:i w:val="false"/>
          <w:iCs w:val="false"/>
          <w:sz w:val="22"/>
          <w:szCs w:val="22"/>
        </w:rPr>
        <w:t xml:space="preserve">The training corpus comprises 1,304 ABO</w:t>
      </w:r>
      <w:r>
        <w:rPr>
          <w:rFonts w:ascii="Arial" w:cs="Arial" w:eastAsia="Arial" w:hAnsi="Arial"/>
          <w:b w:val="false"/>
          <w:bCs w:val="false"/>
          <w:i w:val="false"/>
          <w:iCs w:val="false"/>
          <w:sz w:val="22"/>
          <w:szCs w:val="22"/>
          <w:vertAlign w:val="subscript"/>
        </w:rPr>
        <w:t xml:space="preserve">3</w:t>
      </w:r>
      <w:r>
        <w:rPr>
          <w:rFonts w:ascii="Arial" w:cs="Arial" w:eastAsia="Arial" w:hAnsi="Arial"/>
          <w:b w:val="false"/>
          <w:bCs w:val="false"/>
          <w:i w:val="false"/>
          <w:iCs w:val="false"/>
          <w:sz w:val="22"/>
          <w:szCs w:val="22"/>
        </w:rPr>
        <w:t xml:space="preserve">-type perovskite microwave-dielectric ceramic compositions, predominantly simple ABO</w:t>
      </w:r>
      <w:r>
        <w:rPr>
          <w:rFonts w:ascii="Arial" w:cs="Arial" w:eastAsia="Arial" w:hAnsi="Arial"/>
          <w:b w:val="false"/>
          <w:bCs w:val="false"/>
          <w:i w:val="false"/>
          <w:iCs w:val="false"/>
          <w:sz w:val="22"/>
          <w:szCs w:val="22"/>
          <w:vertAlign w:val="subscript"/>
        </w:rPr>
        <w:t xml:space="preserve">3</w:t>
      </w:r>
      <w:r>
        <w:rPr>
          <w:rFonts w:ascii="Arial" w:cs="Arial" w:eastAsia="Arial" w:hAnsi="Arial"/>
          <w:b w:val="false"/>
          <w:bCs w:val="false"/>
          <w:i w:val="false"/>
          <w:iCs w:val="false"/>
          <w:sz w:val="22"/>
          <w:szCs w:val="22"/>
        </w:rPr>
        <w:t xml:space="preserve"> perovskites together with a minority (~11%) of ABO</w:t>
      </w:r>
      <w:r>
        <w:rPr>
          <w:rFonts w:ascii="Arial" w:cs="Arial" w:eastAsia="Arial" w:hAnsi="Arial"/>
          <w:b w:val="false"/>
          <w:bCs w:val="false"/>
          <w:i w:val="false"/>
          <w:iCs w:val="false"/>
          <w:sz w:val="22"/>
          <w:szCs w:val="22"/>
          <w:vertAlign w:val="subscript"/>
        </w:rPr>
        <w:t xml:space="preserve">3</w:t>
      </w:r>
      <w:r>
        <w:rPr>
          <w:rFonts w:ascii="Arial" w:cs="Arial" w:eastAsia="Arial" w:hAnsi="Arial"/>
          <w:b w:val="false"/>
          <w:bCs w:val="false"/>
          <w:i w:val="false"/>
          <w:iCs w:val="false"/>
          <w:sz w:val="22"/>
          <w:szCs w:val="22"/>
        </w:rPr>
        <w:t xml:space="preserve">-derived superstructures (layered and cation-ordered phases), with experimentally reported microwave-frequency permittivities, compiled from a microwave-dielectric ceramics handbook and ~200 primary literature sources (the complete source list is provided in Supplementary References). Because such compilations include perovskite-</w:t>
      </w:r>
      <w:r>
        <w:rPr>
          <w:rFonts w:ascii="Arial" w:cs="Arial" w:eastAsia="Arial" w:hAnsi="Arial"/>
          <w:b w:val="false"/>
          <w:bCs w:val="false"/>
          <w:i/>
          <w:iCs/>
          <w:sz w:val="22"/>
          <w:szCs w:val="22"/>
        </w:rPr>
        <w:t xml:space="preserve">related</w:t>
      </w:r>
      <w:r>
        <w:rPr>
          <w:rFonts w:ascii="Arial" w:cs="Arial" w:eastAsia="Arial" w:hAnsi="Arial"/>
          <w:b w:val="false"/>
          <w:bCs w:val="false"/>
          <w:i w:val="false"/>
          <w:iCs w:val="false"/>
          <w:sz w:val="22"/>
          <w:szCs w:val="22"/>
        </w:rPr>
        <w:t xml:space="preserve"> materials that lack the perovskite structure, the corpus was restricted to genuine perovskites. We excluded ilmenite-structured </w:t>
      </w:r>
      <w:r>
        <w:rPr>
          <w:rFonts w:ascii="Arial" w:cs="Arial" w:eastAsia="Arial" w:hAnsi="Arial"/>
          <w:b w:val="false"/>
          <w:bCs w:val="false"/>
          <w:i/>
          <w:iCs/>
          <w:sz w:val="22"/>
          <w:szCs w:val="22"/>
        </w:rPr>
        <w:t xml:space="preserve">A</w:t>
      </w:r>
      <w:r>
        <w:rPr>
          <w:rFonts w:ascii="Arial" w:cs="Arial" w:eastAsia="Arial" w:hAnsi="Arial"/>
          <w:b w:val="false"/>
          <w:bCs w:val="false"/>
          <w:i w:val="false"/>
          <w:iCs w:val="false"/>
          <w:sz w:val="22"/>
          <w:szCs w:val="22"/>
        </w:rPr>
        <w:t xml:space="preserve">TiO</w:t>
      </w:r>
      <w:r>
        <w:rPr>
          <w:rFonts w:ascii="Arial" w:cs="Arial" w:eastAsia="Arial" w:hAnsi="Arial"/>
          <w:b w:val="false"/>
          <w:bCs w:val="false"/>
          <w:i w:val="false"/>
          <w:iCs w:val="false"/>
          <w:sz w:val="22"/>
          <w:szCs w:val="22"/>
          <w:vertAlign w:val="subscript"/>
        </w:rPr>
        <w:t xml:space="preserve">3</w:t>
      </w:r>
      <w:r>
        <w:rPr>
          <w:rFonts w:ascii="Arial" w:cs="Arial" w:eastAsia="Arial" w:hAnsi="Arial"/>
          <w:b w:val="false"/>
          <w:bCs w:val="false"/>
          <w:i w:val="false"/>
          <w:iCs w:val="false"/>
          <w:sz w:val="22"/>
          <w:szCs w:val="22"/>
        </w:rPr>
        <w:t xml:space="preserve"> phases (A = Mg, Zn, Co, Ni), in which the small A-cation gives a low Goldschmidt tolerance factor (</w:t>
      </w:r>
      <w:r>
        <w:rPr>
          <w:rFonts w:ascii="Arial" w:cs="Arial" w:eastAsia="Arial" w:hAnsi="Arial"/>
          <w:b w:val="false"/>
          <w:bCs w:val="false"/>
          <w:i/>
          <w:iCs/>
          <w:sz w:val="22"/>
          <w:szCs w:val="22"/>
        </w:rPr>
        <w:t xml:space="preserve">t</w:t>
      </w:r>
      <w:r>
        <w:rPr>
          <w:rFonts w:ascii="Arial" w:cs="Arial" w:eastAsia="Arial" w:hAnsi="Arial"/>
          <w:b w:val="false"/>
          <w:bCs w:val="false"/>
          <w:i w:val="false"/>
          <w:iCs w:val="false"/>
          <w:sz w:val="22"/>
          <w:szCs w:val="22"/>
        </w:rPr>
        <w:t xml:space="preserve"> ≈ 0.8 or below) and occupies a 6-coordinate octahedron in the corundum-derived ilmenite structure rather than the 12-coordinate perovskite cage, so the ABO</w:t>
      </w:r>
      <w:r>
        <w:rPr>
          <w:rFonts w:ascii="Arial" w:cs="Arial" w:eastAsia="Arial" w:hAnsi="Arial"/>
          <w:b w:val="false"/>
          <w:bCs w:val="false"/>
          <w:i w:val="false"/>
          <w:iCs w:val="false"/>
          <w:sz w:val="22"/>
          <w:szCs w:val="22"/>
          <w:vertAlign w:val="subscript"/>
        </w:rPr>
        <w:t xml:space="preserve">3</w:t>
      </w:r>
      <w:r>
        <w:rPr>
          <w:rFonts w:ascii="Arial" w:cs="Arial" w:eastAsia="Arial" w:hAnsi="Arial"/>
          <w:b w:val="false"/>
          <w:bCs w:val="false"/>
          <w:i w:val="false"/>
          <w:iCs w:val="false"/>
          <w:sz w:val="22"/>
          <w:szCs w:val="22"/>
        </w:rPr>
        <w:t xml:space="preserve"> formula adopts an alternative structure rather than perovskite. We also excluded A-site-deficient defect phases (A-site occupancy ≈ 0.33, e.g. La</w:t>
      </w:r>
      <w:r>
        <w:rPr>
          <w:rFonts w:ascii="Arial" w:cs="Arial" w:eastAsia="Arial" w:hAnsi="Arial"/>
          <w:b w:val="false"/>
          <w:bCs w:val="false"/>
          <w:i w:val="false"/>
          <w:iCs w:val="false"/>
          <w:sz w:val="22"/>
          <w:szCs w:val="22"/>
          <w:vertAlign w:val="subscript"/>
        </w:rPr>
        <w:t xml:space="preserve">1</w:t>
      </w:r>
      <w:r>
        <w:rPr>
          <w:rFonts w:ascii="Arial" w:cs="Arial" w:eastAsia="Arial" w:hAnsi="Arial"/>
          <w:b w:val="false"/>
          <w:bCs w:val="false"/>
          <w:i w:val="false"/>
          <w:iCs w:val="false"/>
          <w:sz w:val="22"/>
          <w:szCs w:val="22"/>
        </w:rPr>
        <w:t xml:space="preserve">/</w:t>
      </w:r>
      <w:r>
        <w:rPr>
          <w:rFonts w:ascii="Arial" w:cs="Arial" w:eastAsia="Arial" w:hAnsi="Arial"/>
          <w:b w:val="false"/>
          <w:bCs w:val="false"/>
          <w:i w:val="false"/>
          <w:iCs w:val="false"/>
          <w:sz w:val="22"/>
          <w:szCs w:val="22"/>
          <w:vertAlign w:val="subscript"/>
        </w:rPr>
        <w:t xml:space="preserve">3</w:t>
      </w:r>
      <w:r>
        <w:rPr>
          <w:rFonts w:ascii="Arial" w:cs="Arial" w:eastAsia="Arial" w:hAnsi="Arial"/>
          <w:b w:val="false"/>
          <w:bCs w:val="false"/>
          <w:i w:val="false"/>
          <w:iCs w:val="false"/>
          <w:sz w:val="22"/>
          <w:szCs w:val="22"/>
        </w:rPr>
        <w:t xml:space="preserve">TaO</w:t>
      </w:r>
      <w:r>
        <w:rPr>
          <w:rFonts w:ascii="Arial" w:cs="Arial" w:eastAsia="Arial" w:hAnsi="Arial"/>
          <w:b w:val="false"/>
          <w:bCs w:val="false"/>
          <w:i w:val="false"/>
          <w:iCs w:val="false"/>
          <w:sz w:val="22"/>
          <w:szCs w:val="22"/>
          <w:vertAlign w:val="subscript"/>
        </w:rPr>
        <w:t xml:space="preserve">3</w:t>
      </w:r>
      <w:r>
        <w:rPr>
          <w:rFonts w:ascii="Arial" w:cs="Arial" w:eastAsia="Arial" w:hAnsi="Arial"/>
          <w:b w:val="false"/>
          <w:bCs w:val="false"/>
          <w:i w:val="false"/>
          <w:iCs w:val="false"/>
          <w:sz w:val="22"/>
          <w:szCs w:val="22"/>
        </w:rPr>
        <w:t xml:space="preserve">) and redundant notation duplicates. The cleaned dataset contains 1,124 compositions with a valid CM evaluation (the full CM evaluation procedure is detailed in Supplementary Note 1), 973 with an exact Shannon-polarizability CM and 151 double perovskites (</w:t>
      </w:r>
      <w:r>
        <w:rPr>
          <w:rFonts w:ascii="Arial" w:cs="Arial" w:eastAsia="Arial" w:hAnsi="Arial"/>
          <w:b w:val="false"/>
          <w:bCs w:val="false"/>
          <w:i/>
          <w:iCs/>
          <w:sz w:val="22"/>
          <w:szCs w:val="22"/>
        </w:rPr>
        <w:t xml:space="preserve">A</w:t>
      </w:r>
      <w:r>
        <w:rPr>
          <w:rFonts w:ascii="Arial" w:cs="Arial" w:eastAsia="Arial" w:hAnsi="Arial"/>
          <w:b w:val="false"/>
          <w:bCs w:val="false"/>
          <w:i w:val="false"/>
          <w:iCs w:val="false"/>
          <w:sz w:val="22"/>
          <w:szCs w:val="22"/>
          <w:vertAlign w:val="subscript"/>
        </w:rPr>
        <w:t xml:space="preserve">2</w:t>
      </w:r>
      <w:r>
        <w:rPr>
          <w:rFonts w:ascii="Arial" w:cs="Arial" w:eastAsia="Arial" w:hAnsi="Arial"/>
          <w:b w:val="false"/>
          <w:bCs w:val="false"/>
          <w:i/>
          <w:iCs/>
          <w:sz w:val="22"/>
          <w:szCs w:val="22"/>
        </w:rPr>
        <w:t xml:space="preserve">BB</w:t>
      </w:r>
      <w:r>
        <w:rPr>
          <w:rFonts w:ascii="Arial" w:cs="Arial" w:eastAsia="Arial" w:hAnsi="Arial"/>
          <w:b w:val="false"/>
          <w:bCs w:val="false"/>
          <w:i w:val="false"/>
          <w:iCs w:val="false"/>
          <w:sz w:val="22"/>
          <w:szCs w:val="22"/>
        </w:rPr>
        <w:t xml:space="preserve">′O</w:t>
      </w:r>
      <w:r>
        <w:rPr>
          <w:rFonts w:ascii="Arial" w:cs="Arial" w:eastAsia="Arial" w:hAnsi="Arial"/>
          <w:b w:val="false"/>
          <w:bCs w:val="false"/>
          <w:i w:val="false"/>
          <w:iCs w:val="false"/>
          <w:sz w:val="22"/>
          <w:szCs w:val="22"/>
          <w:vertAlign w:val="subscript"/>
        </w:rPr>
        <w:t xml:space="preserve">6</w:t>
      </w:r>
      <w:r>
        <w:rPr>
          <w:rFonts w:ascii="Arial" w:cs="Arial" w:eastAsia="Arial" w:hAnsi="Arial"/>
          <w:b w:val="false"/>
          <w:bCs w:val="false"/>
          <w:i w:val="false"/>
          <w:iCs w:val="false"/>
          <w:sz w:val="22"/>
          <w:szCs w:val="22"/>
        </w:rPr>
        <w:t xml:space="preserve">) for which a virtual-crystal-approximation (VCA) CM is used, and 180 compositions (13.8%) without a valid CM that route through the no-CM fallback path. The same nominal composition is frequently reported under different processing conditions — sintering temperature and time, calcination, crystal system — that produce measurable differences in </w:t>
      </w:r>
      <w:r>
        <w:rPr>
          <w:rFonts w:ascii="Arial" w:cs="Arial" w:eastAsia="Arial" w:hAnsi="Arial"/>
          <w:b w:val="false"/>
          <w:bCs w:val="false"/>
          <w:i/>
          <w:iCs/>
          <w:sz w:val="22"/>
          <w:szCs w:val="22"/>
        </w:rPr>
        <w:t xml:space="preserve">ε</w:t>
      </w:r>
      <w:r>
        <w:rPr>
          <w:rFonts w:ascii="Arial" w:cs="Arial" w:eastAsia="Arial" w:hAnsi="Arial"/>
          <w:b w:val="false"/>
          <w:bCs w:val="false"/>
          <w:i w:val="false"/>
          <w:iCs w:val="false"/>
          <w:sz w:val="22"/>
          <w:szCs w:val="22"/>
          <w:vertAlign w:val="subscript"/>
        </w:rPr>
        <w:t xml:space="preserve">r</w:t>
      </w:r>
      <w:r>
        <w:rPr>
          <w:rFonts w:ascii="Arial" w:cs="Arial" w:eastAsia="Arial" w:hAnsi="Arial"/>
          <w:b w:val="false"/>
          <w:bCs w:val="false"/>
          <w:i w:val="false"/>
          <w:iCs w:val="false"/>
          <w:sz w:val="22"/>
          <w:szCs w:val="22"/>
        </w:rPr>
        <w:t xml:space="preserve">. We retain such entries as physically distinct samples rather than deduplicating them; the processing and structural descriptors enter the model as features (below), so the 1,304 entries span 894 distinct nominal formulae while every row carries a unique feature vector. 33 entries share both formula and processing and differ only in reported </w:t>
      </w:r>
      <w:r>
        <w:rPr>
          <w:rFonts w:ascii="Arial" w:cs="Arial" w:eastAsia="Arial" w:hAnsi="Arial"/>
          <w:b w:val="false"/>
          <w:bCs w:val="false"/>
          <w:i/>
          <w:iCs/>
          <w:sz w:val="22"/>
          <w:szCs w:val="22"/>
        </w:rPr>
        <w:t xml:space="preserve">ε</w:t>
      </w:r>
      <w:r>
        <w:rPr>
          <w:rFonts w:ascii="Arial" w:cs="Arial" w:eastAsia="Arial" w:hAnsi="Arial"/>
          <w:b w:val="false"/>
          <w:bCs w:val="false"/>
          <w:i w:val="false"/>
          <w:iCs w:val="false"/>
          <w:sz w:val="22"/>
          <w:szCs w:val="22"/>
          <w:vertAlign w:val="subscript"/>
        </w:rPr>
        <w:t xml:space="preserve">r</w:t>
      </w:r>
      <w:r>
        <w:rPr>
          <w:rFonts w:ascii="Arial" w:cs="Arial" w:eastAsia="Arial" w:hAnsi="Arial"/>
          <w:b w:val="false"/>
          <w:bCs w:val="false"/>
          <w:i w:val="false"/>
          <w:iCs w:val="false"/>
          <w:sz w:val="22"/>
          <w:szCs w:val="22"/>
        </w:rPr>
        <w:t xml:space="preserve">; these are kept as independent literature replicates. Distributions of measured </w:t>
      </w:r>
      <w:r>
        <w:rPr>
          <w:rFonts w:ascii="Arial" w:cs="Arial" w:eastAsia="Arial" w:hAnsi="Arial"/>
          <w:b w:val="false"/>
          <w:bCs w:val="false"/>
          <w:i/>
          <w:iCs/>
          <w:sz w:val="22"/>
          <w:szCs w:val="22"/>
        </w:rPr>
        <w:t xml:space="preserve">ε</w:t>
      </w:r>
      <w:r>
        <w:rPr>
          <w:rFonts w:ascii="Arial" w:cs="Arial" w:eastAsia="Arial" w:hAnsi="Arial"/>
          <w:b w:val="false"/>
          <w:bCs w:val="false"/>
          <w:i w:val="false"/>
          <w:iCs w:val="false"/>
          <w:sz w:val="22"/>
          <w:szCs w:val="22"/>
          <w:vertAlign w:val="subscript"/>
        </w:rPr>
        <w:t xml:space="preserve">r</w:t>
      </w:r>
      <w:r>
        <w:rPr>
          <w:rFonts w:ascii="Arial" w:cs="Arial" w:eastAsia="Arial" w:hAnsi="Arial"/>
          <w:b w:val="false"/>
          <w:bCs w:val="false"/>
          <w:i w:val="false"/>
          <w:iCs w:val="false"/>
          <w:sz w:val="22"/>
          <w:szCs w:val="22"/>
        </w:rPr>
        <w:t xml:space="preserve">, Reaney regime, A-site occupancy and B-site occupancy are given in Supplementary Fig. 1; the tolerance-factor histogram and crystal-system decomposition appear in Supplementary Figs. 19 and 20, respectively.</w:t>
      </w:r>
    </w:p>
    <w:p>
      <w:pPr>
        <w:spacing w:after="120" w:line="252" w:lineRule="auto"/>
        <w:jc w:val="left"/>
      </w:pPr>
      <w:r>
        <w:rPr>
          <w:rFonts w:ascii="Arial" w:cs="Arial" w:eastAsia="Arial" w:hAnsi="Arial"/>
          <w:b w:val="false"/>
          <w:bCs w:val="false"/>
          <w:i w:val="false"/>
          <w:iCs w:val="false"/>
          <w:sz w:val="22"/>
          <w:szCs w:val="22"/>
        </w:rPr>
        <w:t xml:space="preserve">Features are partitioned into three physically motivated groups for a total of 103 inputs, building on physics-based structural descriptors developed for perovskite property prediction [44]: 30 LST features (</w:t>
      </w:r>
      <w:r>
        <w:rPr>
          <w:rFonts w:ascii="Arial" w:cs="Arial" w:eastAsia="Arial" w:hAnsi="Arial"/>
          <w:b w:val="false"/>
          <w:bCs w:val="false"/>
          <w:i/>
          <w:iCs/>
          <w:sz w:val="22"/>
          <w:szCs w:val="22"/>
        </w:rPr>
        <w:t xml:space="preserve">ω</w:t>
      </w:r>
      <w:r>
        <w:rPr>
          <w:rFonts w:ascii="Arial" w:cs="Arial" w:eastAsia="Arial" w:hAnsi="Arial"/>
          <w:b w:val="false"/>
          <w:bCs w:val="false"/>
          <w:i w:val="false"/>
          <w:iCs w:val="false"/>
          <w:sz w:val="22"/>
          <w:szCs w:val="22"/>
          <w:vertAlign w:val="subscript"/>
        </w:rPr>
        <w:t xml:space="preserve">TO</w:t>
      </w:r>
      <w:r>
        <w:rPr>
          <w:rFonts w:ascii="Arial" w:cs="Arial" w:eastAsia="Arial" w:hAnsi="Arial"/>
          <w:b w:val="false"/>
          <w:bCs w:val="false"/>
          <w:i w:val="false"/>
          <w:iCs w:val="false"/>
          <w:sz w:val="22"/>
          <w:szCs w:val="22"/>
        </w:rPr>
        <w:t xml:space="preserve">/</w:t>
      </w:r>
      <w:r>
        <w:rPr>
          <w:rFonts w:ascii="Arial" w:cs="Arial" w:eastAsia="Arial" w:hAnsi="Arial"/>
          <w:b w:val="false"/>
          <w:bCs w:val="false"/>
          <w:i/>
          <w:iCs/>
          <w:sz w:val="22"/>
          <w:szCs w:val="22"/>
        </w:rPr>
        <w:t xml:space="preserve">ω</w:t>
      </w:r>
      <w:r>
        <w:rPr>
          <w:rFonts w:ascii="Arial" w:cs="Arial" w:eastAsia="Arial" w:hAnsi="Arial"/>
          <w:b w:val="false"/>
          <w:bCs w:val="false"/>
          <w:i w:val="false"/>
          <w:iCs w:val="false"/>
          <w:sz w:val="22"/>
          <w:szCs w:val="22"/>
          <w:vertAlign w:val="subscript"/>
        </w:rPr>
        <w:t xml:space="preserve">LO</w:t>
      </w:r>
      <w:r>
        <w:rPr>
          <w:rFonts w:ascii="Arial" w:cs="Arial" w:eastAsia="Arial" w:hAnsi="Arial"/>
          <w:b w:val="false"/>
          <w:bCs w:val="false"/>
          <w:i w:val="false"/>
          <w:iCs w:val="false"/>
          <w:sz w:val="22"/>
          <w:szCs w:val="22"/>
        </w:rPr>
        <w:t xml:space="preserve"> surrogates, soft-mode-related electronic and structural descriptors [10,45]), 30 tilt features (tolerance factor, octahedral rotation descriptors, A-site electronegativity, Glazer-class proxies), and 43 residual features (composition-averaged elemental, electronic and ionic properties). The partition is strict: no feature appears in more than one group, and the complete feature-to-group assignment is given in Supplementary Fig. 10. Structure-property correlations between 12 physical descriptors and PCNN-predicted ε</w:t>
      </w:r>
      <w:r>
        <w:rPr>
          <w:rFonts w:ascii="Arial" w:cs="Arial" w:eastAsia="Arial" w:hAnsi="Arial"/>
          <w:b w:val="false"/>
          <w:bCs w:val="false"/>
          <w:i w:val="false"/>
          <w:iCs w:val="false"/>
          <w:sz w:val="22"/>
          <w:szCs w:val="22"/>
          <w:vertAlign w:val="subscript"/>
        </w:rPr>
        <w:t xml:space="preserve">r</w:t>
      </w:r>
      <w:r>
        <w:rPr>
          <w:rFonts w:ascii="Arial" w:cs="Arial" w:eastAsia="Arial" w:hAnsi="Arial"/>
          <w:b w:val="false"/>
          <w:bCs w:val="false"/>
          <w:i w:val="false"/>
          <w:iCs w:val="false"/>
          <w:sz w:val="22"/>
          <w:szCs w:val="22"/>
        </w:rPr>
        <w:t xml:space="preserve"> across the full corpus are reported in Supplementary Fig. 21, where δ</w:t>
      </w:r>
      <w:r>
        <w:rPr>
          <w:rFonts w:ascii="Arial" w:cs="Arial" w:eastAsia="Arial" w:hAnsi="Arial"/>
          <w:b w:val="false"/>
          <w:bCs w:val="false"/>
          <w:i w:val="false"/>
          <w:iCs w:val="false"/>
          <w:sz w:val="22"/>
          <w:szCs w:val="22"/>
          <w:vertAlign w:val="subscript"/>
        </w:rPr>
        <w:t xml:space="preserve">LST</w:t>
      </w:r>
      <w:r>
        <w:rPr>
          <w:rFonts w:ascii="Arial" w:cs="Arial" w:eastAsia="Arial" w:hAnsi="Arial"/>
          <w:b w:val="false"/>
          <w:bCs w:val="false"/>
          <w:i w:val="false"/>
          <w:iCs w:val="false"/>
          <w:sz w:val="22"/>
          <w:szCs w:val="22"/>
        </w:rPr>
        <w:t xml:space="preserve"> (Spearman ρ = +0.87) emerges as the strongest single predictor, consistent with the LST branch carrying the largest aggregate SHAP attribution (Supplementary Fig. 11). Train/calibration splitting uses Family-GroupShuffleSplit with chemical family as the grouping variable, yielding 1,188 training and 116 calibration samples with zero family overlap; this split is fixed in advance and remains fixed throughout model evaluation. Because the grouping variable (the dominant A- and B-site cations) is coarser than the chemical formula, no nominal formula appears in more than one partition. Formula-level separation is also preserved during LOFO and Strat-GSS evaluations. The resulting calibration set is intentionally Regime-III-heavy (74/116 = 64%; 30 II / 12 Ib / 0 Ia), providing a challenging OOD stress test.</w:t>
      </w:r>
    </w:p>
    <w:p>
      <w:pPr>
        <w:spacing w:after="160" w:before="220" w:line="480" w:lineRule="auto"/>
      </w:pPr>
      <w:r>
        <w:rPr>
          <w:rFonts w:ascii="Arial" w:cs="Arial" w:eastAsia="Arial" w:hAnsi="Arial"/>
          <w:b/>
          <w:bCs/>
          <w:i/>
          <w:iCs/>
          <w:color w:val="000000"/>
          <w:sz w:val="22"/>
          <w:szCs w:val="22"/>
        </w:rPr>
        <w:t xml:space="preserve">Physics formulations</w:t>
      </w:r>
    </w:p>
    <w:p>
      <w:pPr>
        <w:spacing w:after="120" w:line="252" w:lineRule="auto"/>
        <w:jc w:val="left"/>
      </w:pPr>
      <w:r>
        <w:rPr>
          <w:rFonts w:ascii="Arial" w:cs="Arial" w:eastAsia="Arial" w:hAnsi="Arial"/>
          <w:b w:val="false"/>
          <w:bCs w:val="false"/>
          <w:i w:val="false"/>
          <w:iCs w:val="false"/>
          <w:sz w:val="22"/>
          <w:szCs w:val="22"/>
        </w:rPr>
        <w:t xml:space="preserve">The Clausius-Mossotti relation [6,7] expresses the static permittivity of a polar dielectric in terms of the molar volume </w:t>
      </w:r>
      <w:r>
        <w:rPr>
          <w:rFonts w:ascii="Arial" w:cs="Arial" w:eastAsia="Arial" w:hAnsi="Arial"/>
          <w:b w:val="false"/>
          <w:bCs w:val="false"/>
          <w:i/>
          <w:iCs/>
          <w:sz w:val="22"/>
          <w:szCs w:val="22"/>
        </w:rPr>
        <w:t xml:space="preserve">V</w:t>
      </w:r>
      <w:r>
        <w:rPr>
          <w:rFonts w:ascii="Arial" w:cs="Arial" w:eastAsia="Arial" w:hAnsi="Arial"/>
          <w:b w:val="false"/>
          <w:bCs w:val="false"/>
          <w:i w:val="false"/>
          <w:iCs w:val="false"/>
          <w:sz w:val="22"/>
          <w:szCs w:val="22"/>
          <w:vertAlign w:val="subscript"/>
        </w:rPr>
        <w:t xml:space="preserve">m</w:t>
      </w:r>
      <w:r>
        <w:rPr>
          <w:rFonts w:ascii="Arial" w:cs="Arial" w:eastAsia="Arial" w:hAnsi="Arial"/>
          <w:b w:val="false"/>
          <w:bCs w:val="false"/>
          <w:i w:val="false"/>
          <w:iCs w:val="false"/>
          <w:sz w:val="22"/>
          <w:szCs w:val="22"/>
        </w:rPr>
        <w:t xml:space="preserve"> and the sum of constituent ionic polarizabilities </w:t>
      </w:r>
      <w:r>
        <w:rPr>
          <w:rFonts w:ascii="Arial" w:cs="Arial" w:eastAsia="Arial" w:hAnsi="Arial"/>
          <w:b w:val="false"/>
          <w:bCs w:val="false"/>
          <w:i/>
          <w:iCs/>
          <w:sz w:val="22"/>
          <w:szCs w:val="22"/>
        </w:rPr>
        <w:t xml:space="preserve">α</w:t>
      </w:r>
      <w:r>
        <w:rPr>
          <w:rFonts w:ascii="Arial" w:cs="Arial" w:eastAsia="Arial" w:hAnsi="Arial"/>
          <w:b w:val="false"/>
          <w:bCs w:val="false"/>
          <w:i w:val="false"/>
          <w:iCs w:val="false"/>
          <w:sz w:val="22"/>
          <w:szCs w:val="22"/>
          <w:vertAlign w:val="subscript"/>
        </w:rPr>
        <w:t xml:space="preserve">i</w:t>
      </w:r>
      <w:r>
        <w:rPr>
          <w:rFonts w:ascii="Arial" w:cs="Arial" w:eastAsia="Arial" w:hAnsi="Arial"/>
          <w:b w:val="false"/>
          <w:bCs w:val="false"/>
          <w:i w:val="false"/>
          <w:iCs w:val="false"/>
          <w:sz w:val="22"/>
          <w:szCs w:val="22"/>
        </w:rPr>
        <w:t xml:space="preserve"> (Shannon polarizabilities [6]):</w:t>
      </w:r>
    </w:p>
    <w:p>
      <w:pPr>
        <w:tabs>
          <w:tab w:val="center" w:pos="4824"/>
          <w:tab w:val="right" w:pos="9648"/>
        </w:tabs>
        <w:spacing w:after="240" w:before="240" w:line="360" w:lineRule="auto"/>
        <w:jc w:val="left"/>
      </w:pPr>
      <w:r>
        <w:rPr>
          <w:rFonts w:ascii="Arial" w:cs="Arial" w:eastAsia="Arial" w:hAnsi="Arial"/>
          <w:sz w:val="22"/>
          <w:szCs w:val="22"/>
        </w:rPr>
        <w:t xml:space="preserve">	</w:t>
      </w:r>
      <m:oMath>
        <m:sSub>
          <m:sSubPr/>
          <m:e>
            <m:r>
              <m:t>ε</m:t>
            </m:r>
          </m:e>
          <m:sub>
            <m:r>
              <m:t>r,CM</m:t>
            </m:r>
          </m:sub>
        </m:sSub>
        <m:r>
          <m:t> = </m:t>
        </m:r>
        <m:f>
          <m:num>
            <m:r>
              <m:t>3</m:t>
            </m:r>
            <m:sSub>
              <m:sSubPr/>
              <m:e>
                <m:r>
                  <m:t>V</m:t>
                </m:r>
              </m:e>
              <m:sub>
                <m:r>
                  <m:t>m</m:t>
                </m:r>
              </m:sub>
            </m:sSub>
            <m:r>
              <m:t> + 8π</m:t>
            </m:r>
            <m:nary>
              <m:naryPr>
                <m:chr m:val="∑"/>
                <m:limLoc m:val="undOvr"/>
                <m:supHide m:val="1"/>
              </m:naryPr>
              <m:sub>
                <m:r>
                  <m:t>i</m:t>
                </m:r>
              </m:sub>
              <m:e>
                <m:sSub>
                  <m:sSubPr/>
                  <m:e>
                    <m:r>
                      <m:t>α</m:t>
                    </m:r>
                  </m:e>
                  <m:sub>
                    <m:r>
                      <m:t>i</m:t>
                    </m:r>
                  </m:sub>
                </m:sSub>
              </m:e>
            </m:nary>
          </m:num>
          <m:den>
            <m:r>
              <m:t>3</m:t>
            </m:r>
            <m:sSub>
              <m:sSubPr/>
              <m:e>
                <m:r>
                  <m:t>V</m:t>
                </m:r>
              </m:e>
              <m:sub>
                <m:r>
                  <m:t>m</m:t>
                </m:r>
              </m:sub>
            </m:sSub>
            <m:r>
              <m:t> − 4π</m:t>
            </m:r>
            <m:nary>
              <m:naryPr>
                <m:chr m:val="∑"/>
                <m:limLoc m:val="undOvr"/>
                <m:supHide m:val="1"/>
              </m:naryPr>
              <m:sub>
                <m:r>
                  <m:t>i</m:t>
                </m:r>
              </m:sub>
              <m:e>
                <m:sSub>
                  <m:sSubPr/>
                  <m:e>
                    <m:r>
                      <m:t>α</m:t>
                    </m:r>
                  </m:e>
                  <m:sub>
                    <m:r>
                      <m:t>i</m:t>
                    </m:r>
                  </m:sub>
                </m:sSub>
              </m:e>
            </m:nary>
          </m:den>
        </m:f>
      </m:oMath>
      <w:r>
        <w:rPr>
          <w:rFonts w:ascii="Arial" w:cs="Arial" w:eastAsia="Arial" w:hAnsi="Arial"/>
          <w:sz w:val="22"/>
          <w:szCs w:val="22"/>
        </w:rPr>
        <w:t xml:space="preserve">	</w:t>
      </w:r>
      <w:r>
        <w:rPr>
          <w:rFonts w:ascii="Arial" w:cs="Arial" w:eastAsia="Arial" w:hAnsi="Arial"/>
          <w:sz w:val="22"/>
          <w:szCs w:val="22"/>
        </w:rPr>
        <w:t xml:space="preserve">(1)</w:t>
      </w:r>
    </w:p>
    <w:p>
      <w:pPr>
        <w:spacing w:after="120" w:line="252" w:lineRule="auto"/>
        <w:jc w:val="left"/>
      </w:pPr>
      <w:r>
        <w:rPr>
          <w:rFonts w:ascii="Arial" w:cs="Arial" w:eastAsia="Arial" w:hAnsi="Arial"/>
          <w:b w:val="false"/>
          <w:bCs w:val="false"/>
          <w:i w:val="false"/>
          <w:iCs w:val="false"/>
          <w:sz w:val="22"/>
          <w:szCs w:val="22"/>
        </w:rPr>
        <w:t xml:space="preserve">The Lyddane-Sachs-Teller relation [8] links the static and high-frequency permittivities to the longitudinal and transverse optical phonon frequencies:</w:t>
      </w:r>
    </w:p>
    <w:p>
      <w:pPr>
        <w:tabs>
          <w:tab w:val="center" w:pos="4824"/>
          <w:tab w:val="right" w:pos="9648"/>
        </w:tabs>
        <w:spacing w:after="240" w:before="240" w:line="360" w:lineRule="auto"/>
        <w:jc w:val="left"/>
      </w:pPr>
      <w:r>
        <w:rPr>
          <w:rFonts w:ascii="Arial" w:cs="Arial" w:eastAsia="Arial" w:hAnsi="Arial"/>
          <w:sz w:val="22"/>
          <w:szCs w:val="22"/>
        </w:rPr>
        <w:t xml:space="preserve">	</w:t>
      </w:r>
      <m:oMath>
        <m:f>
          <m:num>
            <m:sSub>
              <m:sSubPr/>
              <m:e>
                <m:r>
                  <m:t>ε</m:t>
                </m:r>
              </m:e>
              <m:sub>
                <m:r>
                  <m:t>s</m:t>
                </m:r>
              </m:sub>
            </m:sSub>
          </m:num>
          <m:den>
            <m:sSub>
              <m:sSubPr/>
              <m:e>
                <m:r>
                  <m:t>ε</m:t>
                </m:r>
              </m:e>
              <m:sub>
                <m:r>
                  <m:t>∞</m:t>
                </m:r>
              </m:sub>
            </m:sSub>
          </m:den>
        </m:f>
        <m:r>
          <m:t> = </m:t>
        </m:r>
        <m:sSup>
          <m:sSupPr/>
          <m:e>
            <m:d>
              <m:dPr/>
              <m:e>
                <m:f>
                  <m:num>
                    <m:sSub>
                      <m:sSubPr/>
                      <m:e>
                        <m:r>
                          <m:t>ω</m:t>
                        </m:r>
                      </m:e>
                      <m:sub>
                        <m:r>
                          <m:t>LO</m:t>
                        </m:r>
                      </m:sub>
                    </m:sSub>
                  </m:num>
                  <m:den>
                    <m:sSub>
                      <m:sSubPr/>
                      <m:e>
                        <m:r>
                          <m:t>ω</m:t>
                        </m:r>
                      </m:e>
                      <m:sub>
                        <m:r>
                          <m:t>TO</m:t>
                        </m:r>
                      </m:sub>
                    </m:sSub>
                  </m:den>
                </m:f>
              </m:e>
            </m:d>
          </m:e>
          <m:sup>
            <m:r>
              <m:t>2</m:t>
            </m:r>
          </m:sup>
        </m:sSup>
      </m:oMath>
      <w:r>
        <w:rPr>
          <w:rFonts w:ascii="Arial" w:cs="Arial" w:eastAsia="Arial" w:hAnsi="Arial"/>
          <w:sz w:val="22"/>
          <w:szCs w:val="22"/>
        </w:rPr>
        <w:t xml:space="preserve">	</w:t>
      </w:r>
      <w:r>
        <w:rPr>
          <w:rFonts w:ascii="Arial" w:cs="Arial" w:eastAsia="Arial" w:hAnsi="Arial"/>
          <w:sz w:val="22"/>
          <w:szCs w:val="22"/>
        </w:rPr>
        <w:t xml:space="preserve">(2)</w:t>
      </w:r>
    </w:p>
    <w:p>
      <w:pPr>
        <w:spacing w:after="120" w:line="252" w:lineRule="auto"/>
        <w:jc w:val="left"/>
      </w:pPr>
      <w:r>
        <w:rPr>
          <w:rFonts w:ascii="Arial" w:cs="Arial" w:eastAsia="Arial" w:hAnsi="Arial"/>
          <w:b w:val="false"/>
          <w:bCs w:val="false"/>
          <w:i w:val="false"/>
          <w:iCs w:val="false"/>
          <w:sz w:val="22"/>
          <w:szCs w:val="22"/>
        </w:rPr>
        <w:t xml:space="preserve">so that soft-mode softening (</w:t>
      </w:r>
      <w:r>
        <w:rPr>
          <w:rFonts w:ascii="Arial" w:cs="Arial" w:eastAsia="Arial" w:hAnsi="Arial"/>
          <w:b w:val="false"/>
          <w:bCs w:val="false"/>
          <w:i/>
          <w:iCs/>
          <w:sz w:val="22"/>
          <w:szCs w:val="22"/>
        </w:rPr>
        <w:t xml:space="preserve">ω</w:t>
      </w:r>
      <w:r>
        <w:rPr>
          <w:rFonts w:ascii="Arial" w:cs="Arial" w:eastAsia="Arial" w:hAnsi="Arial"/>
          <w:b w:val="false"/>
          <w:bCs w:val="false"/>
          <w:i w:val="false"/>
          <w:iCs w:val="false"/>
          <w:sz w:val="22"/>
          <w:szCs w:val="22"/>
          <w:vertAlign w:val="subscript"/>
        </w:rPr>
        <w:t xml:space="preserve">TO</w:t>
      </w:r>
      <w:r>
        <w:rPr>
          <w:rFonts w:ascii="Arial" w:cs="Arial" w:eastAsia="Arial" w:hAnsi="Arial"/>
          <w:b w:val="false"/>
          <w:bCs w:val="false"/>
          <w:i w:val="false"/>
          <w:iCs w:val="false"/>
          <w:sz w:val="22"/>
          <w:szCs w:val="22"/>
        </w:rPr>
        <w:t xml:space="preserve"> → 0) amplifies </w:t>
      </w:r>
      <w:r>
        <w:rPr>
          <w:rFonts w:ascii="Arial" w:cs="Arial" w:eastAsia="Arial" w:hAnsi="Arial"/>
          <w:b w:val="false"/>
          <w:bCs w:val="false"/>
          <w:i/>
          <w:iCs/>
          <w:sz w:val="22"/>
          <w:szCs w:val="22"/>
        </w:rPr>
        <w:t xml:space="preserve">ε</w:t>
      </w:r>
      <w:r>
        <w:rPr>
          <w:rFonts w:ascii="Arial" w:cs="Arial" w:eastAsia="Arial" w:hAnsi="Arial"/>
          <w:b w:val="false"/>
          <w:bCs w:val="false"/>
          <w:i w:val="false"/>
          <w:iCs w:val="false"/>
          <w:sz w:val="22"/>
          <w:szCs w:val="22"/>
          <w:vertAlign w:val="subscript"/>
        </w:rPr>
        <w:t xml:space="preserve">s</w:t>
      </w:r>
      <w:r>
        <w:rPr>
          <w:rFonts w:ascii="Arial" w:cs="Arial" w:eastAsia="Arial" w:hAnsi="Arial"/>
          <w:b w:val="false"/>
          <w:bCs w:val="false"/>
          <w:i w:val="false"/>
          <w:iCs w:val="false"/>
          <w:sz w:val="22"/>
          <w:szCs w:val="22"/>
        </w:rPr>
        <w:t xml:space="preserve">. The Goldschmidt tolerance factor [11,46] governs the geometric stability of the perovskite cage:</w:t>
      </w:r>
    </w:p>
    <w:p>
      <w:pPr>
        <w:tabs>
          <w:tab w:val="center" w:pos="4824"/>
          <w:tab w:val="right" w:pos="9648"/>
        </w:tabs>
        <w:spacing w:after="240" w:before="240" w:line="360" w:lineRule="auto"/>
        <w:jc w:val="left"/>
      </w:pPr>
      <w:r>
        <w:rPr>
          <w:rFonts w:ascii="Arial" w:cs="Arial" w:eastAsia="Arial" w:hAnsi="Arial"/>
          <w:sz w:val="22"/>
          <w:szCs w:val="22"/>
        </w:rPr>
        <w:t xml:space="preserve">	</w:t>
      </w:r>
      <m:oMath>
        <m:r>
          <m:t>t = </m:t>
        </m:r>
        <m:f>
          <m:num>
            <m:sSub>
              <m:sSubPr/>
              <m:e>
                <m:r>
                  <m:t>r</m:t>
                </m:r>
              </m:e>
              <m:sub>
                <m:r>
                  <m:t>A</m:t>
                </m:r>
              </m:sub>
            </m:sSub>
            <m:r>
              <m:t> + </m:t>
            </m:r>
            <m:sSub>
              <m:sSubPr/>
              <m:e>
                <m:r>
                  <m:t>r</m:t>
                </m:r>
              </m:e>
              <m:sub>
                <m:r>
                  <m:t>O</m:t>
                </m:r>
              </m:sub>
            </m:sSub>
          </m:num>
          <m:den>
            <m:rad>
              <m:radPr>
                <m:degHide m:val="1"/>
              </m:radPr>
              <m:deg/>
              <m:e>
                <m:r>
                  <m:t>2</m:t>
                </m:r>
              </m:e>
            </m:rad>
            <m:r>
              <m:t> (</m:t>
            </m:r>
            <m:sSub>
              <m:sSubPr/>
              <m:e>
                <m:r>
                  <m:t>r</m:t>
                </m:r>
              </m:e>
              <m:sub>
                <m:r>
                  <m:t>B</m:t>
                </m:r>
              </m:sub>
            </m:sSub>
            <m:r>
              <m:t> + </m:t>
            </m:r>
            <m:sSub>
              <m:sSubPr/>
              <m:e>
                <m:r>
                  <m:t>r</m:t>
                </m:r>
              </m:e>
              <m:sub>
                <m:r>
                  <m:t>O</m:t>
                </m:r>
              </m:sub>
            </m:sSub>
            <m:r>
              <m:t>)</m:t>
            </m:r>
          </m:den>
        </m:f>
      </m:oMath>
      <w:r>
        <w:rPr>
          <w:rFonts w:ascii="Arial" w:cs="Arial" w:eastAsia="Arial" w:hAnsi="Arial"/>
          <w:sz w:val="22"/>
          <w:szCs w:val="22"/>
        </w:rPr>
        <w:t xml:space="preserve">	</w:t>
      </w:r>
      <w:r>
        <w:rPr>
          <w:rFonts w:ascii="Arial" w:cs="Arial" w:eastAsia="Arial" w:hAnsi="Arial"/>
          <w:sz w:val="22"/>
          <w:szCs w:val="22"/>
        </w:rPr>
        <w:t xml:space="preserve">(3)</w:t>
      </w:r>
    </w:p>
    <w:p>
      <w:pPr>
        <w:spacing w:after="120" w:line="252" w:lineRule="auto"/>
        <w:jc w:val="left"/>
      </w:pPr>
      <w:r>
        <w:rPr>
          <w:rFonts w:ascii="Arial" w:cs="Arial" w:eastAsia="Arial" w:hAnsi="Arial"/>
          <w:b w:val="false"/>
          <w:bCs w:val="false"/>
          <w:i w:val="false"/>
          <w:iCs w:val="false"/>
          <w:sz w:val="22"/>
          <w:szCs w:val="22"/>
        </w:rPr>
        <w:t xml:space="preserve">where </w:t>
      </w:r>
      <w:r>
        <w:rPr>
          <w:rFonts w:ascii="Arial" w:cs="Arial" w:eastAsia="Arial" w:hAnsi="Arial"/>
          <w:b w:val="false"/>
          <w:bCs w:val="false"/>
          <w:i/>
          <w:iCs/>
          <w:sz w:val="22"/>
          <w:szCs w:val="22"/>
        </w:rPr>
        <w:t xml:space="preserve">r</w:t>
      </w:r>
      <w:r>
        <w:rPr>
          <w:rFonts w:ascii="Arial" w:cs="Arial" w:eastAsia="Arial" w:hAnsi="Arial"/>
          <w:b w:val="false"/>
          <w:bCs w:val="false"/>
          <w:i w:val="false"/>
          <w:iCs w:val="false"/>
          <w:sz w:val="22"/>
          <w:szCs w:val="22"/>
          <w:vertAlign w:val="subscript"/>
        </w:rPr>
        <w:t xml:space="preserve">A</w:t>
      </w:r>
      <w:r>
        <w:rPr>
          <w:rFonts w:ascii="Arial" w:cs="Arial" w:eastAsia="Arial" w:hAnsi="Arial"/>
          <w:b w:val="false"/>
          <w:bCs w:val="false"/>
          <w:i w:val="false"/>
          <w:iCs w:val="false"/>
          <w:sz w:val="22"/>
          <w:szCs w:val="22"/>
        </w:rPr>
        <w:t xml:space="preserve">, </w:t>
      </w:r>
      <w:r>
        <w:rPr>
          <w:rFonts w:ascii="Arial" w:cs="Arial" w:eastAsia="Arial" w:hAnsi="Arial"/>
          <w:b w:val="false"/>
          <w:bCs w:val="false"/>
          <w:i/>
          <w:iCs/>
          <w:sz w:val="22"/>
          <w:szCs w:val="22"/>
        </w:rPr>
        <w:t xml:space="preserve">r</w:t>
      </w:r>
      <w:r>
        <w:rPr>
          <w:rFonts w:ascii="Arial" w:cs="Arial" w:eastAsia="Arial" w:hAnsi="Arial"/>
          <w:b w:val="false"/>
          <w:bCs w:val="false"/>
          <w:i w:val="false"/>
          <w:iCs w:val="false"/>
          <w:sz w:val="22"/>
          <w:szCs w:val="22"/>
          <w:vertAlign w:val="subscript"/>
        </w:rPr>
        <w:t xml:space="preserve">B</w:t>
      </w:r>
      <w:r>
        <w:rPr>
          <w:rFonts w:ascii="Arial" w:cs="Arial" w:eastAsia="Arial" w:hAnsi="Arial"/>
          <w:b w:val="false"/>
          <w:bCs w:val="false"/>
          <w:i w:val="false"/>
          <w:iCs w:val="false"/>
          <w:sz w:val="22"/>
          <w:szCs w:val="22"/>
        </w:rPr>
        <w:t xml:space="preserve"> and </w:t>
      </w:r>
      <w:r>
        <w:rPr>
          <w:rFonts w:ascii="Arial" w:cs="Arial" w:eastAsia="Arial" w:hAnsi="Arial"/>
          <w:b w:val="false"/>
          <w:bCs w:val="false"/>
          <w:i/>
          <w:iCs/>
          <w:sz w:val="22"/>
          <w:szCs w:val="22"/>
        </w:rPr>
        <w:t xml:space="preserve">r</w:t>
      </w:r>
      <w:r>
        <w:rPr>
          <w:rFonts w:ascii="Arial" w:cs="Arial" w:eastAsia="Arial" w:hAnsi="Arial"/>
          <w:b w:val="false"/>
          <w:bCs w:val="false"/>
          <w:i w:val="false"/>
          <w:iCs w:val="false"/>
          <w:sz w:val="22"/>
          <w:szCs w:val="22"/>
          <w:vertAlign w:val="subscript"/>
        </w:rPr>
        <w:t xml:space="preserve">O</w:t>
      </w:r>
      <w:r>
        <w:rPr>
          <w:rFonts w:ascii="Arial" w:cs="Arial" w:eastAsia="Arial" w:hAnsi="Arial"/>
          <w:b w:val="false"/>
          <w:bCs w:val="false"/>
          <w:i w:val="false"/>
          <w:iCs w:val="false"/>
          <w:sz w:val="22"/>
          <w:szCs w:val="22"/>
        </w:rPr>
        <w:t xml:space="preserve"> are Shannon ionic radii in the appropriate coordination. The Reaney regimes [4,12] partition tolerance-factor space into four classes governing the tilt geometry: Regime III for </w:t>
      </w:r>
      <w:r>
        <w:rPr>
          <w:rFonts w:ascii="Arial" w:cs="Arial" w:eastAsia="Arial" w:hAnsi="Arial"/>
          <w:b w:val="false"/>
          <w:bCs w:val="false"/>
          <w:i/>
          <w:iCs/>
          <w:sz w:val="22"/>
          <w:szCs w:val="22"/>
        </w:rPr>
        <w:t xml:space="preserve">t</w:t>
      </w:r>
      <w:r>
        <w:rPr>
          <w:rFonts w:ascii="Arial" w:cs="Arial" w:eastAsia="Arial" w:hAnsi="Arial"/>
          <w:b w:val="false"/>
          <w:bCs w:val="false"/>
          <w:i w:val="false"/>
          <w:iCs w:val="false"/>
          <w:sz w:val="22"/>
          <w:szCs w:val="22"/>
        </w:rPr>
        <w:t xml:space="preserve"> ≤ 0.965 (antiphase + in-phase tilts); Regime II for 0.965 &lt; </w:t>
      </w:r>
      <w:r>
        <w:rPr>
          <w:rFonts w:ascii="Arial" w:cs="Arial" w:eastAsia="Arial" w:hAnsi="Arial"/>
          <w:b w:val="false"/>
          <w:bCs w:val="false"/>
          <w:i/>
          <w:iCs/>
          <w:sz w:val="22"/>
          <w:szCs w:val="22"/>
        </w:rPr>
        <w:t xml:space="preserve">t</w:t>
      </w:r>
      <w:r>
        <w:rPr>
          <w:rFonts w:ascii="Arial" w:cs="Arial" w:eastAsia="Arial" w:hAnsi="Arial"/>
          <w:b w:val="false"/>
          <w:bCs w:val="false"/>
          <w:i w:val="false"/>
          <w:iCs w:val="false"/>
          <w:sz w:val="22"/>
          <w:szCs w:val="22"/>
        </w:rPr>
        <w:t xml:space="preserve"> ≤ 0.985 (antiphase tilts); Regime Ib for </w:t>
      </w:r>
      <w:r>
        <w:rPr>
          <w:rFonts w:ascii="Arial" w:cs="Arial" w:eastAsia="Arial" w:hAnsi="Arial"/>
          <w:b w:val="false"/>
          <w:bCs w:val="false"/>
          <w:i/>
          <w:iCs/>
          <w:sz w:val="22"/>
          <w:szCs w:val="22"/>
        </w:rPr>
        <w:t xml:space="preserve">t</w:t>
      </w:r>
      <w:r>
        <w:rPr>
          <w:rFonts w:ascii="Arial" w:cs="Arial" w:eastAsia="Arial" w:hAnsi="Arial"/>
          <w:b w:val="false"/>
          <w:bCs w:val="false"/>
          <w:i w:val="false"/>
          <w:iCs w:val="false"/>
          <w:sz w:val="22"/>
          <w:szCs w:val="22"/>
        </w:rPr>
        <w:t xml:space="preserve"> &gt; 0.985 with soft-mode proxy True (incipient ferroelectric); and Regime Ia for </w:t>
      </w:r>
      <w:r>
        <w:rPr>
          <w:rFonts w:ascii="Arial" w:cs="Arial" w:eastAsia="Arial" w:hAnsi="Arial"/>
          <w:b w:val="false"/>
          <w:bCs w:val="false"/>
          <w:i/>
          <w:iCs/>
          <w:sz w:val="22"/>
          <w:szCs w:val="22"/>
        </w:rPr>
        <w:t xml:space="preserve">t</w:t>
      </w:r>
      <w:r>
        <w:rPr>
          <w:rFonts w:ascii="Arial" w:cs="Arial" w:eastAsia="Arial" w:hAnsi="Arial"/>
          <w:b w:val="false"/>
          <w:bCs w:val="false"/>
          <w:i w:val="false"/>
          <w:iCs w:val="false"/>
          <w:sz w:val="22"/>
          <w:szCs w:val="22"/>
        </w:rPr>
        <w:t xml:space="preserve"> &gt; 0.985 with soft-mode proxy False (paraelectric, untilted). The soft-mode proxy is True if and only if the B-site is d</w:t>
      </w:r>
      <w:r>
        <w:rPr>
          <w:rFonts w:ascii="Arial" w:cs="Arial" w:eastAsia="Arial" w:hAnsi="Arial"/>
          <w:b w:val="false"/>
          <w:bCs w:val="false"/>
          <w:i w:val="false"/>
          <w:iCs w:val="false"/>
          <w:sz w:val="22"/>
          <w:szCs w:val="22"/>
          <w:vertAlign w:val="superscript"/>
        </w:rPr>
        <w:t xml:space="preserve">0</w:t>
      </w:r>
      <w:r>
        <w:rPr>
          <w:rFonts w:ascii="Arial" w:cs="Arial" w:eastAsia="Arial" w:hAnsi="Arial"/>
          <w:b w:val="false"/>
          <w:bCs w:val="false"/>
          <w:i w:val="false"/>
          <w:iCs w:val="false"/>
          <w:sz w:val="22"/>
          <w:szCs w:val="22"/>
        </w:rPr>
        <w:t xml:space="preserve"> (Ti/Nb/Ta/Zr) and the A-site is polarizable (Ba/Sr/Pb/Bi) — a working heuristic introduced in this work, combining the d</w:t>
      </w:r>
      <w:r>
        <w:rPr>
          <w:rFonts w:ascii="Arial" w:cs="Arial" w:eastAsia="Arial" w:hAnsi="Arial"/>
          <w:b w:val="false"/>
          <w:bCs w:val="false"/>
          <w:i w:val="false"/>
          <w:iCs w:val="false"/>
          <w:sz w:val="22"/>
          <w:szCs w:val="22"/>
          <w:vertAlign w:val="superscript"/>
        </w:rPr>
        <w:t xml:space="preserve">0</w:t>
      </w:r>
      <w:r>
        <w:rPr>
          <w:rFonts w:ascii="Arial" w:cs="Arial" w:eastAsia="Arial" w:hAnsi="Arial"/>
          <w:b w:val="false"/>
          <w:bCs w:val="false"/>
          <w:i w:val="false"/>
          <w:iCs w:val="false"/>
          <w:sz w:val="22"/>
          <w:szCs w:val="22"/>
        </w:rPr>
        <w:t xml:space="preserve"> requirement for soft-mode-driven ferroelectricity [13] with A-site polarizability [14,31]. (4)</w:t>
      </w:r>
    </w:p>
    <w:p>
      <w:pPr>
        <w:spacing w:after="160" w:before="220" w:line="480" w:lineRule="auto"/>
      </w:pPr>
      <w:r>
        <w:rPr>
          <w:rFonts w:ascii="Arial" w:cs="Arial" w:eastAsia="Arial" w:hAnsi="Arial"/>
          <w:b/>
          <w:bCs/>
          <w:i/>
          <w:iCs/>
          <w:color w:val="000000"/>
          <w:sz w:val="22"/>
          <w:szCs w:val="22"/>
        </w:rPr>
        <w:t xml:space="preserve">PCNN architecture</w:t>
      </w:r>
    </w:p>
    <w:p>
      <w:pPr>
        <w:spacing w:after="120" w:line="252" w:lineRule="auto"/>
        <w:jc w:val="left"/>
      </w:pPr>
      <w:r>
        <w:rPr>
          <w:rFonts w:ascii="Arial" w:cs="Arial" w:eastAsia="Arial" w:hAnsi="Arial"/>
          <w:b w:val="false"/>
          <w:bCs w:val="false"/>
          <w:i w:val="false"/>
          <w:iCs w:val="false"/>
          <w:sz w:val="22"/>
          <w:szCs w:val="22"/>
        </w:rPr>
        <w:t xml:space="preserve">The PCNN output is the additive decomposition</w:t>
      </w:r>
    </w:p>
    <w:p>
      <w:pPr>
        <w:tabs>
          <w:tab w:val="center" w:pos="4824"/>
          <w:tab w:val="right" w:pos="9648"/>
        </w:tabs>
        <w:spacing w:after="240" w:before="240" w:line="360" w:lineRule="auto"/>
        <w:jc w:val="left"/>
      </w:pPr>
      <w:r>
        <w:rPr>
          <w:rFonts w:ascii="Arial" w:cs="Arial" w:eastAsia="Arial" w:hAnsi="Arial"/>
          <w:sz w:val="22"/>
          <w:szCs w:val="22"/>
        </w:rPr>
        <w:t xml:space="preserve">	</w:t>
      </w:r>
      <w:r>
        <w:rPr>
          <w:rFonts w:ascii="Arial" w:cs="Arial" w:eastAsia="Arial" w:hAnsi="Arial"/>
          <w:b w:val="false"/>
          <w:bCs w:val="false"/>
          <w:i/>
          <w:iCs/>
          <w:sz w:val="22"/>
          <w:szCs w:val="22"/>
        </w:rPr>
        <w:t xml:space="preserve">ε</w:t>
      </w:r>
      <w:r>
        <w:rPr>
          <w:rFonts w:ascii="Arial" w:cs="Arial" w:eastAsia="Arial" w:hAnsi="Arial"/>
          <w:b w:val="false"/>
          <w:bCs w:val="false"/>
          <w:i w:val="false"/>
          <w:iCs w:val="false"/>
          <w:sz w:val="22"/>
          <w:szCs w:val="22"/>
          <w:vertAlign w:val="subscript"/>
        </w:rPr>
        <w:t xml:space="preserve">r</w:t>
      </w:r>
      <w:r>
        <w:rPr>
          <w:rFonts w:ascii="Arial" w:cs="Arial" w:eastAsia="Arial" w:hAnsi="Arial"/>
          <w:b w:val="false"/>
          <w:bCs w:val="false"/>
          <w:i w:val="false"/>
          <w:iCs w:val="false"/>
          <w:sz w:val="22"/>
          <w:szCs w:val="22"/>
        </w:rPr>
        <w:t xml:space="preserve"> = </w:t>
      </w:r>
      <w:r>
        <w:rPr>
          <w:rFonts w:ascii="Arial" w:cs="Arial" w:eastAsia="Arial" w:hAnsi="Arial"/>
          <w:b w:val="false"/>
          <w:bCs w:val="false"/>
          <w:i/>
          <w:iCs/>
          <w:sz w:val="22"/>
          <w:szCs w:val="22"/>
        </w:rPr>
        <w:t xml:space="preserve">ε</w:t>
      </w:r>
      <w:r>
        <w:rPr>
          <w:rFonts w:ascii="Arial" w:cs="Arial" w:eastAsia="Arial" w:hAnsi="Arial"/>
          <w:b w:val="false"/>
          <w:bCs w:val="false"/>
          <w:i w:val="false"/>
          <w:iCs w:val="false"/>
          <w:sz w:val="22"/>
          <w:szCs w:val="22"/>
          <w:vertAlign w:val="subscript"/>
        </w:rPr>
        <w:t xml:space="preserve">r,CM</w:t>
      </w:r>
      <w:r>
        <w:rPr>
          <w:rFonts w:ascii="Arial" w:cs="Arial" w:eastAsia="Arial" w:hAnsi="Arial"/>
          <w:b w:val="false"/>
          <w:bCs w:val="false"/>
          <w:i w:val="false"/>
          <w:iCs w:val="false"/>
          <w:sz w:val="22"/>
          <w:szCs w:val="22"/>
        </w:rPr>
        <w:t xml:space="preserve"> + </w:t>
      </w:r>
      <w:r>
        <w:rPr>
          <w:rFonts w:ascii="Arial" w:cs="Arial" w:eastAsia="Arial" w:hAnsi="Arial"/>
          <w:b w:val="false"/>
          <w:bCs w:val="false"/>
          <w:i/>
          <w:iCs/>
          <w:sz w:val="22"/>
          <w:szCs w:val="22"/>
        </w:rPr>
        <w:t xml:space="preserve">δ</w:t>
      </w:r>
      <w:r>
        <w:rPr>
          <w:rFonts w:ascii="Arial" w:cs="Arial" w:eastAsia="Arial" w:hAnsi="Arial"/>
          <w:b w:val="false"/>
          <w:bCs w:val="false"/>
          <w:i w:val="false"/>
          <w:iCs w:val="false"/>
          <w:sz w:val="22"/>
          <w:szCs w:val="22"/>
          <w:vertAlign w:val="subscript"/>
        </w:rPr>
        <w:t xml:space="preserve">LST</w:t>
      </w:r>
      <w:r>
        <w:rPr>
          <w:rFonts w:ascii="Arial" w:cs="Arial" w:eastAsia="Arial" w:hAnsi="Arial"/>
          <w:b w:val="false"/>
          <w:bCs w:val="false"/>
          <w:i w:val="false"/>
          <w:iCs w:val="false"/>
          <w:sz w:val="22"/>
          <w:szCs w:val="22"/>
        </w:rPr>
        <w:t xml:space="preserve"> + </w:t>
      </w:r>
      <w:r>
        <w:rPr>
          <w:rFonts w:ascii="Arial" w:cs="Arial" w:eastAsia="Arial" w:hAnsi="Arial"/>
          <w:b w:val="false"/>
          <w:bCs w:val="false"/>
          <w:i/>
          <w:iCs/>
          <w:sz w:val="22"/>
          <w:szCs w:val="22"/>
        </w:rPr>
        <w:t xml:space="preserve">δ</w:t>
      </w:r>
      <w:r>
        <w:rPr>
          <w:rFonts w:ascii="Arial" w:cs="Arial" w:eastAsia="Arial" w:hAnsi="Arial"/>
          <w:b w:val="false"/>
          <w:bCs w:val="false"/>
          <w:i w:val="false"/>
          <w:iCs w:val="false"/>
          <w:sz w:val="22"/>
          <w:szCs w:val="22"/>
          <w:vertAlign w:val="subscript"/>
        </w:rPr>
        <w:t xml:space="preserve">tilt</w:t>
      </w:r>
      <w:r>
        <w:rPr>
          <w:rFonts w:ascii="Arial" w:cs="Arial" w:eastAsia="Arial" w:hAnsi="Arial"/>
          <w:b w:val="false"/>
          <w:bCs w:val="false"/>
          <w:i w:val="false"/>
          <w:iCs w:val="false"/>
          <w:sz w:val="22"/>
          <w:szCs w:val="22"/>
        </w:rPr>
        <w:t xml:space="preserve"> + </w:t>
      </w:r>
      <w:r>
        <w:rPr>
          <w:rFonts w:ascii="Arial" w:cs="Arial" w:eastAsia="Arial" w:hAnsi="Arial"/>
          <w:b w:val="false"/>
          <w:bCs w:val="false"/>
          <w:i/>
          <w:iCs/>
          <w:sz w:val="22"/>
          <w:szCs w:val="22"/>
        </w:rPr>
        <w:t xml:space="preserve">δ</w:t>
      </w:r>
      <w:r>
        <w:rPr>
          <w:rFonts w:ascii="Arial" w:cs="Arial" w:eastAsia="Arial" w:hAnsi="Arial"/>
          <w:b w:val="false"/>
          <w:bCs w:val="false"/>
          <w:i w:val="false"/>
          <w:iCs w:val="false"/>
          <w:sz w:val="22"/>
          <w:szCs w:val="22"/>
          <w:vertAlign w:val="subscript"/>
        </w:rPr>
        <w:t xml:space="preserve">res</w:t>
      </w:r>
      <w:r>
        <w:rPr>
          <w:rFonts w:ascii="Arial" w:cs="Arial" w:eastAsia="Arial" w:hAnsi="Arial"/>
          <w:sz w:val="22"/>
          <w:szCs w:val="22"/>
        </w:rPr>
        <w:t xml:space="preserve">	</w:t>
      </w:r>
      <w:r>
        <w:rPr>
          <w:rFonts w:ascii="Arial" w:cs="Arial" w:eastAsia="Arial" w:hAnsi="Arial"/>
          <w:sz w:val="22"/>
          <w:szCs w:val="22"/>
        </w:rPr>
        <w:t xml:space="preserve">(5)</w:t>
      </w:r>
    </w:p>
    <w:p>
      <w:pPr>
        <w:spacing w:after="120" w:line="252" w:lineRule="auto"/>
        <w:jc w:val="left"/>
      </w:pPr>
      <w:r>
        <w:rPr>
          <w:rFonts w:ascii="Arial" w:cs="Arial" w:eastAsia="Arial" w:hAnsi="Arial"/>
          <w:b w:val="false"/>
          <w:bCs w:val="false"/>
          <w:i w:val="false"/>
          <w:iCs w:val="false"/>
          <w:sz w:val="22"/>
          <w:szCs w:val="22"/>
        </w:rPr>
        <w:t xml:space="preserve">where </w:t>
      </w:r>
      <w:r>
        <w:rPr>
          <w:rFonts w:ascii="Arial" w:cs="Arial" w:eastAsia="Arial" w:hAnsi="Arial"/>
          <w:b w:val="false"/>
          <w:bCs w:val="false"/>
          <w:i/>
          <w:iCs/>
          <w:sz w:val="22"/>
          <w:szCs w:val="22"/>
        </w:rPr>
        <w:t xml:space="preserve">ε</w:t>
      </w:r>
      <w:r>
        <w:rPr>
          <w:rFonts w:ascii="Arial" w:cs="Arial" w:eastAsia="Arial" w:hAnsi="Arial"/>
          <w:b w:val="false"/>
          <w:bCs w:val="false"/>
          <w:i w:val="false"/>
          <w:iCs w:val="false"/>
          <w:sz w:val="22"/>
          <w:szCs w:val="22"/>
          <w:vertAlign w:val="subscript"/>
        </w:rPr>
        <w:t xml:space="preserve">r,CM</w:t>
      </w:r>
      <w:r>
        <w:rPr>
          <w:rFonts w:ascii="Arial" w:cs="Arial" w:eastAsia="Arial" w:hAnsi="Arial"/>
          <w:b w:val="false"/>
          <w:bCs w:val="false"/>
          <w:i w:val="false"/>
          <w:iCs w:val="false"/>
          <w:sz w:val="22"/>
          <w:szCs w:val="22"/>
        </w:rPr>
        <w:t xml:space="preserve"> is analytically evaluated from eq. (1) (parameter-free), and the correction branches are constrained as:</w:t>
      </w:r>
    </w:p>
    <w:p>
      <w:pPr>
        <w:tabs>
          <w:tab w:val="center" w:pos="4824"/>
          <w:tab w:val="right" w:pos="9648"/>
        </w:tabs>
        <w:spacing w:after="240" w:before="240" w:line="360" w:lineRule="auto"/>
        <w:jc w:val="left"/>
      </w:pPr>
      <w:r>
        <w:rPr>
          <w:rFonts w:ascii="Arial" w:cs="Arial" w:eastAsia="Arial" w:hAnsi="Arial"/>
          <w:sz w:val="22"/>
          <w:szCs w:val="22"/>
        </w:rPr>
        <w:t xml:space="preserve">	</w:t>
      </w:r>
      <w:r>
        <w:rPr>
          <w:rFonts w:ascii="Arial" w:cs="Arial" w:eastAsia="Arial" w:hAnsi="Arial"/>
          <w:b w:val="false"/>
          <w:bCs w:val="false"/>
          <w:i/>
          <w:iCs/>
          <w:sz w:val="22"/>
          <w:szCs w:val="22"/>
        </w:rPr>
        <w:t xml:space="preserve">δ</w:t>
      </w:r>
      <w:r>
        <w:rPr>
          <w:rFonts w:ascii="Arial" w:cs="Arial" w:eastAsia="Arial" w:hAnsi="Arial"/>
          <w:b w:val="false"/>
          <w:bCs w:val="false"/>
          <w:i w:val="false"/>
          <w:iCs w:val="false"/>
          <w:sz w:val="22"/>
          <w:szCs w:val="22"/>
          <w:vertAlign w:val="subscript"/>
        </w:rPr>
        <w:t xml:space="preserve">LST</w:t>
      </w:r>
      <w:r>
        <w:rPr>
          <w:rFonts w:ascii="Arial" w:cs="Arial" w:eastAsia="Arial" w:hAnsi="Arial"/>
          <w:b w:val="false"/>
          <w:bCs w:val="false"/>
          <w:i w:val="false"/>
          <w:iCs w:val="false"/>
          <w:sz w:val="22"/>
          <w:szCs w:val="22"/>
        </w:rPr>
        <w:t xml:space="preserve"> = Softplus(</w:t>
      </w:r>
      <w:r>
        <w:rPr>
          <w:rFonts w:ascii="Arial" w:cs="Arial" w:eastAsia="Arial" w:hAnsi="Arial"/>
          <w:b w:val="false"/>
          <w:bCs w:val="false"/>
          <w:i/>
          <w:iCs/>
          <w:sz w:val="22"/>
          <w:szCs w:val="22"/>
        </w:rPr>
        <w:t xml:space="preserve">h</w:t>
      </w:r>
      <w:r>
        <w:rPr>
          <w:rFonts w:ascii="Arial" w:cs="Arial" w:eastAsia="Arial" w:hAnsi="Arial"/>
          <w:b w:val="false"/>
          <w:bCs w:val="false"/>
          <w:i w:val="false"/>
          <w:iCs w:val="false"/>
          <w:sz w:val="22"/>
          <w:szCs w:val="22"/>
          <w:vertAlign w:val="subscript"/>
        </w:rPr>
        <w:t xml:space="preserve">LST</w:t>
      </w:r>
      <w:r>
        <w:rPr>
          <w:rFonts w:ascii="Arial" w:cs="Arial" w:eastAsia="Arial" w:hAnsi="Arial"/>
          <w:b w:val="false"/>
          <w:bCs w:val="false"/>
          <w:i w:val="false"/>
          <w:iCs w:val="false"/>
          <w:sz w:val="22"/>
          <w:szCs w:val="22"/>
        </w:rPr>
        <w:t xml:space="preserve">)</w:t>
      </w:r>
      <w:r>
        <w:rPr>
          <w:rFonts w:ascii="Arial" w:cs="Arial" w:eastAsia="Arial" w:hAnsi="Arial"/>
          <w:sz w:val="22"/>
          <w:szCs w:val="22"/>
        </w:rPr>
        <w:t xml:space="preserve">	</w:t>
      </w:r>
      <w:r>
        <w:rPr>
          <w:rFonts w:ascii="Arial" w:cs="Arial" w:eastAsia="Arial" w:hAnsi="Arial"/>
          <w:sz w:val="22"/>
          <w:szCs w:val="22"/>
        </w:rPr>
        <w:t xml:space="preserve">(6)</w:t>
      </w:r>
    </w:p>
    <w:p>
      <w:pPr>
        <w:tabs>
          <w:tab w:val="center" w:pos="4824"/>
          <w:tab w:val="right" w:pos="9648"/>
        </w:tabs>
        <w:spacing w:after="240" w:before="240" w:line="360" w:lineRule="auto"/>
        <w:jc w:val="left"/>
      </w:pPr>
      <w:r>
        <w:rPr>
          <w:rFonts w:ascii="Arial" w:cs="Arial" w:eastAsia="Arial" w:hAnsi="Arial"/>
          <w:sz w:val="22"/>
          <w:szCs w:val="22"/>
        </w:rPr>
        <w:t xml:space="preserve">	</w:t>
      </w:r>
      <w:r>
        <w:rPr>
          <w:rFonts w:ascii="Arial" w:cs="Arial" w:eastAsia="Arial" w:hAnsi="Arial"/>
          <w:b w:val="false"/>
          <w:bCs w:val="false"/>
          <w:i/>
          <w:iCs/>
          <w:sz w:val="22"/>
          <w:szCs w:val="22"/>
        </w:rPr>
        <w:t xml:space="preserve">δ</w:t>
      </w:r>
      <w:r>
        <w:rPr>
          <w:rFonts w:ascii="Arial" w:cs="Arial" w:eastAsia="Arial" w:hAnsi="Arial"/>
          <w:b w:val="false"/>
          <w:bCs w:val="false"/>
          <w:i w:val="false"/>
          <w:iCs w:val="false"/>
          <w:sz w:val="22"/>
          <w:szCs w:val="22"/>
          <w:vertAlign w:val="subscript"/>
        </w:rPr>
        <w:t xml:space="preserve">tilt</w:t>
      </w:r>
      <w:r>
        <w:rPr>
          <w:rFonts w:ascii="Arial" w:cs="Arial" w:eastAsia="Arial" w:hAnsi="Arial"/>
          <w:b w:val="false"/>
          <w:bCs w:val="false"/>
          <w:i w:val="false"/>
          <w:iCs w:val="false"/>
          <w:sz w:val="22"/>
          <w:szCs w:val="22"/>
        </w:rPr>
        <w:t xml:space="preserve"> = −Softplus(</w:t>
      </w:r>
      <w:r>
        <w:rPr>
          <w:rFonts w:ascii="Arial" w:cs="Arial" w:eastAsia="Arial" w:hAnsi="Arial"/>
          <w:b w:val="false"/>
          <w:bCs w:val="false"/>
          <w:i/>
          <w:iCs/>
          <w:sz w:val="22"/>
          <w:szCs w:val="22"/>
        </w:rPr>
        <w:t xml:space="preserve">h</w:t>
      </w:r>
      <w:r>
        <w:rPr>
          <w:rFonts w:ascii="Arial" w:cs="Arial" w:eastAsia="Arial" w:hAnsi="Arial"/>
          <w:b w:val="false"/>
          <w:bCs w:val="false"/>
          <w:i w:val="false"/>
          <w:iCs w:val="false"/>
          <w:sz w:val="22"/>
          <w:szCs w:val="22"/>
          <w:vertAlign w:val="subscript"/>
        </w:rPr>
        <w:t xml:space="preserve">tilt</w:t>
      </w:r>
      <w:r>
        <w:rPr>
          <w:rFonts w:ascii="Arial" w:cs="Arial" w:eastAsia="Arial" w:hAnsi="Arial"/>
          <w:b w:val="false"/>
          <w:bCs w:val="false"/>
          <w:i w:val="false"/>
          <w:iCs w:val="false"/>
          <w:sz w:val="22"/>
          <w:szCs w:val="22"/>
        </w:rPr>
        <w:t xml:space="preserve">)</w:t>
      </w:r>
      <w:r>
        <w:rPr>
          <w:rFonts w:ascii="Arial" w:cs="Arial" w:eastAsia="Arial" w:hAnsi="Arial"/>
          <w:sz w:val="22"/>
          <w:szCs w:val="22"/>
        </w:rPr>
        <w:t xml:space="preserve">	</w:t>
      </w:r>
      <w:r>
        <w:rPr>
          <w:rFonts w:ascii="Arial" w:cs="Arial" w:eastAsia="Arial" w:hAnsi="Arial"/>
          <w:sz w:val="22"/>
          <w:szCs w:val="22"/>
        </w:rPr>
        <w:t xml:space="preserve">(7)</w:t>
      </w:r>
    </w:p>
    <w:p>
      <w:pPr>
        <w:tabs>
          <w:tab w:val="center" w:pos="4824"/>
          <w:tab w:val="right" w:pos="9648"/>
        </w:tabs>
        <w:spacing w:after="240" w:before="240" w:line="360" w:lineRule="auto"/>
        <w:jc w:val="left"/>
      </w:pPr>
      <w:r>
        <w:rPr>
          <w:rFonts w:ascii="Arial" w:cs="Arial" w:eastAsia="Arial" w:hAnsi="Arial"/>
          <w:sz w:val="22"/>
          <w:szCs w:val="22"/>
        </w:rPr>
        <w:t xml:space="preserve">	</w:t>
      </w:r>
      <w:r>
        <w:rPr>
          <w:rFonts w:ascii="Arial" w:cs="Arial" w:eastAsia="Arial" w:hAnsi="Arial"/>
          <w:b w:val="false"/>
          <w:bCs w:val="false"/>
          <w:i/>
          <w:iCs/>
          <w:sz w:val="22"/>
          <w:szCs w:val="22"/>
        </w:rPr>
        <w:t xml:space="preserve">δ</w:t>
      </w:r>
      <w:r>
        <w:rPr>
          <w:rFonts w:ascii="Arial" w:cs="Arial" w:eastAsia="Arial" w:hAnsi="Arial"/>
          <w:b w:val="false"/>
          <w:bCs w:val="false"/>
          <w:i w:val="false"/>
          <w:iCs w:val="false"/>
          <w:sz w:val="22"/>
          <w:szCs w:val="22"/>
          <w:vertAlign w:val="subscript"/>
        </w:rPr>
        <w:t xml:space="preserve">res</w:t>
      </w:r>
      <w:r>
        <w:rPr>
          <w:rFonts w:ascii="Arial" w:cs="Arial" w:eastAsia="Arial" w:hAnsi="Arial"/>
          <w:b w:val="false"/>
          <w:bCs w:val="false"/>
          <w:i w:val="false"/>
          <w:iCs w:val="false"/>
          <w:sz w:val="22"/>
          <w:szCs w:val="22"/>
        </w:rPr>
        <w:t xml:space="preserve"> = </w:t>
      </w:r>
      <w:r>
        <w:rPr>
          <w:rFonts w:ascii="Arial" w:cs="Arial" w:eastAsia="Arial" w:hAnsi="Arial"/>
          <w:b w:val="false"/>
          <w:bCs w:val="false"/>
          <w:i/>
          <w:iCs/>
          <w:sz w:val="22"/>
          <w:szCs w:val="22"/>
        </w:rPr>
        <w:t xml:space="preserve">σ</w:t>
      </w:r>
      <w:r>
        <w:rPr>
          <w:rFonts w:ascii="Arial" w:cs="Arial" w:eastAsia="Arial" w:hAnsi="Arial"/>
          <w:b w:val="false"/>
          <w:bCs w:val="false"/>
          <w:i w:val="false"/>
          <w:iCs w:val="false"/>
          <w:sz w:val="22"/>
          <w:szCs w:val="22"/>
          <w:vertAlign w:val="subscript"/>
        </w:rPr>
        <w:t xml:space="preserve">conf</w:t>
      </w:r>
      <w:r>
        <w:rPr>
          <w:rFonts w:ascii="Arial" w:cs="Arial" w:eastAsia="Arial" w:hAnsi="Arial"/>
          <w:b w:val="false"/>
          <w:bCs w:val="false"/>
          <w:i w:val="false"/>
          <w:iCs w:val="false"/>
          <w:sz w:val="22"/>
          <w:szCs w:val="22"/>
        </w:rPr>
        <w:t xml:space="preserve"> · tanh(</w:t>
      </w:r>
      <w:r>
        <w:rPr>
          <w:rFonts w:ascii="Arial" w:cs="Arial" w:eastAsia="Arial" w:hAnsi="Arial"/>
          <w:b w:val="false"/>
          <w:bCs w:val="false"/>
          <w:i/>
          <w:iCs/>
          <w:sz w:val="22"/>
          <w:szCs w:val="22"/>
        </w:rPr>
        <w:t xml:space="preserve">h</w:t>
      </w:r>
      <w:r>
        <w:rPr>
          <w:rFonts w:ascii="Arial" w:cs="Arial" w:eastAsia="Arial" w:hAnsi="Arial"/>
          <w:b w:val="false"/>
          <w:bCs w:val="false"/>
          <w:i w:val="false"/>
          <w:iCs w:val="false"/>
          <w:sz w:val="22"/>
          <w:szCs w:val="22"/>
          <w:vertAlign w:val="subscript"/>
        </w:rPr>
        <w:t xml:space="preserve">res</w:t>
      </w:r>
      <w:r>
        <w:rPr>
          <w:rFonts w:ascii="Arial" w:cs="Arial" w:eastAsia="Arial" w:hAnsi="Arial"/>
          <w:b w:val="false"/>
          <w:bCs w:val="false"/>
          <w:i w:val="false"/>
          <w:iCs w:val="false"/>
          <w:sz w:val="22"/>
          <w:szCs w:val="22"/>
        </w:rPr>
        <w:t xml:space="preserve">) · </w:t>
      </w:r>
      <w:r>
        <w:rPr>
          <w:rFonts w:ascii="Arial" w:cs="Arial" w:eastAsia="Arial" w:hAnsi="Arial"/>
          <w:b w:val="false"/>
          <w:bCs w:val="false"/>
          <w:i/>
          <w:iCs/>
          <w:sz w:val="22"/>
          <w:szCs w:val="22"/>
        </w:rPr>
        <w:t xml:space="preserve">s</w:t>
      </w:r>
      <w:r>
        <w:rPr>
          <w:rFonts w:ascii="Arial" w:cs="Arial" w:eastAsia="Arial" w:hAnsi="Arial"/>
          <w:b w:val="false"/>
          <w:bCs w:val="false"/>
          <w:i w:val="false"/>
          <w:iCs w:val="false"/>
          <w:sz w:val="22"/>
          <w:szCs w:val="22"/>
          <w:vertAlign w:val="subscript"/>
        </w:rPr>
        <w:t xml:space="preserve">res</w:t>
      </w:r>
      <w:r>
        <w:rPr>
          <w:rFonts w:ascii="Arial" w:cs="Arial" w:eastAsia="Arial" w:hAnsi="Arial"/>
          <w:sz w:val="22"/>
          <w:szCs w:val="22"/>
        </w:rPr>
        <w:t xml:space="preserve">	</w:t>
      </w:r>
      <w:r>
        <w:rPr>
          <w:rFonts w:ascii="Arial" w:cs="Arial" w:eastAsia="Arial" w:hAnsi="Arial"/>
          <w:sz w:val="22"/>
          <w:szCs w:val="22"/>
        </w:rPr>
        <w:t xml:space="preserve">(8)</w:t>
      </w:r>
    </w:p>
    <w:p>
      <w:pPr>
        <w:spacing w:after="120" w:line="252" w:lineRule="auto"/>
        <w:jc w:val="left"/>
      </w:pPr>
      <w:r>
        <w:rPr>
          <w:rFonts w:ascii="Arial" w:cs="Arial" w:eastAsia="Arial" w:hAnsi="Arial"/>
          <w:b w:val="false"/>
          <w:bCs w:val="false"/>
          <w:i w:val="false"/>
          <w:iCs w:val="false"/>
          <w:sz w:val="22"/>
          <w:szCs w:val="22"/>
        </w:rPr>
        <w:t xml:space="preserve">where </w:t>
      </w:r>
      <w:r>
        <w:rPr>
          <w:rFonts w:ascii="Arial" w:cs="Arial" w:eastAsia="Arial" w:hAnsi="Arial"/>
          <w:b w:val="false"/>
          <w:bCs w:val="false"/>
          <w:i/>
          <w:iCs/>
          <w:sz w:val="22"/>
          <w:szCs w:val="22"/>
        </w:rPr>
        <w:t xml:space="preserve">s</w:t>
      </w:r>
      <w:r>
        <w:rPr>
          <w:rFonts w:ascii="Arial" w:cs="Arial" w:eastAsia="Arial" w:hAnsi="Arial"/>
          <w:b w:val="false"/>
          <w:bCs w:val="false"/>
          <w:i w:val="false"/>
          <w:iCs w:val="false"/>
          <w:sz w:val="22"/>
          <w:szCs w:val="22"/>
          <w:vertAlign w:val="subscript"/>
        </w:rPr>
        <w:t xml:space="preserve">res</w:t>
      </w:r>
      <w:r>
        <w:rPr>
          <w:rFonts w:ascii="Arial" w:cs="Arial" w:eastAsia="Arial" w:hAnsi="Arial"/>
          <w:b w:val="false"/>
          <w:bCs w:val="false"/>
          <w:i w:val="false"/>
          <w:iCs w:val="false"/>
          <w:sz w:val="22"/>
          <w:szCs w:val="22"/>
        </w:rPr>
        <w:t xml:space="preserve"> ≈ 48.2 is a learned scale (initialised at 44.9) and </w:t>
      </w:r>
      <w:r>
        <w:rPr>
          <w:rFonts w:ascii="Arial" w:cs="Arial" w:eastAsia="Arial" w:hAnsi="Arial"/>
          <w:b w:val="false"/>
          <w:bCs w:val="false"/>
          <w:i/>
          <w:iCs/>
          <w:sz w:val="22"/>
          <w:szCs w:val="22"/>
        </w:rPr>
        <w:t xml:space="preserve">σ</w:t>
      </w:r>
      <w:r>
        <w:rPr>
          <w:rFonts w:ascii="Arial" w:cs="Arial" w:eastAsia="Arial" w:hAnsi="Arial"/>
          <w:b w:val="false"/>
          <w:bCs w:val="false"/>
          <w:i w:val="false"/>
          <w:iCs w:val="false"/>
          <w:sz w:val="22"/>
          <w:szCs w:val="22"/>
          <w:vertAlign w:val="subscript"/>
        </w:rPr>
        <w:t xml:space="preserve">conf</w:t>
      </w:r>
      <w:r>
        <w:rPr>
          <w:rFonts w:ascii="Arial" w:cs="Arial" w:eastAsia="Arial" w:hAnsi="Arial"/>
          <w:b w:val="false"/>
          <w:bCs w:val="false"/>
          <w:i w:val="false"/>
          <w:iCs w:val="false"/>
          <w:sz w:val="22"/>
          <w:szCs w:val="22"/>
        </w:rPr>
        <w:t xml:space="preserve"> is a fixed, physics-based confidence gate:</w:t>
      </w:r>
    </w:p>
    <w:p>
      <w:pPr>
        <w:tabs>
          <w:tab w:val="center" w:pos="4824"/>
          <w:tab w:val="right" w:pos="9648"/>
        </w:tabs>
        <w:spacing w:after="240" w:before="240" w:line="360" w:lineRule="auto"/>
        <w:jc w:val="left"/>
      </w:pPr>
      <w:r>
        <w:rPr>
          <w:rFonts w:ascii="Arial" w:cs="Arial" w:eastAsia="Arial" w:hAnsi="Arial"/>
          <w:sz w:val="22"/>
          <w:szCs w:val="22"/>
        </w:rPr>
        <w:t xml:space="preserve">	</w:t>
      </w:r>
      <w:r>
        <w:rPr>
          <w:rFonts w:ascii="Arial" w:cs="Arial" w:eastAsia="Arial" w:hAnsi="Arial"/>
          <w:b w:val="false"/>
          <w:bCs w:val="false"/>
          <w:i/>
          <w:iCs/>
          <w:sz w:val="22"/>
          <w:szCs w:val="22"/>
        </w:rPr>
        <w:t xml:space="preserve">σ</w:t>
      </w:r>
      <w:r>
        <w:rPr>
          <w:rFonts w:ascii="Arial" w:cs="Arial" w:eastAsia="Arial" w:hAnsi="Arial"/>
          <w:b w:val="false"/>
          <w:bCs w:val="false"/>
          <w:i w:val="false"/>
          <w:iCs w:val="false"/>
          <w:sz w:val="22"/>
          <w:szCs w:val="22"/>
          <w:vertAlign w:val="subscript"/>
        </w:rPr>
        <w:t xml:space="preserve">conf</w:t>
      </w:r>
      <w:r>
        <w:rPr>
          <w:rFonts w:ascii="Arial" w:cs="Arial" w:eastAsia="Arial" w:hAnsi="Arial"/>
          <w:b w:val="false"/>
          <w:bCs w:val="false"/>
          <w:i w:val="false"/>
          <w:iCs w:val="false"/>
          <w:sz w:val="22"/>
          <w:szCs w:val="22"/>
        </w:rPr>
        <w:t xml:space="preserve"> = sigmoid(</w:t>
      </w:r>
      <w:r>
        <w:rPr>
          <w:rFonts w:ascii="Arial" w:cs="Arial" w:eastAsia="Arial" w:hAnsi="Arial"/>
          <w:b w:val="false"/>
          <w:bCs w:val="false"/>
          <w:i/>
          <w:iCs/>
          <w:sz w:val="22"/>
          <w:szCs w:val="22"/>
        </w:rPr>
        <w:t xml:space="preserve">β</w:t>
      </w:r>
      <w:r>
        <w:rPr>
          <w:rFonts w:ascii="Arial" w:cs="Arial" w:eastAsia="Arial" w:hAnsi="Arial"/>
          <w:b w:val="false"/>
          <w:bCs w:val="false"/>
          <w:i w:val="false"/>
          <w:iCs w:val="false"/>
          <w:sz w:val="22"/>
          <w:szCs w:val="22"/>
          <w:vertAlign w:val="subscript"/>
        </w:rPr>
        <w:t xml:space="preserve">0</w:t>
      </w:r>
      <w:r>
        <w:rPr>
          <w:rFonts w:ascii="Arial" w:cs="Arial" w:eastAsia="Arial" w:hAnsi="Arial"/>
          <w:b w:val="false"/>
          <w:bCs w:val="false"/>
          <w:i w:val="false"/>
          <w:iCs w:val="false"/>
          <w:sz w:val="22"/>
          <w:szCs w:val="22"/>
        </w:rPr>
        <w:t xml:space="preserve"> + </w:t>
      </w:r>
      <w:r>
        <w:rPr>
          <w:rFonts w:ascii="Arial" w:cs="Arial" w:eastAsia="Arial" w:hAnsi="Arial"/>
          <w:b w:val="false"/>
          <w:bCs w:val="false"/>
          <w:i/>
          <w:iCs/>
          <w:sz w:val="22"/>
          <w:szCs w:val="22"/>
        </w:rPr>
        <w:t xml:space="preserve">β</w:t>
      </w:r>
      <w:r>
        <w:rPr>
          <w:rFonts w:ascii="Arial" w:cs="Arial" w:eastAsia="Arial" w:hAnsi="Arial"/>
          <w:b w:val="false"/>
          <w:bCs w:val="false"/>
          <w:i w:val="false"/>
          <w:iCs w:val="false"/>
          <w:sz w:val="22"/>
          <w:szCs w:val="22"/>
          <w:vertAlign w:val="subscript"/>
        </w:rPr>
        <w:t xml:space="preserve">1</w:t>
      </w:r>
      <w:r>
        <w:rPr>
          <w:rFonts w:ascii="Arial" w:cs="Arial" w:eastAsia="Arial" w:hAnsi="Arial"/>
          <w:b w:val="false"/>
          <w:bCs w:val="false"/>
          <w:i/>
          <w:iCs/>
          <w:sz w:val="22"/>
          <w:szCs w:val="22"/>
        </w:rPr>
        <w:t xml:space="preserve">c</w:t>
      </w:r>
      <w:r>
        <w:rPr>
          <w:rFonts w:ascii="Arial" w:cs="Arial" w:eastAsia="Arial" w:hAnsi="Arial"/>
          <w:b w:val="false"/>
          <w:bCs w:val="false"/>
          <w:i w:val="false"/>
          <w:iCs w:val="false"/>
          <w:sz w:val="22"/>
          <w:szCs w:val="22"/>
          <w:vertAlign w:val="subscript"/>
        </w:rPr>
        <w:t xml:space="preserve">approx</w:t>
      </w:r>
      <w:r>
        <w:rPr>
          <w:rFonts w:ascii="Arial" w:cs="Arial" w:eastAsia="Arial" w:hAnsi="Arial"/>
          <w:b w:val="false"/>
          <w:bCs w:val="false"/>
          <w:i w:val="false"/>
          <w:iCs w:val="false"/>
          <w:sz w:val="22"/>
          <w:szCs w:val="22"/>
        </w:rPr>
        <w:t xml:space="preserve"> + </w:t>
      </w:r>
      <w:r>
        <w:rPr>
          <w:rFonts w:ascii="Arial" w:cs="Arial" w:eastAsia="Arial" w:hAnsi="Arial"/>
          <w:b w:val="false"/>
          <w:bCs w:val="false"/>
          <w:i/>
          <w:iCs/>
          <w:sz w:val="22"/>
          <w:szCs w:val="22"/>
        </w:rPr>
        <w:t xml:space="preserve">β</w:t>
      </w:r>
      <w:r>
        <w:rPr>
          <w:rFonts w:ascii="Arial" w:cs="Arial" w:eastAsia="Arial" w:hAnsi="Arial"/>
          <w:b w:val="false"/>
          <w:bCs w:val="false"/>
          <w:i w:val="false"/>
          <w:iCs w:val="false"/>
          <w:sz w:val="22"/>
          <w:szCs w:val="22"/>
          <w:vertAlign w:val="subscript"/>
        </w:rPr>
        <w:t xml:space="preserve">2</w:t>
      </w:r>
      <w:r>
        <w:rPr>
          <w:rFonts w:ascii="Arial" w:cs="Arial" w:eastAsia="Arial" w:hAnsi="Arial"/>
          <w:b w:val="false"/>
          <w:bCs w:val="false"/>
          <w:i/>
          <w:iCs/>
          <w:sz w:val="22"/>
          <w:szCs w:val="22"/>
        </w:rPr>
        <w:t xml:space="preserve">g</w:t>
      </w:r>
      <w:r>
        <w:rPr>
          <w:rFonts w:ascii="Arial" w:cs="Arial" w:eastAsia="Arial" w:hAnsi="Arial"/>
          <w:b w:val="false"/>
          <w:bCs w:val="false"/>
          <w:i w:val="false"/>
          <w:iCs w:val="false"/>
          <w:sz w:val="22"/>
          <w:szCs w:val="22"/>
          <w:vertAlign w:val="subscript"/>
        </w:rPr>
        <w:t xml:space="preserve">norm</w:t>
      </w:r>
      <w:r>
        <w:rPr>
          <w:rFonts w:ascii="Arial" w:cs="Arial" w:eastAsia="Arial" w:hAnsi="Arial"/>
          <w:b w:val="false"/>
          <w:bCs w:val="false"/>
          <w:i w:val="false"/>
          <w:iCs w:val="false"/>
          <w:sz w:val="22"/>
          <w:szCs w:val="22"/>
        </w:rPr>
        <w:t xml:space="preserve"> + </w:t>
      </w:r>
      <w:r>
        <w:rPr>
          <w:rFonts w:ascii="Arial" w:cs="Arial" w:eastAsia="Arial" w:hAnsi="Arial"/>
          <w:b w:val="false"/>
          <w:bCs w:val="false"/>
          <w:i/>
          <w:iCs/>
          <w:sz w:val="22"/>
          <w:szCs w:val="22"/>
        </w:rPr>
        <w:t xml:space="preserve">β</w:t>
      </w:r>
      <w:r>
        <w:rPr>
          <w:rFonts w:ascii="Arial" w:cs="Arial" w:eastAsia="Arial" w:hAnsi="Arial"/>
          <w:b w:val="false"/>
          <w:bCs w:val="false"/>
          <w:i w:val="false"/>
          <w:iCs w:val="false"/>
          <w:sz w:val="22"/>
          <w:szCs w:val="22"/>
          <w:vertAlign w:val="subscript"/>
        </w:rPr>
        <w:t xml:space="preserve">3</w:t>
      </w:r>
      <w:r>
        <w:rPr>
          <w:rFonts w:ascii="Arial" w:cs="Arial" w:eastAsia="Arial" w:hAnsi="Arial"/>
          <w:b w:val="false"/>
          <w:bCs w:val="false"/>
          <w:i/>
          <w:iCs/>
          <w:sz w:val="22"/>
          <w:szCs w:val="22"/>
        </w:rPr>
        <w:t xml:space="preserve">p</w:t>
      </w:r>
      <w:r>
        <w:rPr>
          <w:rFonts w:ascii="Arial" w:cs="Arial" w:eastAsia="Arial" w:hAnsi="Arial"/>
          <w:b w:val="false"/>
          <w:bCs w:val="false"/>
          <w:i w:val="false"/>
          <w:iCs w:val="false"/>
          <w:sz w:val="22"/>
          <w:szCs w:val="22"/>
        </w:rPr>
        <w:t xml:space="preserve">)</w:t>
      </w:r>
      <w:r>
        <w:rPr>
          <w:rFonts w:ascii="Arial" w:cs="Arial" w:eastAsia="Arial" w:hAnsi="Arial"/>
          <w:sz w:val="22"/>
          <w:szCs w:val="22"/>
        </w:rPr>
        <w:t xml:space="preserve">	</w:t>
      </w:r>
      <w:r>
        <w:rPr>
          <w:rFonts w:ascii="Arial" w:cs="Arial" w:eastAsia="Arial" w:hAnsi="Arial"/>
          <w:sz w:val="22"/>
          <w:szCs w:val="22"/>
        </w:rPr>
        <w:t xml:space="preserve">(9)</w:t>
      </w:r>
    </w:p>
    <w:p>
      <w:pPr>
        <w:spacing w:after="120" w:line="252" w:lineRule="auto"/>
        <w:jc w:val="left"/>
      </w:pPr>
      <w:r>
        <w:rPr>
          <w:rFonts w:ascii="Arial" w:cs="Arial" w:eastAsia="Arial" w:hAnsi="Arial"/>
          <w:b w:val="false"/>
          <w:bCs w:val="false"/>
          <w:i w:val="false"/>
          <w:iCs w:val="false"/>
          <w:sz w:val="22"/>
          <w:szCs w:val="22"/>
        </w:rPr>
        <w:t xml:space="preserve">All </w:t>
      </w:r>
      <w:r>
        <w:rPr>
          <w:rFonts w:ascii="Arial" w:cs="Arial" w:eastAsia="Arial" w:hAnsi="Arial"/>
          <w:b w:val="false"/>
          <w:bCs w:val="false"/>
          <w:i/>
          <w:iCs/>
          <w:sz w:val="22"/>
          <w:szCs w:val="22"/>
        </w:rPr>
        <w:t xml:space="preserve">β</w:t>
      </w:r>
      <w:r>
        <w:rPr>
          <w:rFonts w:ascii="Arial" w:cs="Arial" w:eastAsia="Arial" w:hAnsi="Arial"/>
          <w:b w:val="false"/>
          <w:bCs w:val="false"/>
          <w:i w:val="false"/>
          <w:iCs w:val="false"/>
          <w:sz w:val="22"/>
          <w:szCs w:val="22"/>
        </w:rPr>
        <w:t xml:space="preserve"> coefficients are fixed and non-learnable; </w:t>
      </w:r>
      <w:r>
        <w:rPr>
          <w:rFonts w:ascii="Arial" w:cs="Arial" w:eastAsia="Arial" w:hAnsi="Arial"/>
          <w:b w:val="false"/>
          <w:bCs w:val="false"/>
          <w:i/>
          <w:iCs/>
          <w:sz w:val="22"/>
          <w:szCs w:val="22"/>
        </w:rPr>
        <w:t xml:space="preserve">c</w:t>
      </w:r>
      <w:r>
        <w:rPr>
          <w:rFonts w:ascii="Arial" w:cs="Arial" w:eastAsia="Arial" w:hAnsi="Arial"/>
          <w:b w:val="false"/>
          <w:bCs w:val="false"/>
          <w:i w:val="false"/>
          <w:iCs w:val="false"/>
          <w:sz w:val="22"/>
          <w:szCs w:val="22"/>
          <w:vertAlign w:val="subscript"/>
        </w:rPr>
        <w:t xml:space="preserve">approx</w:t>
      </w:r>
      <w:r>
        <w:rPr>
          <w:rFonts w:ascii="Arial" w:cs="Arial" w:eastAsia="Arial" w:hAnsi="Arial"/>
          <w:b w:val="false"/>
          <w:bCs w:val="false"/>
          <w:i w:val="false"/>
          <w:iCs w:val="false"/>
          <w:sz w:val="22"/>
          <w:szCs w:val="22"/>
        </w:rPr>
        <w:t xml:space="preserve"> denotes VCA-approximated CM evaluations, </w:t>
      </w:r>
      <w:r>
        <w:rPr>
          <w:rFonts w:ascii="Arial" w:cs="Arial" w:eastAsia="Arial" w:hAnsi="Arial"/>
          <w:b w:val="false"/>
          <w:bCs w:val="false"/>
          <w:i/>
          <w:iCs/>
          <w:sz w:val="22"/>
          <w:szCs w:val="22"/>
        </w:rPr>
        <w:t xml:space="preserve">g</w:t>
      </w:r>
      <w:r>
        <w:rPr>
          <w:rFonts w:ascii="Arial" w:cs="Arial" w:eastAsia="Arial" w:hAnsi="Arial"/>
          <w:b w:val="false"/>
          <w:bCs w:val="false"/>
          <w:i w:val="false"/>
          <w:iCs w:val="false"/>
          <w:sz w:val="22"/>
          <w:szCs w:val="22"/>
          <w:vertAlign w:val="subscript"/>
        </w:rPr>
        <w:t xml:space="preserve">norm</w:t>
      </w:r>
      <w:r>
        <w:rPr>
          <w:rFonts w:ascii="Arial" w:cs="Arial" w:eastAsia="Arial" w:hAnsi="Arial"/>
          <w:b w:val="false"/>
          <w:bCs w:val="false"/>
          <w:i w:val="false"/>
          <w:iCs w:val="false"/>
          <w:sz w:val="22"/>
          <w:szCs w:val="22"/>
        </w:rPr>
        <w:t xml:space="preserve"> the normalised global instability index, and </w:t>
      </w:r>
      <w:r>
        <w:rPr>
          <w:rFonts w:ascii="Arial" w:cs="Arial" w:eastAsia="Arial" w:hAnsi="Arial"/>
          <w:b w:val="false"/>
          <w:bCs w:val="false"/>
          <w:i/>
          <w:iCs/>
          <w:sz w:val="22"/>
          <w:szCs w:val="22"/>
        </w:rPr>
        <w:t xml:space="preserve">p</w:t>
      </w:r>
      <w:r>
        <w:rPr>
          <w:rFonts w:ascii="Arial" w:cs="Arial" w:eastAsia="Arial" w:hAnsi="Arial"/>
          <w:b w:val="false"/>
          <w:bCs w:val="false"/>
          <w:i w:val="false"/>
          <w:iCs w:val="false"/>
          <w:sz w:val="22"/>
          <w:szCs w:val="22"/>
        </w:rPr>
        <w:t xml:space="preserve"> a phase descriptor. The gate suppresses </w:t>
      </w:r>
      <w:r>
        <w:rPr>
          <w:rFonts w:ascii="Arial" w:cs="Arial" w:eastAsia="Arial" w:hAnsi="Arial"/>
          <w:b w:val="false"/>
          <w:bCs w:val="false"/>
          <w:i/>
          <w:iCs/>
          <w:sz w:val="22"/>
          <w:szCs w:val="22"/>
        </w:rPr>
        <w:t xml:space="preserve">δ</w:t>
      </w:r>
      <w:r>
        <w:rPr>
          <w:rFonts w:ascii="Arial" w:cs="Arial" w:eastAsia="Arial" w:hAnsi="Arial"/>
          <w:b w:val="false"/>
          <w:bCs w:val="false"/>
          <w:i w:val="false"/>
          <w:iCs w:val="false"/>
          <w:sz w:val="22"/>
          <w:szCs w:val="22"/>
          <w:vertAlign w:val="subscript"/>
        </w:rPr>
        <w:t xml:space="preserve">res</w:t>
      </w:r>
      <w:r>
        <w:rPr>
          <w:rFonts w:ascii="Arial" w:cs="Arial" w:eastAsia="Arial" w:hAnsi="Arial"/>
          <w:b w:val="false"/>
          <w:bCs w:val="false"/>
          <w:i w:val="false"/>
          <w:iCs w:val="false"/>
          <w:sz w:val="22"/>
          <w:szCs w:val="22"/>
        </w:rPr>
        <w:t xml:space="preserve"> where the CM baseline is approximate or the structure is unstable. The branch raw outputs </w:t>
      </w:r>
      <w:r>
        <w:rPr>
          <w:rFonts w:ascii="Arial" w:cs="Arial" w:eastAsia="Arial" w:hAnsi="Arial"/>
          <w:b w:val="false"/>
          <w:bCs w:val="false"/>
          <w:i/>
          <w:iCs/>
          <w:sz w:val="22"/>
          <w:szCs w:val="22"/>
        </w:rPr>
        <w:t xml:space="preserve">h</w:t>
      </w:r>
      <w:r>
        <w:rPr>
          <w:rFonts w:ascii="Arial" w:cs="Arial" w:eastAsia="Arial" w:hAnsi="Arial"/>
          <w:b w:val="false"/>
          <w:bCs w:val="false"/>
          <w:i w:val="false"/>
          <w:iCs w:val="false"/>
          <w:sz w:val="22"/>
          <w:szCs w:val="22"/>
          <w:vertAlign w:val="subscript"/>
        </w:rPr>
        <w:t xml:space="preserve">LST</w:t>
      </w:r>
      <w:r>
        <w:rPr>
          <w:rFonts w:ascii="Arial" w:cs="Arial" w:eastAsia="Arial" w:hAnsi="Arial"/>
          <w:b w:val="false"/>
          <w:bCs w:val="false"/>
          <w:i w:val="false"/>
          <w:iCs w:val="false"/>
          <w:sz w:val="22"/>
          <w:szCs w:val="22"/>
        </w:rPr>
        <w:t xml:space="preserve">, </w:t>
      </w:r>
      <w:r>
        <w:rPr>
          <w:rFonts w:ascii="Arial" w:cs="Arial" w:eastAsia="Arial" w:hAnsi="Arial"/>
          <w:b w:val="false"/>
          <w:bCs w:val="false"/>
          <w:i/>
          <w:iCs/>
          <w:sz w:val="22"/>
          <w:szCs w:val="22"/>
        </w:rPr>
        <w:t xml:space="preserve">h</w:t>
      </w:r>
      <w:r>
        <w:rPr>
          <w:rFonts w:ascii="Arial" w:cs="Arial" w:eastAsia="Arial" w:hAnsi="Arial"/>
          <w:b w:val="false"/>
          <w:bCs w:val="false"/>
          <w:i w:val="false"/>
          <w:iCs w:val="false"/>
          <w:sz w:val="22"/>
          <w:szCs w:val="22"/>
          <w:vertAlign w:val="subscript"/>
        </w:rPr>
        <w:t xml:space="preserve">tilt</w:t>
      </w:r>
      <w:r>
        <w:rPr>
          <w:rFonts w:ascii="Arial" w:cs="Arial" w:eastAsia="Arial" w:hAnsi="Arial"/>
          <w:b w:val="false"/>
          <w:bCs w:val="false"/>
          <w:i w:val="false"/>
          <w:iCs w:val="false"/>
          <w:sz w:val="22"/>
          <w:szCs w:val="22"/>
        </w:rPr>
        <w:t xml:space="preserve"> and </w:t>
      </w:r>
      <w:r>
        <w:rPr>
          <w:rFonts w:ascii="Arial" w:cs="Arial" w:eastAsia="Arial" w:hAnsi="Arial"/>
          <w:b w:val="false"/>
          <w:bCs w:val="false"/>
          <w:i/>
          <w:iCs/>
          <w:sz w:val="22"/>
          <w:szCs w:val="22"/>
        </w:rPr>
        <w:t xml:space="preserve">h</w:t>
      </w:r>
      <w:r>
        <w:rPr>
          <w:rFonts w:ascii="Arial" w:cs="Arial" w:eastAsia="Arial" w:hAnsi="Arial"/>
          <w:b w:val="false"/>
          <w:bCs w:val="false"/>
          <w:i w:val="false"/>
          <w:iCs w:val="false"/>
          <w:sz w:val="22"/>
          <w:szCs w:val="22"/>
          <w:vertAlign w:val="subscript"/>
        </w:rPr>
        <w:t xml:space="preserve">res</w:t>
      </w:r>
      <w:r>
        <w:rPr>
          <w:rFonts w:ascii="Arial" w:cs="Arial" w:eastAsia="Arial" w:hAnsi="Arial"/>
          <w:b w:val="false"/>
          <w:bCs w:val="false"/>
          <w:i w:val="false"/>
          <w:iCs w:val="false"/>
          <w:sz w:val="22"/>
          <w:szCs w:val="22"/>
        </w:rPr>
        <w:t xml:space="preserve"> are produced by feed-forward sub-networks operating on the 192-dimensional trunk representation concatenated with each branch's feature partition.</w:t>
      </w:r>
    </w:p>
    <w:p>
      <w:pPr>
        <w:spacing w:after="120" w:line="252" w:lineRule="auto"/>
        <w:jc w:val="left"/>
      </w:pPr>
      <w:r>
        <w:rPr>
          <w:rFonts w:ascii="Arial" w:cs="Arial" w:eastAsia="Arial" w:hAnsi="Arial"/>
          <w:b w:val="false"/>
          <w:bCs w:val="false"/>
          <w:i w:val="false"/>
          <w:iCs w:val="false"/>
          <w:sz w:val="22"/>
          <w:szCs w:val="22"/>
        </w:rPr>
        <w:t xml:space="preserve">We define the soft-mode amplification factor</w:t>
      </w:r>
    </w:p>
    <w:p>
      <w:pPr>
        <w:tabs>
          <w:tab w:val="center" w:pos="4824"/>
          <w:tab w:val="right" w:pos="9648"/>
        </w:tabs>
        <w:spacing w:after="240" w:before="240" w:line="360" w:lineRule="auto"/>
        <w:jc w:val="left"/>
      </w:pPr>
      <w:r>
        <w:rPr>
          <w:rFonts w:ascii="Arial" w:cs="Arial" w:eastAsia="Arial" w:hAnsi="Arial"/>
          <w:sz w:val="22"/>
          <w:szCs w:val="22"/>
        </w:rPr>
        <w:t xml:space="preserve">	</w:t>
      </w:r>
      <m:oMath>
        <m:sSub>
          <m:sSubPr/>
          <m:e>
            <m:r>
              <m:t>f</m:t>
            </m:r>
          </m:e>
          <m:sub>
            <m:r>
              <m:t>LST</m:t>
            </m:r>
          </m:sub>
        </m:sSub>
        <m:r>
          <m:t> = </m:t>
        </m:r>
        <m:f>
          <m:num>
            <m:sSub>
              <m:sSubPr/>
              <m:e>
                <m:r>
                  <m:t>δ</m:t>
                </m:r>
              </m:e>
              <m:sub>
                <m:r>
                  <m:t>LST</m:t>
                </m:r>
              </m:sub>
            </m:sSub>
          </m:num>
          <m:den>
            <m:sSub>
              <m:sSubPr/>
              <m:e>
                <m:r>
                  <m:t>ε</m:t>
                </m:r>
              </m:e>
              <m:sub>
                <m:r>
                  <m:t>r,CM</m:t>
                </m:r>
              </m:sub>
            </m:sSub>
          </m:den>
        </m:f>
      </m:oMath>
      <w:r>
        <w:rPr>
          <w:rFonts w:ascii="Arial" w:cs="Arial" w:eastAsia="Arial" w:hAnsi="Arial"/>
          <w:sz w:val="22"/>
          <w:szCs w:val="22"/>
        </w:rPr>
        <w:t xml:space="preserve">	</w:t>
      </w:r>
      <w:r>
        <w:rPr>
          <w:rFonts w:ascii="Arial" w:cs="Arial" w:eastAsia="Arial" w:hAnsi="Arial"/>
          <w:sz w:val="22"/>
          <w:szCs w:val="22"/>
        </w:rPr>
        <w:t xml:space="preserve">(10)</w:t>
      </w:r>
    </w:p>
    <w:p>
      <w:pPr>
        <w:spacing w:after="120" w:line="252" w:lineRule="auto"/>
        <w:jc w:val="left"/>
      </w:pPr>
      <w:r>
        <w:rPr>
          <w:rFonts w:ascii="Arial" w:cs="Arial" w:eastAsia="Arial" w:hAnsi="Arial"/>
          <w:b w:val="false"/>
          <w:bCs w:val="false"/>
          <w:i w:val="false"/>
          <w:iCs w:val="false"/>
          <w:sz w:val="22"/>
          <w:szCs w:val="22"/>
        </w:rPr>
        <w:t xml:space="preserve">as the lattice contribution expressed as a multiple of the electronic baseline; it is the primary metric used for the A-site comparison in Results and for setting the LST capacity bound (below).</w:t>
      </w:r>
    </w:p>
    <w:p>
      <w:pPr>
        <w:spacing w:after="120" w:line="252" w:lineRule="auto"/>
        <w:jc w:val="left"/>
      </w:pPr>
      <w:r>
        <w:rPr>
          <w:rFonts w:ascii="Arial" w:cs="Arial" w:eastAsia="Arial" w:hAnsi="Arial"/>
          <w:b w:val="false"/>
          <w:bCs w:val="false"/>
          <w:i w:val="false"/>
          <w:iCs w:val="false"/>
          <w:sz w:val="22"/>
          <w:szCs w:val="22"/>
        </w:rPr>
        <w:t xml:space="preserve">The shared trunk maps the 103 input features through four fully connected hidden layers, with the two central layers forming a residual block via a skip connection, and outputs a 192-dimensional trunk representation. Each branch sub-network concatenates this trunk output with its physics-feature partition and applies a small feed-forward head: the LST head produces a scalar through two hidden layers; the tilt head has the parallel structure; the residual head adds a context channel carrying </w:t>
      </w:r>
      <w:r>
        <w:rPr>
          <w:rFonts w:ascii="Arial" w:cs="Arial" w:eastAsia="Arial" w:hAnsi="Arial"/>
          <w:b w:val="false"/>
          <w:bCs w:val="false"/>
          <w:i/>
          <w:iCs/>
          <w:sz w:val="22"/>
          <w:szCs w:val="22"/>
        </w:rPr>
        <w:t xml:space="preserve">σ</w:t>
      </w:r>
      <w:r>
        <w:rPr>
          <w:rFonts w:ascii="Arial" w:cs="Arial" w:eastAsia="Arial" w:hAnsi="Arial"/>
          <w:b w:val="false"/>
          <w:bCs w:val="false"/>
          <w:i w:val="false"/>
          <w:iCs w:val="false"/>
          <w:sz w:val="22"/>
          <w:szCs w:val="22"/>
          <w:vertAlign w:val="subscript"/>
        </w:rPr>
        <w:t xml:space="preserve">conf</w:t>
      </w:r>
      <w:r>
        <w:rPr>
          <w:rFonts w:ascii="Arial" w:cs="Arial" w:eastAsia="Arial" w:hAnsi="Arial"/>
          <w:b w:val="false"/>
          <w:bCs w:val="false"/>
          <w:i w:val="false"/>
          <w:iCs w:val="false"/>
          <w:sz w:val="22"/>
          <w:szCs w:val="22"/>
        </w:rPr>
        <w:t xml:space="preserve"> and applies three hidden layers. Hidden activations are SiLU and each branch is independently normalised by LayerNorm; branch output activations are those specified in eqs. (6)–(8). Full per-layer widths and total neuron counts are listed in Supplementary Table 6.</w:t>
      </w:r>
    </w:p>
    <w:p>
      <w:pPr>
        <w:spacing w:after="120" w:line="252" w:lineRule="auto"/>
        <w:jc w:val="left"/>
      </w:pPr>
      <w:r>
        <w:rPr>
          <w:rFonts w:ascii="Arial" w:cs="Arial" w:eastAsia="Arial" w:hAnsi="Arial"/>
          <w:b w:val="false"/>
          <w:bCs w:val="false"/>
          <w:i w:val="false"/>
          <w:iCs w:val="false"/>
          <w:sz w:val="22"/>
          <w:szCs w:val="22"/>
        </w:rPr>
        <w:t xml:space="preserve">For 180 of the 1,304 compositions (≈14%) a valid CM baseline is undefined. About 79% of this group are complex or layered non-ideal-ABO</w:t>
      </w:r>
      <w:r>
        <w:rPr>
          <w:rFonts w:ascii="Arial" w:cs="Arial" w:eastAsia="Arial" w:hAnsi="Arial"/>
          <w:b w:val="false"/>
          <w:bCs w:val="false"/>
          <w:i w:val="false"/>
          <w:iCs w:val="false"/>
          <w:sz w:val="22"/>
          <w:szCs w:val="22"/>
          <w:vertAlign w:val="subscript"/>
        </w:rPr>
        <w:t xml:space="preserve">3</w:t>
      </w:r>
      <w:r>
        <w:rPr>
          <w:rFonts w:ascii="Arial" w:cs="Arial" w:eastAsia="Arial" w:hAnsi="Arial"/>
          <w:b w:val="false"/>
          <w:bCs w:val="false"/>
          <w:i w:val="false"/>
          <w:iCs w:val="false"/>
          <w:sz w:val="22"/>
          <w:szCs w:val="22"/>
        </w:rPr>
        <w:t xml:space="preserve"> stoichiometries — layered/homologous phases such as </w:t>
      </w:r>
      <w:r>
        <w:rPr>
          <w:rFonts w:ascii="Arial" w:cs="Arial" w:eastAsia="Arial" w:hAnsi="Arial"/>
          <w:b w:val="false"/>
          <w:bCs w:val="false"/>
          <w:i/>
          <w:iCs/>
          <w:sz w:val="22"/>
          <w:szCs w:val="22"/>
        </w:rPr>
        <w:t xml:space="preserve">A</w:t>
      </w:r>
      <w:r>
        <w:rPr>
          <w:rFonts w:ascii="Arial" w:cs="Arial" w:eastAsia="Arial" w:hAnsi="Arial"/>
          <w:b w:val="false"/>
          <w:bCs w:val="false"/>
          <w:i w:val="false"/>
          <w:iCs w:val="false"/>
          <w:sz w:val="22"/>
          <w:szCs w:val="22"/>
          <w:vertAlign w:val="subscript"/>
        </w:rPr>
        <w:t xml:space="preserve">5</w:t>
      </w:r>
      <w:r>
        <w:rPr>
          <w:rFonts w:ascii="Arial" w:cs="Arial" w:eastAsia="Arial" w:hAnsi="Arial"/>
          <w:b w:val="false"/>
          <w:bCs w:val="false"/>
          <w:i/>
          <w:iCs/>
          <w:sz w:val="22"/>
          <w:szCs w:val="22"/>
        </w:rPr>
        <w:t xml:space="preserve">B</w:t>
      </w:r>
      <w:r>
        <w:rPr>
          <w:rFonts w:ascii="Arial" w:cs="Arial" w:eastAsia="Arial" w:hAnsi="Arial"/>
          <w:b w:val="false"/>
          <w:bCs w:val="false"/>
          <w:i w:val="false"/>
          <w:iCs w:val="false"/>
          <w:sz w:val="22"/>
          <w:szCs w:val="22"/>
          <w:vertAlign w:val="subscript"/>
        </w:rPr>
        <w:t xml:space="preserve">5</w:t>
      </w:r>
      <w:r>
        <w:rPr>
          <w:rFonts w:ascii="Arial" w:cs="Arial" w:eastAsia="Arial" w:hAnsi="Arial"/>
          <w:b w:val="false"/>
          <w:bCs w:val="false"/>
          <w:i w:val="false"/>
          <w:iCs w:val="false"/>
          <w:sz w:val="22"/>
          <w:szCs w:val="22"/>
        </w:rPr>
        <w:t xml:space="preserve">O</w:t>
      </w:r>
      <w:r>
        <w:rPr>
          <w:rFonts w:ascii="Arial" w:cs="Arial" w:eastAsia="Arial" w:hAnsi="Arial"/>
          <w:b w:val="false"/>
          <w:bCs w:val="false"/>
          <w:i w:val="false"/>
          <w:iCs w:val="false"/>
          <w:sz w:val="22"/>
          <w:szCs w:val="22"/>
          <w:vertAlign w:val="subscript"/>
        </w:rPr>
        <w:t xml:space="preserve">17</w:t>
      </w:r>
      <w:r>
        <w:rPr>
          <w:rFonts w:ascii="Arial" w:cs="Arial" w:eastAsia="Arial" w:hAnsi="Arial"/>
          <w:b w:val="false"/>
          <w:bCs w:val="false"/>
          <w:i w:val="false"/>
          <w:iCs w:val="false"/>
          <w:sz w:val="22"/>
          <w:szCs w:val="22"/>
        </w:rPr>
        <w:t xml:space="preserve"> and cation-ordered or -deficient phases such as </w:t>
      </w:r>
      <w:r>
        <w:rPr>
          <w:rFonts w:ascii="Arial" w:cs="Arial" w:eastAsia="Arial" w:hAnsi="Arial"/>
          <w:b w:val="false"/>
          <w:bCs w:val="false"/>
          <w:i/>
          <w:iCs/>
          <w:sz w:val="22"/>
          <w:szCs w:val="22"/>
        </w:rPr>
        <w:t xml:space="preserve">A</w:t>
      </w:r>
      <w:r>
        <w:rPr>
          <w:rFonts w:ascii="Arial" w:cs="Arial" w:eastAsia="Arial" w:hAnsi="Arial"/>
          <w:b w:val="false"/>
          <w:bCs w:val="false"/>
          <w:i w:val="false"/>
          <w:iCs w:val="false"/>
          <w:sz w:val="22"/>
          <w:szCs w:val="22"/>
          <w:vertAlign w:val="subscript"/>
        </w:rPr>
        <w:t xml:space="preserve">4</w:t>
      </w:r>
      <w:r>
        <w:rPr>
          <w:rFonts w:ascii="Arial" w:cs="Arial" w:eastAsia="Arial" w:hAnsi="Arial"/>
          <w:b w:val="false"/>
          <w:bCs w:val="false"/>
          <w:i/>
          <w:iCs/>
          <w:sz w:val="22"/>
          <w:szCs w:val="22"/>
        </w:rPr>
        <w:t xml:space="preserve">B</w:t>
      </w:r>
      <w:r>
        <w:rPr>
          <w:rFonts w:ascii="Arial" w:cs="Arial" w:eastAsia="Arial" w:hAnsi="Arial"/>
          <w:b w:val="false"/>
          <w:bCs w:val="false"/>
          <w:i w:val="false"/>
          <w:iCs w:val="false"/>
          <w:sz w:val="22"/>
          <w:szCs w:val="22"/>
          <w:vertAlign w:val="subscript"/>
        </w:rPr>
        <w:t xml:space="preserve">3</w:t>
      </w:r>
      <w:r>
        <w:rPr>
          <w:rFonts w:ascii="Arial" w:cs="Arial" w:eastAsia="Arial" w:hAnsi="Arial"/>
          <w:b w:val="false"/>
          <w:bCs w:val="false"/>
          <w:i w:val="false"/>
          <w:iCs w:val="false"/>
          <w:sz w:val="22"/>
          <w:szCs w:val="22"/>
        </w:rPr>
        <w:t xml:space="preserve">O</w:t>
      </w:r>
      <w:r>
        <w:rPr>
          <w:rFonts w:ascii="Arial" w:cs="Arial" w:eastAsia="Arial" w:hAnsi="Arial"/>
          <w:b w:val="false"/>
          <w:bCs w:val="false"/>
          <w:i w:val="false"/>
          <w:iCs w:val="false"/>
          <w:sz w:val="22"/>
          <w:szCs w:val="22"/>
          <w:vertAlign w:val="subscript"/>
        </w:rPr>
        <w:t xml:space="preserve">12</w:t>
      </w:r>
      <w:r>
        <w:rPr>
          <w:rFonts w:ascii="Arial" w:cs="Arial" w:eastAsia="Arial" w:hAnsi="Arial"/>
          <w:b w:val="false"/>
          <w:bCs w:val="false"/>
          <w:i w:val="false"/>
          <w:iCs w:val="false"/>
          <w:sz w:val="22"/>
          <w:szCs w:val="22"/>
        </w:rPr>
        <w:t xml:space="preserve"> and </w:t>
      </w:r>
      <w:r>
        <w:rPr>
          <w:rFonts w:ascii="Arial" w:cs="Arial" w:eastAsia="Arial" w:hAnsi="Arial"/>
          <w:b w:val="false"/>
          <w:bCs w:val="false"/>
          <w:i/>
          <w:iCs/>
          <w:sz w:val="22"/>
          <w:szCs w:val="22"/>
        </w:rPr>
        <w:t xml:space="preserve">A</w:t>
      </w:r>
      <w:r>
        <w:rPr>
          <w:rFonts w:ascii="Arial" w:cs="Arial" w:eastAsia="Arial" w:hAnsi="Arial"/>
          <w:b w:val="false"/>
          <w:bCs w:val="false"/>
          <w:i w:val="false"/>
          <w:iCs w:val="false"/>
          <w:sz w:val="22"/>
          <w:szCs w:val="22"/>
          <w:vertAlign w:val="subscript"/>
        </w:rPr>
        <w:t xml:space="preserve">5</w:t>
      </w:r>
      <w:r>
        <w:rPr>
          <w:rFonts w:ascii="Arial" w:cs="Arial" w:eastAsia="Arial" w:hAnsi="Arial"/>
          <w:b w:val="false"/>
          <w:bCs w:val="false"/>
          <w:i/>
          <w:iCs/>
          <w:sz w:val="22"/>
          <w:szCs w:val="22"/>
        </w:rPr>
        <w:t xml:space="preserve">B</w:t>
      </w:r>
      <w:r>
        <w:rPr>
          <w:rFonts w:ascii="Arial" w:cs="Arial" w:eastAsia="Arial" w:hAnsi="Arial"/>
          <w:b w:val="false"/>
          <w:bCs w:val="false"/>
          <w:i w:val="false"/>
          <w:iCs w:val="false"/>
          <w:sz w:val="22"/>
          <w:szCs w:val="22"/>
          <w:vertAlign w:val="subscript"/>
        </w:rPr>
        <w:t xml:space="preserve">3</w:t>
      </w:r>
      <w:r>
        <w:rPr>
          <w:rFonts w:ascii="Arial" w:cs="Arial" w:eastAsia="Arial" w:hAnsi="Arial"/>
          <w:b w:val="false"/>
          <w:bCs w:val="false"/>
          <w:i w:val="false"/>
          <w:iCs w:val="false"/>
          <w:sz w:val="22"/>
          <w:szCs w:val="22"/>
        </w:rPr>
        <w:t xml:space="preserve">O</w:t>
      </w:r>
      <w:r>
        <w:rPr>
          <w:rFonts w:ascii="Arial" w:cs="Arial" w:eastAsia="Arial" w:hAnsi="Arial"/>
          <w:b w:val="false"/>
          <w:bCs w:val="false"/>
          <w:i w:val="false"/>
          <w:iCs w:val="false"/>
          <w:sz w:val="22"/>
          <w:szCs w:val="22"/>
          <w:vertAlign w:val="subscript"/>
        </w:rPr>
        <w:t xml:space="preserve">12</w:t>
      </w:r>
      <w:r>
        <w:rPr>
          <w:rFonts w:ascii="Arial" w:cs="Arial" w:eastAsia="Arial" w:hAnsi="Arial"/>
          <w:b w:val="false"/>
          <w:bCs w:val="false"/>
          <w:i w:val="false"/>
          <w:iCs w:val="false"/>
          <w:sz w:val="22"/>
          <w:szCs w:val="22"/>
        </w:rPr>
        <w:t xml:space="preserve"> — for which the simple cubic-cell CM evaluation is inapplicable. The remaining ≈21% are nominally 1:1 or double perovskites (e.g., CaLi</w:t>
      </w:r>
      <w:r>
        <w:rPr>
          <w:rFonts w:ascii="Arial" w:cs="Arial" w:eastAsia="Arial" w:hAnsi="Arial"/>
          <w:b w:val="false"/>
          <w:bCs w:val="false"/>
          <w:i w:val="false"/>
          <w:iCs w:val="false"/>
          <w:sz w:val="22"/>
          <w:szCs w:val="22"/>
          <w:vertAlign w:val="subscript"/>
        </w:rPr>
        <w:t xml:space="preserve">0.3</w:t>
      </w:r>
      <w:r>
        <w:rPr>
          <w:rFonts w:ascii="Arial" w:cs="Arial" w:eastAsia="Arial" w:hAnsi="Arial"/>
          <w:b w:val="false"/>
          <w:bCs w:val="false"/>
          <w:i w:val="false"/>
          <w:iCs w:val="false"/>
          <w:sz w:val="22"/>
          <w:szCs w:val="22"/>
        </w:rPr>
        <w:t xml:space="preserve">Nb</w:t>
      </w:r>
      <w:r>
        <w:rPr>
          <w:rFonts w:ascii="Arial" w:cs="Arial" w:eastAsia="Arial" w:hAnsi="Arial"/>
          <w:b w:val="false"/>
          <w:bCs w:val="false"/>
          <w:i w:val="false"/>
          <w:iCs w:val="false"/>
          <w:sz w:val="22"/>
          <w:szCs w:val="22"/>
          <w:vertAlign w:val="subscript"/>
        </w:rPr>
        <w:t xml:space="preserve">0.6</w:t>
      </w:r>
      <w:r>
        <w:rPr>
          <w:rFonts w:ascii="Arial" w:cs="Arial" w:eastAsia="Arial" w:hAnsi="Arial"/>
          <w:b w:val="false"/>
          <w:bCs w:val="false"/>
          <w:i w:val="false"/>
          <w:iCs w:val="false"/>
          <w:sz w:val="22"/>
          <w:szCs w:val="22"/>
        </w:rPr>
        <w:t xml:space="preserve">Sn</w:t>
      </w:r>
      <w:r>
        <w:rPr>
          <w:rFonts w:ascii="Arial" w:cs="Arial" w:eastAsia="Arial" w:hAnsi="Arial"/>
          <w:b w:val="false"/>
          <w:bCs w:val="false"/>
          <w:i w:val="false"/>
          <w:iCs w:val="false"/>
          <w:sz w:val="22"/>
          <w:szCs w:val="22"/>
          <w:vertAlign w:val="subscript"/>
        </w:rPr>
        <w:t xml:space="preserve">0.1</w:t>
      </w:r>
      <w:r>
        <w:rPr>
          <w:rFonts w:ascii="Arial" w:cs="Arial" w:eastAsia="Arial" w:hAnsi="Arial"/>
          <w:b w:val="false"/>
          <w:bCs w:val="false"/>
          <w:i w:val="false"/>
          <w:iCs w:val="false"/>
          <w:sz w:val="22"/>
          <w:szCs w:val="22"/>
        </w:rPr>
        <w:t xml:space="preserve">O</w:t>
      </w:r>
      <w:r>
        <w:rPr>
          <w:rFonts w:ascii="Arial" w:cs="Arial" w:eastAsia="Arial" w:hAnsi="Arial"/>
          <w:b w:val="false"/>
          <w:bCs w:val="false"/>
          <w:i w:val="false"/>
          <w:iCs w:val="false"/>
          <w:sz w:val="22"/>
          <w:szCs w:val="22"/>
          <w:vertAlign w:val="subscript"/>
        </w:rPr>
        <w:t xml:space="preserve">3</w:t>
      </w:r>
      <w:r>
        <w:rPr>
          <w:rFonts w:ascii="Arial" w:cs="Arial" w:eastAsia="Arial" w:hAnsi="Arial"/>
          <w:b w:val="false"/>
          <w:bCs w:val="false"/>
          <w:i w:val="false"/>
          <w:iCs w:val="false"/>
          <w:sz w:val="22"/>
          <w:szCs w:val="22"/>
        </w:rPr>
        <w:t xml:space="preserve">, Ba</w:t>
      </w:r>
      <w:r>
        <w:rPr>
          <w:rFonts w:ascii="Arial" w:cs="Arial" w:eastAsia="Arial" w:hAnsi="Arial"/>
          <w:b w:val="false"/>
          <w:bCs w:val="false"/>
          <w:i w:val="false"/>
          <w:iCs w:val="false"/>
          <w:sz w:val="22"/>
          <w:szCs w:val="22"/>
          <w:vertAlign w:val="subscript"/>
        </w:rPr>
        <w:t xml:space="preserve">2</w:t>
      </w:r>
      <w:r>
        <w:rPr>
          <w:rFonts w:ascii="Arial" w:cs="Arial" w:eastAsia="Arial" w:hAnsi="Arial"/>
          <w:b w:val="false"/>
          <w:bCs w:val="false"/>
          <w:i w:val="false"/>
          <w:iCs w:val="false"/>
          <w:sz w:val="22"/>
          <w:szCs w:val="22"/>
        </w:rPr>
        <w:t xml:space="preserve">CaWO</w:t>
      </w:r>
      <w:r>
        <w:rPr>
          <w:rFonts w:ascii="Arial" w:cs="Arial" w:eastAsia="Arial" w:hAnsi="Arial"/>
          <w:b w:val="false"/>
          <w:bCs w:val="false"/>
          <w:i w:val="false"/>
          <w:iCs w:val="false"/>
          <w:sz w:val="22"/>
          <w:szCs w:val="22"/>
          <w:vertAlign w:val="subscript"/>
        </w:rPr>
        <w:t xml:space="preserve">6</w:t>
      </w:r>
      <w:r>
        <w:rPr>
          <w:rFonts w:ascii="Arial" w:cs="Arial" w:eastAsia="Arial" w:hAnsi="Arial"/>
          <w:b w:val="false"/>
          <w:bCs w:val="false"/>
          <w:i w:val="false"/>
          <w:iCs w:val="false"/>
          <w:sz w:val="22"/>
          <w:szCs w:val="22"/>
        </w:rPr>
        <w:t xml:space="preserve">, Sr</w:t>
      </w:r>
      <w:r>
        <w:rPr>
          <w:rFonts w:ascii="Arial" w:cs="Arial" w:eastAsia="Arial" w:hAnsi="Arial"/>
          <w:b w:val="false"/>
          <w:bCs w:val="false"/>
          <w:i w:val="false"/>
          <w:iCs w:val="false"/>
          <w:sz w:val="22"/>
          <w:szCs w:val="22"/>
          <w:vertAlign w:val="subscript"/>
        </w:rPr>
        <w:t xml:space="preserve">2</w:t>
      </w:r>
      <w:r>
        <w:rPr>
          <w:rFonts w:ascii="Arial" w:cs="Arial" w:eastAsia="Arial" w:hAnsi="Arial"/>
          <w:b w:val="false"/>
          <w:bCs w:val="false"/>
          <w:i w:val="false"/>
          <w:iCs w:val="false"/>
          <w:sz w:val="22"/>
          <w:szCs w:val="22"/>
        </w:rPr>
        <w:t xml:space="preserve">SmSbO</w:t>
      </w:r>
      <w:r>
        <w:rPr>
          <w:rFonts w:ascii="Arial" w:cs="Arial" w:eastAsia="Arial" w:hAnsi="Arial"/>
          <w:b w:val="false"/>
          <w:bCs w:val="false"/>
          <w:i w:val="false"/>
          <w:iCs w:val="false"/>
          <w:sz w:val="22"/>
          <w:szCs w:val="22"/>
          <w:vertAlign w:val="subscript"/>
        </w:rPr>
        <w:t xml:space="preserve">6</w:t>
      </w:r>
      <w:r>
        <w:rPr>
          <w:rFonts w:ascii="Arial" w:cs="Arial" w:eastAsia="Arial" w:hAnsi="Arial"/>
          <w:b w:val="false"/>
          <w:bCs w:val="false"/>
          <w:i w:val="false"/>
          <w:iCs w:val="false"/>
          <w:sz w:val="22"/>
          <w:szCs w:val="22"/>
        </w:rPr>
        <w:t xml:space="preserve">) whose B-site speciation (e.g., Li, W) or untabulated ions (Sb, Pr; 12 of the 180) fall outside the current Shannon-polarizability/VCA parameterization. For these 180 compositions we use a no-CM fallback multilayer perceptron (per-layer widths in Supplementary Table 6). This fallback predicts </w:t>
      </w:r>
      <w:r>
        <w:rPr>
          <w:rFonts w:ascii="Arial" w:cs="Arial" w:eastAsia="Arial" w:hAnsi="Arial"/>
          <w:b w:val="false"/>
          <w:bCs w:val="false"/>
          <w:i/>
          <w:iCs/>
          <w:sz w:val="22"/>
          <w:szCs w:val="22"/>
        </w:rPr>
        <w:t xml:space="preserve">ε</w:t>
      </w:r>
      <w:r>
        <w:rPr>
          <w:rFonts w:ascii="Arial" w:cs="Arial" w:eastAsia="Arial" w:hAnsi="Arial"/>
          <w:b w:val="false"/>
          <w:bCs w:val="false"/>
          <w:i w:val="false"/>
          <w:iCs w:val="false"/>
          <w:sz w:val="22"/>
          <w:szCs w:val="22"/>
          <w:vertAlign w:val="subscript"/>
        </w:rPr>
        <w:t xml:space="preserve">r</w:t>
      </w:r>
      <w:r>
        <w:rPr>
          <w:rFonts w:ascii="Arial" w:cs="Arial" w:eastAsia="Arial" w:hAnsi="Arial"/>
          <w:b w:val="false"/>
          <w:bCs w:val="false"/>
          <w:i w:val="false"/>
          <w:iCs w:val="false"/>
          <w:sz w:val="22"/>
          <w:szCs w:val="22"/>
        </w:rPr>
        <w:t xml:space="preserve"> directly and is engaged at inference whenever a valid CM baseline is unavailable. The PCNN is implemented in PyTorch. The PCA projection of the 192-dimensional trunk representation (PC1 43%, PC2 27% of variance), coloured by measured </w:t>
      </w:r>
      <w:r>
        <w:rPr>
          <w:rFonts w:ascii="Arial" w:cs="Arial" w:eastAsia="Arial" w:hAnsi="Arial"/>
          <w:b w:val="false"/>
          <w:bCs w:val="false"/>
          <w:i/>
          <w:iCs/>
          <w:sz w:val="22"/>
          <w:szCs w:val="22"/>
        </w:rPr>
        <w:t xml:space="preserve">ε</w:t>
      </w:r>
      <w:r>
        <w:rPr>
          <w:rFonts w:ascii="Arial" w:cs="Arial" w:eastAsia="Arial" w:hAnsi="Arial"/>
          <w:b w:val="false"/>
          <w:bCs w:val="false"/>
          <w:i w:val="false"/>
          <w:iCs w:val="false"/>
          <w:sz w:val="22"/>
          <w:szCs w:val="22"/>
          <w:vertAlign w:val="subscript"/>
        </w:rPr>
        <w:t xml:space="preserve">r</w:t>
      </w:r>
      <w:r>
        <w:rPr>
          <w:rFonts w:ascii="Arial" w:cs="Arial" w:eastAsia="Arial" w:hAnsi="Arial"/>
          <w:b w:val="false"/>
          <w:bCs w:val="false"/>
          <w:i w:val="false"/>
          <w:iCs w:val="false"/>
          <w:sz w:val="22"/>
          <w:szCs w:val="22"/>
        </w:rPr>
        <w:t xml:space="preserve">, Reaney regime and A-site cation, is reported in Supplementary Fig. 23. The PCNN forward pass, conformal calibration, inverse-design and applicability-domain procedures are summarised in algorithmic form in Supplementary Note 3.</w:t>
      </w:r>
    </w:p>
    <w:p>
      <w:pPr>
        <w:spacing w:after="160" w:before="220" w:line="480" w:lineRule="auto"/>
      </w:pPr>
      <w:r>
        <w:rPr>
          <w:rFonts w:ascii="Arial" w:cs="Arial" w:eastAsia="Arial" w:hAnsi="Arial"/>
          <w:b/>
          <w:bCs/>
          <w:i/>
          <w:iCs/>
          <w:color w:val="000000"/>
          <w:sz w:val="22"/>
          <w:szCs w:val="22"/>
        </w:rPr>
        <w:t xml:space="preserve">Training procedure</w:t>
      </w:r>
    </w:p>
    <w:p>
      <w:pPr>
        <w:spacing w:after="120" w:line="252" w:lineRule="auto"/>
        <w:jc w:val="left"/>
      </w:pPr>
      <w:r>
        <w:rPr>
          <w:rFonts w:ascii="Arial" w:cs="Arial" w:eastAsia="Arial" w:hAnsi="Arial"/>
          <w:b w:val="false"/>
          <w:bCs w:val="false"/>
          <w:i w:val="false"/>
          <w:iCs w:val="false"/>
          <w:sz w:val="22"/>
          <w:szCs w:val="22"/>
        </w:rPr>
        <w:t xml:space="preserve">We optimise the network with AdamW (learning rate 1.107 × 10</w:t>
      </w:r>
      <w:r>
        <w:rPr>
          <w:rFonts w:ascii="Arial" w:cs="Arial" w:eastAsia="Arial" w:hAnsi="Arial"/>
          <w:b w:val="false"/>
          <w:bCs w:val="false"/>
          <w:i w:val="false"/>
          <w:iCs w:val="false"/>
          <w:sz w:val="22"/>
          <w:szCs w:val="22"/>
          <w:vertAlign w:val="superscript"/>
        </w:rPr>
        <w:t xml:space="preserve">−3</w:t>
      </w:r>
      <w:r>
        <w:rPr>
          <w:rFonts w:ascii="Arial" w:cs="Arial" w:eastAsia="Arial" w:hAnsi="Arial"/>
          <w:b w:val="false"/>
          <w:bCs w:val="false"/>
          <w:i w:val="false"/>
          <w:iCs w:val="false"/>
          <w:sz w:val="22"/>
          <w:szCs w:val="22"/>
        </w:rPr>
        <w:t xml:space="preserve">, weight decay 2.301 × 10</w:t>
      </w:r>
      <w:r>
        <w:rPr>
          <w:rFonts w:ascii="Arial" w:cs="Arial" w:eastAsia="Arial" w:hAnsi="Arial"/>
          <w:b w:val="false"/>
          <w:bCs w:val="false"/>
          <w:i w:val="false"/>
          <w:iCs w:val="false"/>
          <w:sz w:val="22"/>
          <w:szCs w:val="22"/>
          <w:vertAlign w:val="superscript"/>
        </w:rPr>
        <w:t xml:space="preserve">−5</w:t>
      </w:r>
      <w:r>
        <w:rPr>
          <w:rFonts w:ascii="Arial" w:cs="Arial" w:eastAsia="Arial" w:hAnsi="Arial"/>
          <w:b w:val="false"/>
          <w:bCs w:val="false"/>
          <w:i w:val="false"/>
          <w:iCs w:val="false"/>
          <w:sz w:val="22"/>
          <w:szCs w:val="22"/>
        </w:rPr>
        <w:t xml:space="preserve">) at batch size 128 for 500 epochs with early-stopping patience 100. Mixup augmentation (</w:t>
      </w:r>
      <w:r>
        <w:rPr>
          <w:rFonts w:ascii="Arial" w:cs="Arial" w:eastAsia="Arial" w:hAnsi="Arial"/>
          <w:b w:val="false"/>
          <w:bCs w:val="false"/>
          <w:i/>
          <w:iCs/>
          <w:sz w:val="22"/>
          <w:szCs w:val="22"/>
        </w:rPr>
        <w:t xml:space="preserve">α</w:t>
      </w:r>
      <w:r>
        <w:rPr>
          <w:rFonts w:ascii="Arial" w:cs="Arial" w:eastAsia="Arial" w:hAnsi="Arial"/>
          <w:b w:val="false"/>
          <w:bCs w:val="false"/>
          <w:i w:val="false"/>
          <w:iCs w:val="false"/>
          <w:sz w:val="22"/>
          <w:szCs w:val="22"/>
        </w:rPr>
        <w:t xml:space="preserve"> = 0.025) is applied to input-target pairs throughout training. Stochastic weight averaging is engaged from epoch fraction 0.765 at SWA learning rate 2.513 × 10</w:t>
      </w:r>
      <w:r>
        <w:rPr>
          <w:rFonts w:ascii="Arial" w:cs="Arial" w:eastAsia="Arial" w:hAnsi="Arial"/>
          <w:b w:val="false"/>
          <w:bCs w:val="false"/>
          <w:i w:val="false"/>
          <w:iCs w:val="false"/>
          <w:sz w:val="22"/>
          <w:szCs w:val="22"/>
          <w:vertAlign w:val="superscript"/>
        </w:rPr>
        <w:t xml:space="preserve">−5</w:t>
      </w:r>
      <w:r>
        <w:rPr>
          <w:rFonts w:ascii="Arial" w:cs="Arial" w:eastAsia="Arial" w:hAnsi="Arial"/>
          <w:b w:val="false"/>
          <w:bCs w:val="false"/>
          <w:i w:val="false"/>
          <w:iCs w:val="false"/>
          <w:sz w:val="22"/>
          <w:szCs w:val="22"/>
        </w:rPr>
        <w:t xml:space="preserve">; the SWA weights form the final model. Dropout 0.167 is applied between hidden layers; LayerNorm is applied per branch. Training and analysis were performed on a consumer laptop (Apple MacBook Pro) using PyTorch's CPU backend; the moderate parameter count (2,224 hidden neurons) and small training set (1,188 compositions) make dedicated GPU hardware unnecessary, although MPS (Apple Silicon) and CUDA backends are supported by the released code. A single-seed training run completes within tens of minutes; the 5-seed ensemble trains serially in under an hour. Inference is sub-second per composition. The loss is</w:t>
      </w:r>
    </w:p>
    <w:p>
      <w:pPr>
        <w:tabs>
          <w:tab w:val="center" w:pos="4824"/>
          <w:tab w:val="right" w:pos="9648"/>
        </w:tabs>
        <w:spacing w:after="240" w:before="240" w:line="360" w:lineRule="auto"/>
        <w:jc w:val="left"/>
      </w:pPr>
      <w:r>
        <w:rPr>
          <w:rFonts w:ascii="Arial" w:cs="Arial" w:eastAsia="Arial" w:hAnsi="Arial"/>
          <w:sz w:val="22"/>
          <w:szCs w:val="22"/>
        </w:rPr>
        <w:t xml:space="preserve">	</w:t>
      </w:r>
      <m:oMath>
        <m:r>
          <m:t>L</m:t>
        </m:r>
        <m:r>
          <m:t> = </m:t>
        </m:r>
        <m:sSub>
          <m:sSubPr/>
          <m:e>
            <m:r>
              <m:t>α</m:t>
            </m:r>
          </m:e>
          <m:sub>
            <m:r>
              <m:t>log</m:t>
            </m:r>
          </m:sub>
        </m:sSub>
        <m:sSub>
          <m:sSubPr/>
          <m:e>
            <m:r>
              <m:t>L</m:t>
            </m:r>
          </m:e>
          <m:sub>
            <m:r>
              <m:t>log</m:t>
            </m:r>
          </m:sub>
        </m:sSub>
        <m:r>
          <m:t> + </m:t>
        </m:r>
        <m:d>
          <m:dPr/>
          <m:e>
            <m:r>
              <m:t>1 − </m:t>
            </m:r>
            <m:sSub>
              <m:sSubPr/>
              <m:e>
                <m:r>
                  <m:t>α</m:t>
                </m:r>
              </m:e>
              <m:sub>
                <m:r>
                  <m:t>log</m:t>
                </m:r>
              </m:sub>
            </m:sSub>
          </m:e>
        </m:d>
        <m:r>
          <m:t> </m:t>
        </m:r>
        <m:func>
          <m:funcPr/>
          <m:fName>
            <m:r>
              <m:t>MSE</m:t>
            </m:r>
          </m:fName>
          <m:e>
            <m:d>
              <m:dPr/>
              <m:e>
                <m:sSub>
                  <m:sSubPr/>
                  <m:e>
                    <m:r>
                      <m:t>ε</m:t>
                    </m:r>
                  </m:e>
                  <m:sub>
                    <m:r>
                      <m:t>r</m:t>
                    </m:r>
                  </m:sub>
                </m:sSub>
                <m:r>
                  <m:t>, </m:t>
                </m:r>
                <m:sSub>
                  <m:sSubPr/>
                  <m:e>
                    <m:r>
                      <m:t>ε̂</m:t>
                    </m:r>
                  </m:e>
                  <m:sub>
                    <m:r>
                      <m:t>r</m:t>
                    </m:r>
                  </m:sub>
                </m:sSub>
              </m:e>
            </m:d>
          </m:e>
        </m:func>
        <m:r>
          <m:t> + </m:t>
        </m:r>
        <m:sSub>
          <m:sSubPr/>
          <m:e>
            <m:r>
              <m:t>λ</m:t>
            </m:r>
          </m:e>
          <m:sub>
            <m:r>
              <m:t>LST</m:t>
            </m:r>
          </m:sub>
        </m:sSub>
        <m:sSub>
          <m:sSubPr/>
          <m:e>
            <m:r>
              <m:t>L</m:t>
            </m:r>
          </m:e>
          <m:sub>
            <m:r>
              <m:t>LST</m:t>
            </m:r>
          </m:sub>
        </m:sSub>
        <m:r>
          <m:t> + </m:t>
        </m:r>
        <m:sSub>
          <m:sSubPr/>
          <m:e>
            <m:r>
              <m:t>λ</m:t>
            </m:r>
          </m:e>
          <m:sub>
            <m:r>
              <m:t>GII</m:t>
            </m:r>
          </m:sub>
        </m:sSub>
        <m:sSub>
          <m:sSubPr/>
          <m:e>
            <m:r>
              <m:t>L</m:t>
            </m:r>
          </m:e>
          <m:sub>
            <m:r>
              <m:t>GII</m:t>
            </m:r>
          </m:sub>
        </m:sSub>
        <m:r>
          <m:t> + </m:t>
        </m:r>
        <m:sSub>
          <m:sSubPr/>
          <m:e>
            <m:r>
              <m:t>λ</m:t>
            </m:r>
          </m:e>
          <m:sub>
            <m:r>
              <m:t>VCA</m:t>
            </m:r>
          </m:sub>
        </m:sSub>
        <m:sSub>
          <m:sSubPr/>
          <m:e>
            <m:r>
              <m:t>L</m:t>
            </m:r>
          </m:e>
          <m:sub>
            <m:r>
              <m:t>VCA</m:t>
            </m:r>
          </m:sub>
        </m:sSub>
      </m:oMath>
      <w:r>
        <w:rPr>
          <w:rFonts w:ascii="Arial" w:cs="Arial" w:eastAsia="Arial" w:hAnsi="Arial"/>
          <w:sz w:val="22"/>
          <w:szCs w:val="22"/>
        </w:rPr>
        <w:t xml:space="preserve">	</w:t>
      </w:r>
      <w:r>
        <w:rPr>
          <w:rFonts w:ascii="Arial" w:cs="Arial" w:eastAsia="Arial" w:hAnsi="Arial"/>
          <w:sz w:val="22"/>
          <w:szCs w:val="22"/>
        </w:rPr>
        <w:t xml:space="preserve">(11)</w:t>
      </w:r>
    </w:p>
    <w:p>
      <w:pPr>
        <w:spacing w:after="120" w:line="252" w:lineRule="auto"/>
        <w:jc w:val="left"/>
      </w:pPr>
      <w:r>
        <w:rPr>
          <w:rFonts w:ascii="Arial" w:cs="Arial" w:eastAsia="Arial" w:hAnsi="Arial"/>
          <w:b w:val="false"/>
          <w:bCs w:val="false"/>
          <w:i w:val="false"/>
          <w:iCs w:val="false"/>
          <w:sz w:val="22"/>
          <w:szCs w:val="22"/>
        </w:rPr>
        <w:t xml:space="preserve">with </w:t>
      </w:r>
      <w:r>
        <w:rPr>
          <w:rFonts w:ascii="Arial" w:cs="Arial" w:eastAsia="Arial" w:hAnsi="Arial"/>
          <w:b w:val="false"/>
          <w:bCs w:val="false"/>
          <w:i/>
          <w:iCs/>
          <w:sz w:val="22"/>
          <w:szCs w:val="22"/>
        </w:rPr>
        <w:t xml:space="preserve">λ</w:t>
      </w:r>
      <w:r>
        <w:rPr>
          <w:rFonts w:ascii="Arial" w:cs="Arial" w:eastAsia="Arial" w:hAnsi="Arial"/>
          <w:b w:val="false"/>
          <w:bCs w:val="false"/>
          <w:i w:val="false"/>
          <w:iCs w:val="false"/>
          <w:sz w:val="22"/>
          <w:szCs w:val="22"/>
          <w:vertAlign w:val="subscript"/>
        </w:rPr>
        <w:t xml:space="preserve">LST</w:t>
      </w:r>
      <w:r>
        <w:rPr>
          <w:rFonts w:ascii="Arial" w:cs="Arial" w:eastAsia="Arial" w:hAnsi="Arial"/>
          <w:b w:val="false"/>
          <w:bCs w:val="false"/>
          <w:i w:val="false"/>
          <w:iCs w:val="false"/>
          <w:sz w:val="22"/>
          <w:szCs w:val="22"/>
        </w:rPr>
        <w:t xml:space="preserve"> = 1.484 × 10</w:t>
      </w:r>
      <w:r>
        <w:rPr>
          <w:rFonts w:ascii="Arial" w:cs="Arial" w:eastAsia="Arial" w:hAnsi="Arial"/>
          <w:b w:val="false"/>
          <w:bCs w:val="false"/>
          <w:i w:val="false"/>
          <w:iCs w:val="false"/>
          <w:sz w:val="22"/>
          <w:szCs w:val="22"/>
          <w:vertAlign w:val="superscript"/>
        </w:rPr>
        <w:t xml:space="preserve">−3</w:t>
      </w:r>
      <w:r>
        <w:rPr>
          <w:rFonts w:ascii="Arial" w:cs="Arial" w:eastAsia="Arial" w:hAnsi="Arial"/>
          <w:b w:val="false"/>
          <w:bCs w:val="false"/>
          <w:i w:val="false"/>
          <w:iCs w:val="false"/>
          <w:sz w:val="22"/>
          <w:szCs w:val="22"/>
        </w:rPr>
        <w:t xml:space="preserve">, </w:t>
      </w:r>
      <w:r>
        <w:rPr>
          <w:rFonts w:ascii="Arial" w:cs="Arial" w:eastAsia="Arial" w:hAnsi="Arial"/>
          <w:b w:val="false"/>
          <w:bCs w:val="false"/>
          <w:i/>
          <w:iCs/>
          <w:sz w:val="22"/>
          <w:szCs w:val="22"/>
        </w:rPr>
        <w:t xml:space="preserve">λ</w:t>
      </w:r>
      <w:r>
        <w:rPr>
          <w:rFonts w:ascii="Arial" w:cs="Arial" w:eastAsia="Arial" w:hAnsi="Arial"/>
          <w:b w:val="false"/>
          <w:bCs w:val="false"/>
          <w:i w:val="false"/>
          <w:iCs w:val="false"/>
          <w:sz w:val="22"/>
          <w:szCs w:val="22"/>
          <w:vertAlign w:val="subscript"/>
        </w:rPr>
        <w:t xml:space="preserve">GII</w:t>
      </w:r>
      <w:r>
        <w:rPr>
          <w:rFonts w:ascii="Arial" w:cs="Arial" w:eastAsia="Arial" w:hAnsi="Arial"/>
          <w:b w:val="false"/>
          <w:bCs w:val="false"/>
          <w:i w:val="false"/>
          <w:iCs w:val="false"/>
          <w:sz w:val="22"/>
          <w:szCs w:val="22"/>
        </w:rPr>
        <w:t xml:space="preserve"> = 0.030, </w:t>
      </w:r>
      <w:r>
        <w:rPr>
          <w:rFonts w:ascii="Arial" w:cs="Arial" w:eastAsia="Arial" w:hAnsi="Arial"/>
          <w:b w:val="false"/>
          <w:bCs w:val="false"/>
          <w:i/>
          <w:iCs/>
          <w:sz w:val="22"/>
          <w:szCs w:val="22"/>
        </w:rPr>
        <w:t xml:space="preserve">λ</w:t>
      </w:r>
      <w:r>
        <w:rPr>
          <w:rFonts w:ascii="Arial" w:cs="Arial" w:eastAsia="Arial" w:hAnsi="Arial"/>
          <w:b w:val="false"/>
          <w:bCs w:val="false"/>
          <w:i w:val="false"/>
          <w:iCs w:val="false"/>
          <w:sz w:val="22"/>
          <w:szCs w:val="22"/>
          <w:vertAlign w:val="subscript"/>
        </w:rPr>
        <w:t xml:space="preserve">VCA</w:t>
      </w:r>
      <w:r>
        <w:rPr>
          <w:rFonts w:ascii="Arial" w:cs="Arial" w:eastAsia="Arial" w:hAnsi="Arial"/>
          <w:b w:val="false"/>
          <w:bCs w:val="false"/>
          <w:i w:val="false"/>
          <w:iCs w:val="false"/>
          <w:sz w:val="22"/>
          <w:szCs w:val="22"/>
        </w:rPr>
        <w:t xml:space="preserve"> = 4.470 × 10</w:t>
      </w:r>
      <w:r>
        <w:rPr>
          <w:rFonts w:ascii="Arial" w:cs="Arial" w:eastAsia="Arial" w:hAnsi="Arial"/>
          <w:b w:val="false"/>
          <w:bCs w:val="false"/>
          <w:i w:val="false"/>
          <w:iCs w:val="false"/>
          <w:sz w:val="22"/>
          <w:szCs w:val="22"/>
          <w:vertAlign w:val="superscript"/>
        </w:rPr>
        <w:t xml:space="preserve">−2</w:t>
      </w:r>
      <w:r>
        <w:rPr>
          <w:rFonts w:ascii="Arial" w:cs="Arial" w:eastAsia="Arial" w:hAnsi="Arial"/>
          <w:b w:val="false"/>
          <w:bCs w:val="false"/>
          <w:i w:val="false"/>
          <w:iCs w:val="false"/>
          <w:sz w:val="22"/>
          <w:szCs w:val="22"/>
        </w:rPr>
        <w:t xml:space="preserve"> and log-loss weight </w:t>
      </w:r>
      <w:r>
        <w:rPr>
          <w:rFonts w:ascii="Arial" w:cs="Arial" w:eastAsia="Arial" w:hAnsi="Arial"/>
          <w:b w:val="false"/>
          <w:bCs w:val="false"/>
          <w:i/>
          <w:iCs/>
          <w:sz w:val="22"/>
          <w:szCs w:val="22"/>
        </w:rPr>
        <w:t xml:space="preserve">α</w:t>
      </w:r>
      <w:r>
        <w:rPr>
          <w:rFonts w:ascii="Arial" w:cs="Arial" w:eastAsia="Arial" w:hAnsi="Arial"/>
          <w:b w:val="false"/>
          <w:bCs w:val="false"/>
          <w:i w:val="false"/>
          <w:iCs w:val="false"/>
          <w:sz w:val="22"/>
          <w:szCs w:val="22"/>
          <w:vertAlign w:val="subscript"/>
        </w:rPr>
        <w:t xml:space="preserve">log</w:t>
      </w:r>
      <w:r>
        <w:rPr>
          <w:rFonts w:ascii="Arial" w:cs="Arial" w:eastAsia="Arial" w:hAnsi="Arial"/>
          <w:b w:val="false"/>
          <w:bCs w:val="false"/>
          <w:i w:val="false"/>
          <w:iCs w:val="false"/>
          <w:sz w:val="22"/>
          <w:szCs w:val="22"/>
        </w:rPr>
        <w:t xml:space="preserve"> = 0.505. The three physics penalties have explicit forms:</w:t>
      </w:r>
    </w:p>
    <w:p>
      <w:pPr>
        <w:tabs>
          <w:tab w:val="center" w:pos="4824"/>
          <w:tab w:val="right" w:pos="9648"/>
        </w:tabs>
        <w:spacing w:after="240" w:before="240" w:line="360" w:lineRule="auto"/>
        <w:jc w:val="left"/>
      </w:pPr>
      <w:r>
        <w:rPr>
          <w:rFonts w:ascii="Arial" w:cs="Arial" w:eastAsia="Arial" w:hAnsi="Arial"/>
          <w:sz w:val="22"/>
          <w:szCs w:val="22"/>
        </w:rPr>
        <w:t xml:space="preserve">	</w:t>
      </w:r>
      <w:r>
        <w:rPr>
          <w:rFonts w:ascii="Arial" w:cs="Arial" w:eastAsia="Arial" w:hAnsi="Arial"/>
          <w:b w:val="false"/>
          <w:bCs w:val="false"/>
          <w:i/>
          <w:iCs/>
          <w:sz w:val="22"/>
          <w:szCs w:val="22"/>
        </w:rPr>
        <w:t xml:space="preserve">L</w:t>
      </w:r>
      <w:r>
        <w:rPr>
          <w:rFonts w:ascii="Arial" w:cs="Arial" w:eastAsia="Arial" w:hAnsi="Arial"/>
          <w:b w:val="false"/>
          <w:bCs w:val="false"/>
          <w:i w:val="false"/>
          <w:iCs w:val="false"/>
          <w:sz w:val="22"/>
          <w:szCs w:val="22"/>
          <w:vertAlign w:val="subscript"/>
        </w:rPr>
        <w:t xml:space="preserve">LST</w:t>
      </w:r>
      <w:r>
        <w:rPr>
          <w:rFonts w:ascii="Arial" w:cs="Arial" w:eastAsia="Arial" w:hAnsi="Arial"/>
          <w:b w:val="false"/>
          <w:bCs w:val="false"/>
          <w:i w:val="false"/>
          <w:iCs w:val="false"/>
          <w:sz w:val="22"/>
          <w:szCs w:val="22"/>
        </w:rPr>
        <w:t xml:space="preserve"> = ⟨ ReLU(</w:t>
      </w:r>
      <w:r>
        <w:rPr>
          <w:rFonts w:ascii="Arial" w:cs="Arial" w:eastAsia="Arial" w:hAnsi="Arial"/>
          <w:b w:val="false"/>
          <w:bCs w:val="false"/>
          <w:i/>
          <w:iCs/>
          <w:sz w:val="22"/>
          <w:szCs w:val="22"/>
        </w:rPr>
        <w:t xml:space="preserve">δ</w:t>
      </w:r>
      <w:r>
        <w:rPr>
          <w:rFonts w:ascii="Arial" w:cs="Arial" w:eastAsia="Arial" w:hAnsi="Arial"/>
          <w:b w:val="false"/>
          <w:bCs w:val="false"/>
          <w:i w:val="false"/>
          <w:iCs w:val="false"/>
          <w:sz w:val="22"/>
          <w:szCs w:val="22"/>
          <w:vertAlign w:val="subscript"/>
        </w:rPr>
        <w:t xml:space="preserve">LST</w:t>
      </w:r>
      <w:r>
        <w:rPr>
          <w:rFonts w:ascii="Arial" w:cs="Arial" w:eastAsia="Arial" w:hAnsi="Arial"/>
          <w:b w:val="false"/>
          <w:bCs w:val="false"/>
          <w:i w:val="false"/>
          <w:iCs w:val="false"/>
          <w:sz w:val="22"/>
          <w:szCs w:val="22"/>
        </w:rPr>
        <w:t xml:space="preserve"> − 5 </w:t>
      </w:r>
      <w:r>
        <w:rPr>
          <w:rFonts w:ascii="Arial" w:cs="Arial" w:eastAsia="Arial" w:hAnsi="Arial"/>
          <w:b w:val="false"/>
          <w:bCs w:val="false"/>
          <w:i/>
          <w:iCs/>
          <w:sz w:val="22"/>
          <w:szCs w:val="22"/>
        </w:rPr>
        <w:t xml:space="preserve">ε</w:t>
      </w:r>
      <w:r>
        <w:rPr>
          <w:rFonts w:ascii="Arial" w:cs="Arial" w:eastAsia="Arial" w:hAnsi="Arial"/>
          <w:b w:val="false"/>
          <w:bCs w:val="false"/>
          <w:i w:val="false"/>
          <w:iCs w:val="false"/>
          <w:sz w:val="22"/>
          <w:szCs w:val="22"/>
          <w:vertAlign w:val="subscript"/>
        </w:rPr>
        <w:t xml:space="preserve">r,CM</w:t>
      </w:r>
      <w:r>
        <w:rPr>
          <w:rFonts w:ascii="Arial" w:cs="Arial" w:eastAsia="Arial" w:hAnsi="Arial"/>
          <w:b w:val="false"/>
          <w:bCs w:val="false"/>
          <w:i w:val="false"/>
          <w:iCs w:val="false"/>
          <w:sz w:val="22"/>
          <w:szCs w:val="22"/>
        </w:rPr>
        <w:t xml:space="preserve">)</w:t>
      </w:r>
      <w:r>
        <w:rPr>
          <w:rFonts w:ascii="Arial" w:cs="Arial" w:eastAsia="Arial" w:hAnsi="Arial"/>
          <w:b w:val="false"/>
          <w:bCs w:val="false"/>
          <w:i w:val="false"/>
          <w:iCs w:val="false"/>
          <w:sz w:val="22"/>
          <w:szCs w:val="22"/>
          <w:vertAlign w:val="superscript"/>
        </w:rPr>
        <w:t xml:space="preserve">2</w:t>
      </w:r>
      <w:r>
        <w:rPr>
          <w:rFonts w:ascii="Arial" w:cs="Arial" w:eastAsia="Arial" w:hAnsi="Arial"/>
          <w:b w:val="false"/>
          <w:bCs w:val="false"/>
          <w:i w:val="false"/>
          <w:iCs w:val="false"/>
          <w:sz w:val="22"/>
          <w:szCs w:val="22"/>
        </w:rPr>
        <w:t xml:space="preserve"> ⟩</w:t>
      </w:r>
      <w:r>
        <w:rPr>
          <w:rFonts w:ascii="Arial" w:cs="Arial" w:eastAsia="Arial" w:hAnsi="Arial"/>
          <w:sz w:val="22"/>
          <w:szCs w:val="22"/>
        </w:rPr>
        <w:t xml:space="preserve">	</w:t>
      </w:r>
      <w:r>
        <w:rPr>
          <w:rFonts w:ascii="Arial" w:cs="Arial" w:eastAsia="Arial" w:hAnsi="Arial"/>
          <w:sz w:val="22"/>
          <w:szCs w:val="22"/>
        </w:rPr>
        <w:t xml:space="preserve">(12)</w:t>
      </w:r>
    </w:p>
    <w:p>
      <w:pPr>
        <w:tabs>
          <w:tab w:val="center" w:pos="4824"/>
          <w:tab w:val="right" w:pos="9648"/>
        </w:tabs>
        <w:spacing w:after="240" w:before="240" w:line="360" w:lineRule="auto"/>
        <w:jc w:val="left"/>
      </w:pPr>
      <w:r>
        <w:rPr>
          <w:rFonts w:ascii="Arial" w:cs="Arial" w:eastAsia="Arial" w:hAnsi="Arial"/>
          <w:sz w:val="22"/>
          <w:szCs w:val="22"/>
        </w:rPr>
        <w:t xml:space="preserve">	</w:t>
      </w:r>
      <w:r>
        <w:rPr>
          <w:rFonts w:ascii="Arial" w:cs="Arial" w:eastAsia="Arial" w:hAnsi="Arial"/>
          <w:b w:val="false"/>
          <w:bCs w:val="false"/>
          <w:i/>
          <w:iCs/>
          <w:sz w:val="22"/>
          <w:szCs w:val="22"/>
        </w:rPr>
        <w:t xml:space="preserve">L</w:t>
      </w:r>
      <w:r>
        <w:rPr>
          <w:rFonts w:ascii="Arial" w:cs="Arial" w:eastAsia="Arial" w:hAnsi="Arial"/>
          <w:b w:val="false"/>
          <w:bCs w:val="false"/>
          <w:i w:val="false"/>
          <w:iCs w:val="false"/>
          <w:sz w:val="22"/>
          <w:szCs w:val="22"/>
          <w:vertAlign w:val="subscript"/>
        </w:rPr>
        <w:t xml:space="preserve">GII</w:t>
      </w:r>
      <w:r>
        <w:rPr>
          <w:rFonts w:ascii="Arial" w:cs="Arial" w:eastAsia="Arial" w:hAnsi="Arial"/>
          <w:b w:val="false"/>
          <w:bCs w:val="false"/>
          <w:i w:val="false"/>
          <w:iCs w:val="false"/>
          <w:sz w:val="22"/>
          <w:szCs w:val="22"/>
        </w:rPr>
        <w:t xml:space="preserve"> = ⟨ ReLU(</w:t>
      </w:r>
      <w:r>
        <w:rPr>
          <w:rFonts w:ascii="Arial" w:cs="Arial" w:eastAsia="Arial" w:hAnsi="Arial"/>
          <w:b w:val="false"/>
          <w:bCs w:val="false"/>
          <w:i/>
          <w:iCs/>
          <w:sz w:val="22"/>
          <w:szCs w:val="22"/>
        </w:rPr>
        <w:t xml:space="preserve">ε</w:t>
      </w:r>
      <w:r>
        <w:rPr>
          <w:rFonts w:ascii="Arial" w:cs="Arial" w:eastAsia="Arial" w:hAnsi="Arial"/>
          <w:b w:val="false"/>
          <w:bCs w:val="false"/>
          <w:i w:val="false"/>
          <w:iCs w:val="false"/>
          <w:sz w:val="22"/>
          <w:szCs w:val="22"/>
          <w:vertAlign w:val="subscript"/>
        </w:rPr>
        <w:t xml:space="preserve">r,CM</w:t>
      </w:r>
      <w:r>
        <w:rPr>
          <w:rFonts w:ascii="Arial" w:cs="Arial" w:eastAsia="Arial" w:hAnsi="Arial"/>
          <w:b w:val="false"/>
          <w:bCs w:val="false"/>
          <w:i w:val="false"/>
          <w:iCs w:val="false"/>
          <w:sz w:val="22"/>
          <w:szCs w:val="22"/>
        </w:rPr>
        <w:t xml:space="preserve"> − </w:t>
      </w:r>
      <w:r>
        <w:rPr>
          <w:rFonts w:ascii="Arial" w:cs="Arial" w:eastAsia="Arial" w:hAnsi="Arial"/>
          <w:b w:val="false"/>
          <w:bCs w:val="false"/>
          <w:i/>
          <w:iCs/>
          <w:sz w:val="22"/>
          <w:szCs w:val="22"/>
        </w:rPr>
        <w:t xml:space="preserve">ε̂</w:t>
      </w:r>
      <w:r>
        <w:rPr>
          <w:rFonts w:ascii="Arial" w:cs="Arial" w:eastAsia="Arial" w:hAnsi="Arial"/>
          <w:b w:val="false"/>
          <w:bCs w:val="false"/>
          <w:i w:val="false"/>
          <w:iCs w:val="false"/>
          <w:sz w:val="22"/>
          <w:szCs w:val="22"/>
          <w:vertAlign w:val="subscript"/>
        </w:rPr>
        <w:t xml:space="preserve">r</w:t>
      </w:r>
      <w:r>
        <w:rPr>
          <w:rFonts w:ascii="Arial" w:cs="Arial" w:eastAsia="Arial" w:hAnsi="Arial"/>
          <w:b w:val="false"/>
          <w:bCs w:val="false"/>
          <w:i w:val="false"/>
          <w:iCs w:val="false"/>
          <w:sz w:val="22"/>
          <w:szCs w:val="22"/>
        </w:rPr>
        <w:t xml:space="preserve">)</w:t>
      </w:r>
      <w:r>
        <w:rPr>
          <w:rFonts w:ascii="Arial" w:cs="Arial" w:eastAsia="Arial" w:hAnsi="Arial"/>
          <w:b w:val="false"/>
          <w:bCs w:val="false"/>
          <w:i w:val="false"/>
          <w:iCs w:val="false"/>
          <w:sz w:val="22"/>
          <w:szCs w:val="22"/>
          <w:vertAlign w:val="superscript"/>
        </w:rPr>
        <w:t xml:space="preserve">2</w:t>
      </w:r>
      <w:r>
        <w:rPr>
          <w:rFonts w:ascii="Arial" w:cs="Arial" w:eastAsia="Arial" w:hAnsi="Arial"/>
          <w:b w:val="false"/>
          <w:bCs w:val="false"/>
          <w:i w:val="false"/>
          <w:iCs w:val="false"/>
          <w:sz w:val="22"/>
          <w:szCs w:val="22"/>
        </w:rPr>
        <w:t xml:space="preserve"> 𝕀</w:t>
      </w:r>
      <w:r>
        <w:rPr>
          <w:rFonts w:ascii="Arial" w:cs="Arial" w:eastAsia="Arial" w:hAnsi="Arial"/>
          <w:b w:val="false"/>
          <w:bCs w:val="false"/>
          <w:i w:val="false"/>
          <w:iCs w:val="false"/>
          <w:sz w:val="22"/>
          <w:szCs w:val="22"/>
          <w:vertAlign w:val="subscript"/>
        </w:rPr>
        <w:t xml:space="preserve">GII&lt;0.3</w:t>
      </w:r>
      <w:r>
        <w:rPr>
          <w:rFonts w:ascii="Arial" w:cs="Arial" w:eastAsia="Arial" w:hAnsi="Arial"/>
          <w:b w:val="false"/>
          <w:bCs w:val="false"/>
          <w:i w:val="false"/>
          <w:iCs w:val="false"/>
          <w:sz w:val="22"/>
          <w:szCs w:val="22"/>
        </w:rPr>
        <w:t xml:space="preserve"> ⟩</w:t>
      </w:r>
      <w:r>
        <w:rPr>
          <w:rFonts w:ascii="Arial" w:cs="Arial" w:eastAsia="Arial" w:hAnsi="Arial"/>
          <w:sz w:val="22"/>
          <w:szCs w:val="22"/>
        </w:rPr>
        <w:t xml:space="preserve">	</w:t>
      </w:r>
      <w:r>
        <w:rPr>
          <w:rFonts w:ascii="Arial" w:cs="Arial" w:eastAsia="Arial" w:hAnsi="Arial"/>
          <w:sz w:val="22"/>
          <w:szCs w:val="22"/>
        </w:rPr>
        <w:t xml:space="preserve">(13)</w:t>
      </w:r>
    </w:p>
    <w:p>
      <w:pPr>
        <w:tabs>
          <w:tab w:val="center" w:pos="4824"/>
          <w:tab w:val="right" w:pos="9648"/>
        </w:tabs>
        <w:spacing w:after="240" w:before="240" w:line="360" w:lineRule="auto"/>
        <w:jc w:val="left"/>
      </w:pPr>
      <w:r>
        <w:rPr>
          <w:rFonts w:ascii="Arial" w:cs="Arial" w:eastAsia="Arial" w:hAnsi="Arial"/>
          <w:sz w:val="22"/>
          <w:szCs w:val="22"/>
        </w:rPr>
        <w:t xml:space="preserve">	</w:t>
      </w:r>
      <w:r>
        <w:rPr>
          <w:rFonts w:ascii="Arial" w:cs="Arial" w:eastAsia="Arial" w:hAnsi="Arial"/>
          <w:b w:val="false"/>
          <w:bCs w:val="false"/>
          <w:i/>
          <w:iCs/>
          <w:sz w:val="22"/>
          <w:szCs w:val="22"/>
        </w:rPr>
        <w:t xml:space="preserve">L</w:t>
      </w:r>
      <w:r>
        <w:rPr>
          <w:rFonts w:ascii="Arial" w:cs="Arial" w:eastAsia="Arial" w:hAnsi="Arial"/>
          <w:b w:val="false"/>
          <w:bCs w:val="false"/>
          <w:i w:val="false"/>
          <w:iCs w:val="false"/>
          <w:sz w:val="22"/>
          <w:szCs w:val="22"/>
          <w:vertAlign w:val="subscript"/>
        </w:rPr>
        <w:t xml:space="preserve">VCA</w:t>
      </w:r>
      <w:r>
        <w:rPr>
          <w:rFonts w:ascii="Arial" w:cs="Arial" w:eastAsia="Arial" w:hAnsi="Arial"/>
          <w:b w:val="false"/>
          <w:bCs w:val="false"/>
          <w:i w:val="false"/>
          <w:iCs w:val="false"/>
          <w:sz w:val="22"/>
          <w:szCs w:val="22"/>
        </w:rPr>
        <w:t xml:space="preserve"> = ⟨ </w:t>
      </w:r>
      <w:r>
        <w:rPr>
          <w:rFonts w:ascii="Arial" w:cs="Arial" w:eastAsia="Arial" w:hAnsi="Arial"/>
          <w:b w:val="false"/>
          <w:bCs w:val="false"/>
          <w:i/>
          <w:iCs/>
          <w:sz w:val="22"/>
          <w:szCs w:val="22"/>
        </w:rPr>
        <w:t xml:space="preserve">δ</w:t>
      </w:r>
      <w:r>
        <w:rPr>
          <w:rFonts w:ascii="Arial" w:cs="Arial" w:eastAsia="Arial" w:hAnsi="Arial"/>
          <w:b w:val="false"/>
          <w:bCs w:val="false"/>
          <w:i w:val="false"/>
          <w:iCs w:val="false"/>
          <w:sz w:val="22"/>
          <w:szCs w:val="22"/>
          <w:vertAlign w:val="subscript"/>
        </w:rPr>
        <w:t xml:space="preserve">res</w:t>
      </w:r>
      <w:r>
        <w:rPr>
          <w:rFonts w:ascii="Arial" w:cs="Arial" w:eastAsia="Arial" w:hAnsi="Arial"/>
          <w:b w:val="false"/>
          <w:bCs w:val="false"/>
          <w:i w:val="false"/>
          <w:iCs w:val="false"/>
          <w:sz w:val="22"/>
          <w:szCs w:val="22"/>
          <w:vertAlign w:val="superscript"/>
        </w:rPr>
        <w:t xml:space="preserve">2</w:t>
      </w:r>
      <w:r>
        <w:rPr>
          <w:rFonts w:ascii="Arial" w:cs="Arial" w:eastAsia="Arial" w:hAnsi="Arial"/>
          <w:b w:val="false"/>
          <w:bCs w:val="false"/>
          <w:i w:val="false"/>
          <w:iCs w:val="false"/>
          <w:sz w:val="22"/>
          <w:szCs w:val="22"/>
        </w:rPr>
        <w:t xml:space="preserve"> </w:t>
      </w:r>
      <w:r>
        <w:rPr>
          <w:rFonts w:ascii="Arial" w:cs="Arial" w:eastAsia="Arial" w:hAnsi="Arial"/>
          <w:b w:val="false"/>
          <w:bCs w:val="false"/>
          <w:i/>
          <w:iCs/>
          <w:sz w:val="22"/>
          <w:szCs w:val="22"/>
        </w:rPr>
        <w:t xml:space="preserve">c</w:t>
      </w:r>
      <w:r>
        <w:rPr>
          <w:rFonts w:ascii="Arial" w:cs="Arial" w:eastAsia="Arial" w:hAnsi="Arial"/>
          <w:b w:val="false"/>
          <w:bCs w:val="false"/>
          <w:i w:val="false"/>
          <w:iCs w:val="false"/>
          <w:sz w:val="22"/>
          <w:szCs w:val="22"/>
          <w:vertAlign w:val="subscript"/>
        </w:rPr>
        <w:t xml:space="preserve">approx</w:t>
      </w:r>
      <w:r>
        <w:rPr>
          <w:rFonts w:ascii="Arial" w:cs="Arial" w:eastAsia="Arial" w:hAnsi="Arial"/>
          <w:b w:val="false"/>
          <w:bCs w:val="false"/>
          <w:i w:val="false"/>
          <w:iCs w:val="false"/>
          <w:sz w:val="22"/>
          <w:szCs w:val="22"/>
        </w:rPr>
        <w:t xml:space="preserve"> ⟩</w:t>
      </w:r>
      <w:r>
        <w:rPr>
          <w:rFonts w:ascii="Arial" w:cs="Arial" w:eastAsia="Arial" w:hAnsi="Arial"/>
          <w:sz w:val="22"/>
          <w:szCs w:val="22"/>
        </w:rPr>
        <w:t xml:space="preserve">	</w:t>
      </w:r>
      <w:r>
        <w:rPr>
          <w:rFonts w:ascii="Arial" w:cs="Arial" w:eastAsia="Arial" w:hAnsi="Arial"/>
          <w:sz w:val="22"/>
          <w:szCs w:val="22"/>
        </w:rPr>
        <w:t xml:space="preserve">(14)</w:t>
      </w:r>
    </w:p>
    <w:p>
      <w:pPr>
        <w:spacing w:after="120" w:line="252" w:lineRule="auto"/>
        <w:jc w:val="left"/>
      </w:pPr>
      <w:r>
        <w:rPr>
          <w:rFonts w:ascii="Arial" w:cs="Arial" w:eastAsia="Arial" w:hAnsi="Arial"/>
          <w:b w:val="false"/>
          <w:bCs w:val="false"/>
          <w:i w:val="false"/>
          <w:iCs w:val="false"/>
          <w:sz w:val="22"/>
          <w:szCs w:val="22"/>
        </w:rPr>
        <w:t xml:space="preserve">where ⟨·⟩ denotes the batch mean and </w:t>
      </w:r>
      <w:r>
        <w:rPr>
          <w:rFonts w:ascii="Arial" w:cs="Arial" w:eastAsia="Arial" w:hAnsi="Arial"/>
          <w:b w:val="false"/>
          <w:bCs w:val="false"/>
          <w:i/>
          <w:iCs/>
          <w:sz w:val="22"/>
          <w:szCs w:val="22"/>
        </w:rPr>
        <w:t xml:space="preserve">c</w:t>
      </w:r>
      <w:r>
        <w:rPr>
          <w:rFonts w:ascii="Arial" w:cs="Arial" w:eastAsia="Arial" w:hAnsi="Arial"/>
          <w:b w:val="false"/>
          <w:bCs w:val="false"/>
          <w:i w:val="false"/>
          <w:iCs w:val="false"/>
          <w:sz w:val="22"/>
          <w:szCs w:val="22"/>
          <w:vertAlign w:val="subscript"/>
        </w:rPr>
        <w:t xml:space="preserve">approx</w:t>
      </w:r>
      <w:r>
        <w:rPr>
          <w:rFonts w:ascii="Arial" w:cs="Arial" w:eastAsia="Arial" w:hAnsi="Arial"/>
          <w:b w:val="false"/>
          <w:bCs w:val="false"/>
          <w:i w:val="false"/>
          <w:iCs w:val="false"/>
          <w:sz w:val="22"/>
          <w:szCs w:val="22"/>
        </w:rPr>
        <w:t xml:space="preserve"> is the binary VCA indicator defined in eq. (9). </w:t>
      </w:r>
      <w:r>
        <w:rPr>
          <w:rFonts w:ascii="Arial" w:cs="Arial" w:eastAsia="Arial" w:hAnsi="Arial"/>
          <w:b w:val="false"/>
          <w:bCs w:val="false"/>
          <w:i/>
          <w:iCs/>
          <w:sz w:val="22"/>
          <w:szCs w:val="22"/>
        </w:rPr>
        <w:t xml:space="preserve">L</w:t>
      </w:r>
      <w:r>
        <w:rPr>
          <w:rFonts w:ascii="Arial" w:cs="Arial" w:eastAsia="Arial" w:hAnsi="Arial"/>
          <w:b w:val="false"/>
          <w:bCs w:val="false"/>
          <w:i w:val="false"/>
          <w:iCs w:val="false"/>
          <w:sz w:val="22"/>
          <w:szCs w:val="22"/>
          <w:vertAlign w:val="subscript"/>
        </w:rPr>
        <w:t xml:space="preserve">LST</w:t>
      </w:r>
      <w:r>
        <w:rPr>
          <w:rFonts w:ascii="Arial" w:cs="Arial" w:eastAsia="Arial" w:hAnsi="Arial"/>
          <w:b w:val="false"/>
          <w:bCs w:val="false"/>
          <w:i w:val="false"/>
          <w:iCs w:val="false"/>
          <w:sz w:val="22"/>
          <w:szCs w:val="22"/>
        </w:rPr>
        <w:t xml:space="preserve"> is a fixed proxy for the Lyddane–Sachs–Teller capacity (</w:t>
      </w:r>
      <w:r>
        <w:rPr>
          <w:rFonts w:ascii="Arial" w:cs="Arial" w:eastAsia="Arial" w:hAnsi="Arial"/>
          <w:b w:val="false"/>
          <w:bCs w:val="false"/>
          <w:i/>
          <w:iCs/>
          <w:sz w:val="22"/>
          <w:szCs w:val="22"/>
        </w:rPr>
        <w:t xml:space="preserve">ω</w:t>
      </w:r>
      <w:r>
        <w:rPr>
          <w:rFonts w:ascii="Arial" w:cs="Arial" w:eastAsia="Arial" w:hAnsi="Arial"/>
          <w:b w:val="false"/>
          <w:bCs w:val="false"/>
          <w:i w:val="false"/>
          <w:iCs w:val="false"/>
          <w:sz w:val="22"/>
          <w:szCs w:val="22"/>
          <w:vertAlign w:val="subscript"/>
        </w:rPr>
        <w:t xml:space="preserve">LO</w:t>
      </w:r>
      <w:r>
        <w:rPr>
          <w:rFonts w:ascii="Arial" w:cs="Arial" w:eastAsia="Arial" w:hAnsi="Arial"/>
          <w:b w:val="false"/>
          <w:bCs w:val="false"/>
          <w:i w:val="false"/>
          <w:iCs w:val="false"/>
          <w:sz w:val="22"/>
          <w:szCs w:val="22"/>
        </w:rPr>
        <w:t xml:space="preserve">/</w:t>
      </w:r>
      <w:r>
        <w:rPr>
          <w:rFonts w:ascii="Arial" w:cs="Arial" w:eastAsia="Arial" w:hAnsi="Arial"/>
          <w:b w:val="false"/>
          <w:bCs w:val="false"/>
          <w:i/>
          <w:iCs/>
          <w:sz w:val="22"/>
          <w:szCs w:val="22"/>
        </w:rPr>
        <w:t xml:space="preserve">ω</w:t>
      </w:r>
      <w:r>
        <w:rPr>
          <w:rFonts w:ascii="Arial" w:cs="Arial" w:eastAsia="Arial" w:hAnsi="Arial"/>
          <w:b w:val="false"/>
          <w:bCs w:val="false"/>
          <w:i w:val="false"/>
          <w:iCs w:val="false"/>
          <w:sz w:val="22"/>
          <w:szCs w:val="22"/>
          <w:vertAlign w:val="subscript"/>
        </w:rPr>
        <w:t xml:space="preserve">TO</w:t>
      </w:r>
      <w:r>
        <w:rPr>
          <w:rFonts w:ascii="Arial" w:cs="Arial" w:eastAsia="Arial" w:hAnsi="Arial"/>
          <w:b w:val="false"/>
          <w:bCs w:val="false"/>
          <w:i w:val="false"/>
          <w:iCs w:val="false"/>
          <w:sz w:val="22"/>
          <w:szCs w:val="22"/>
        </w:rPr>
        <w:t xml:space="preserve">)</w:t>
      </w:r>
      <w:r>
        <w:rPr>
          <w:rFonts w:ascii="Arial" w:cs="Arial" w:eastAsia="Arial" w:hAnsi="Arial"/>
          <w:b w:val="false"/>
          <w:bCs w:val="false"/>
          <w:i w:val="false"/>
          <w:iCs w:val="false"/>
          <w:sz w:val="22"/>
          <w:szCs w:val="22"/>
          <w:vertAlign w:val="superscript"/>
        </w:rPr>
        <w:t xml:space="preserve">2</w:t>
      </w:r>
      <w:r>
        <w:rPr>
          <w:rFonts w:ascii="Arial" w:cs="Arial" w:eastAsia="Arial" w:hAnsi="Arial"/>
          <w:b w:val="false"/>
          <w:bCs w:val="false"/>
          <w:i w:val="false"/>
          <w:iCs w:val="false"/>
          <w:sz w:val="22"/>
          <w:szCs w:val="22"/>
        </w:rPr>
        <w:t xml:space="preserve"> − 1, preventing the soft-mode branch from exceeding its physically admissible upper bound. </w:t>
      </w:r>
      <w:r>
        <w:rPr>
          <w:rFonts w:ascii="Arial" w:cs="Arial" w:eastAsia="Arial" w:hAnsi="Arial"/>
          <w:b w:val="false"/>
          <w:bCs w:val="false"/>
          <w:i/>
          <w:iCs/>
          <w:sz w:val="22"/>
          <w:szCs w:val="22"/>
        </w:rPr>
        <w:t xml:space="preserve">L</w:t>
      </w:r>
      <w:r>
        <w:rPr>
          <w:rFonts w:ascii="Arial" w:cs="Arial" w:eastAsia="Arial" w:hAnsi="Arial"/>
          <w:b w:val="false"/>
          <w:bCs w:val="false"/>
          <w:i w:val="false"/>
          <w:iCs w:val="false"/>
          <w:sz w:val="22"/>
          <w:szCs w:val="22"/>
          <w:vertAlign w:val="subscript"/>
        </w:rPr>
        <w:t xml:space="preserve">GII</w:t>
      </w:r>
      <w:r>
        <w:rPr>
          <w:rFonts w:ascii="Arial" w:cs="Arial" w:eastAsia="Arial" w:hAnsi="Arial"/>
          <w:b w:val="false"/>
          <w:bCs w:val="false"/>
          <w:i w:val="false"/>
          <w:iCs w:val="false"/>
          <w:sz w:val="22"/>
          <w:szCs w:val="22"/>
        </w:rPr>
        <w:t xml:space="preserve"> penalises predictions below </w:t>
      </w:r>
      <w:r>
        <w:rPr>
          <w:rFonts w:ascii="Arial" w:cs="Arial" w:eastAsia="Arial" w:hAnsi="Arial"/>
          <w:b w:val="false"/>
          <w:bCs w:val="false"/>
          <w:i/>
          <w:iCs/>
          <w:sz w:val="22"/>
          <w:szCs w:val="22"/>
        </w:rPr>
        <w:t xml:space="preserve">ε</w:t>
      </w:r>
      <w:r>
        <w:rPr>
          <w:rFonts w:ascii="Arial" w:cs="Arial" w:eastAsia="Arial" w:hAnsi="Arial"/>
          <w:b w:val="false"/>
          <w:bCs w:val="false"/>
          <w:i w:val="false"/>
          <w:iCs w:val="false"/>
          <w:sz w:val="22"/>
          <w:szCs w:val="22"/>
          <w:vertAlign w:val="subscript"/>
        </w:rPr>
        <w:t xml:space="preserve">r,CM</w:t>
      </w:r>
      <w:r>
        <w:rPr>
          <w:rFonts w:ascii="Arial" w:cs="Arial" w:eastAsia="Arial" w:hAnsi="Arial"/>
          <w:b w:val="false"/>
          <w:bCs w:val="false"/>
          <w:i w:val="false"/>
          <w:iCs w:val="false"/>
          <w:sz w:val="22"/>
          <w:szCs w:val="22"/>
        </w:rPr>
        <w:t xml:space="preserve"> for the 245 compositions with global instability index GII &lt; 0.3 (stable perovskites), using the bond-valence-derived GII validated against density-functional theory for perovskite oxides [47]. </w:t>
      </w:r>
      <w:r>
        <w:rPr>
          <w:rFonts w:ascii="Arial" w:cs="Arial" w:eastAsia="Arial" w:hAnsi="Arial"/>
          <w:b w:val="false"/>
          <w:bCs w:val="false"/>
          <w:i/>
          <w:iCs/>
          <w:sz w:val="22"/>
          <w:szCs w:val="22"/>
        </w:rPr>
        <w:t xml:space="preserve">L</w:t>
      </w:r>
      <w:r>
        <w:rPr>
          <w:rFonts w:ascii="Arial" w:cs="Arial" w:eastAsia="Arial" w:hAnsi="Arial"/>
          <w:b w:val="false"/>
          <w:bCs w:val="false"/>
          <w:i w:val="false"/>
          <w:iCs w:val="false"/>
          <w:sz w:val="22"/>
          <w:szCs w:val="22"/>
          <w:vertAlign w:val="subscript"/>
        </w:rPr>
        <w:t xml:space="preserve">VCA</w:t>
      </w:r>
      <w:r>
        <w:rPr>
          <w:rFonts w:ascii="Arial" w:cs="Arial" w:eastAsia="Arial" w:hAnsi="Arial"/>
          <w:b w:val="false"/>
          <w:bCs w:val="false"/>
          <w:i w:val="false"/>
          <w:iCs w:val="false"/>
          <w:sz w:val="22"/>
          <w:szCs w:val="22"/>
        </w:rPr>
        <w:t xml:space="preserve"> suppresses the residual branch where the CM baseline is virtual-crystal-approximated, preventing </w:t>
      </w:r>
      <w:r>
        <w:rPr>
          <w:rFonts w:ascii="Arial" w:cs="Arial" w:eastAsia="Arial" w:hAnsi="Arial"/>
          <w:b w:val="false"/>
          <w:bCs w:val="false"/>
          <w:i/>
          <w:iCs/>
          <w:sz w:val="22"/>
          <w:szCs w:val="22"/>
        </w:rPr>
        <w:t xml:space="preserve">δ</w:t>
      </w:r>
      <w:r>
        <w:rPr>
          <w:rFonts w:ascii="Arial" w:cs="Arial" w:eastAsia="Arial" w:hAnsi="Arial"/>
          <w:b w:val="false"/>
          <w:bCs w:val="false"/>
          <w:i w:val="false"/>
          <w:iCs w:val="false"/>
          <w:sz w:val="22"/>
          <w:szCs w:val="22"/>
          <w:vertAlign w:val="subscript"/>
        </w:rPr>
        <w:t xml:space="preserve">res</w:t>
      </w:r>
      <w:r>
        <w:rPr>
          <w:rFonts w:ascii="Arial" w:cs="Arial" w:eastAsia="Arial" w:hAnsi="Arial"/>
          <w:b w:val="false"/>
          <w:bCs w:val="false"/>
          <w:i w:val="false"/>
          <w:iCs w:val="false"/>
          <w:sz w:val="22"/>
          <w:szCs w:val="22"/>
        </w:rPr>
        <w:t xml:space="preserve"> from absorbing uncertainty that should remain attributed to the approximate baseline. </w:t>
      </w:r>
      <w:r>
        <w:rPr>
          <w:rFonts w:ascii="Arial" w:cs="Arial" w:eastAsia="Arial" w:hAnsi="Arial"/>
          <w:b w:val="false"/>
          <w:bCs w:val="false"/>
          <w:i/>
          <w:iCs/>
          <w:sz w:val="22"/>
          <w:szCs w:val="22"/>
        </w:rPr>
        <w:t xml:space="preserve">L</w:t>
      </w:r>
      <w:r>
        <w:rPr>
          <w:rFonts w:ascii="Arial" w:cs="Arial" w:eastAsia="Arial" w:hAnsi="Arial"/>
          <w:b w:val="false"/>
          <w:bCs w:val="false"/>
          <w:i w:val="false"/>
          <w:iCs w:val="false"/>
          <w:sz w:val="22"/>
          <w:szCs w:val="22"/>
          <w:vertAlign w:val="subscript"/>
        </w:rPr>
        <w:t xml:space="preserve">log</w:t>
      </w:r>
      <w:r>
        <w:rPr>
          <w:rFonts w:ascii="Arial" w:cs="Arial" w:eastAsia="Arial" w:hAnsi="Arial"/>
          <w:b w:val="false"/>
          <w:bCs w:val="false"/>
          <w:i w:val="false"/>
          <w:iCs w:val="false"/>
          <w:sz w:val="22"/>
          <w:szCs w:val="22"/>
        </w:rPr>
        <w:t xml:space="preserve"> is a log-domain MSE that down-weights large-</w:t>
      </w:r>
      <w:r>
        <w:rPr>
          <w:rFonts w:ascii="Arial" w:cs="Arial" w:eastAsia="Arial" w:hAnsi="Arial"/>
          <w:b w:val="false"/>
          <w:bCs w:val="false"/>
          <w:i/>
          <w:iCs/>
          <w:sz w:val="22"/>
          <w:szCs w:val="22"/>
        </w:rPr>
        <w:t xml:space="preserve">ε</w:t>
      </w:r>
      <w:r>
        <w:rPr>
          <w:rFonts w:ascii="Arial" w:cs="Arial" w:eastAsia="Arial" w:hAnsi="Arial"/>
          <w:b w:val="false"/>
          <w:bCs w:val="false"/>
          <w:i w:val="false"/>
          <w:iCs w:val="false"/>
          <w:sz w:val="22"/>
          <w:szCs w:val="22"/>
          <w:vertAlign w:val="subscript"/>
        </w:rPr>
        <w:t xml:space="preserve">r</w:t>
      </w:r>
      <w:r>
        <w:rPr>
          <w:rFonts w:ascii="Arial" w:cs="Arial" w:eastAsia="Arial" w:hAnsi="Arial"/>
          <w:b w:val="false"/>
          <w:bCs w:val="false"/>
          <w:i w:val="false"/>
          <w:iCs w:val="false"/>
          <w:sz w:val="22"/>
          <w:szCs w:val="22"/>
        </w:rPr>
        <w:t xml:space="preserve"> leverage. Hyperparameters were tuned by Optuna (100 trials, Tree-structured Parzen Estimator sampler; Supplementary Table 1; convergence trajectory and marginal slice plots in Supplementary Fig. 3). The </w:t>
      </w:r>
      <w:r>
        <w:rPr>
          <w:rFonts w:ascii="Arial" w:cs="Arial" w:eastAsia="Arial" w:hAnsi="Arial"/>
          <w:b w:val="false"/>
          <w:bCs w:val="false"/>
          <w:i/>
          <w:iCs/>
          <w:sz w:val="22"/>
          <w:szCs w:val="22"/>
        </w:rPr>
        <w:t xml:space="preserve">λ</w:t>
      </w:r>
      <w:r>
        <w:rPr>
          <w:rFonts w:ascii="Arial" w:cs="Arial" w:eastAsia="Arial" w:hAnsi="Arial"/>
          <w:b w:val="false"/>
          <w:bCs w:val="false"/>
          <w:i w:val="false"/>
          <w:iCs w:val="false"/>
          <w:sz w:val="22"/>
          <w:szCs w:val="22"/>
          <w:vertAlign w:val="subscript"/>
        </w:rPr>
        <w:t xml:space="preserve">GII</w:t>
      </w:r>
      <w:r>
        <w:rPr>
          <w:rFonts w:ascii="Arial" w:cs="Arial" w:eastAsia="Arial" w:hAnsi="Arial"/>
          <w:b w:val="false"/>
          <w:bCs w:val="false"/>
          <w:i w:val="false"/>
          <w:iCs w:val="false"/>
          <w:sz w:val="22"/>
          <w:szCs w:val="22"/>
        </w:rPr>
        <w:t xml:space="preserve"> value was re-tuned by post-hoc grid search after a data-loading correction; the Optuna value (4.872 × 10</w:t>
      </w:r>
      <w:r>
        <w:rPr>
          <w:rFonts w:ascii="Arial" w:cs="Arial" w:eastAsia="Arial" w:hAnsi="Arial"/>
          <w:b w:val="false"/>
          <w:bCs w:val="false"/>
          <w:i w:val="false"/>
          <w:iCs w:val="false"/>
          <w:sz w:val="22"/>
          <w:szCs w:val="22"/>
          <w:vertAlign w:val="superscript"/>
        </w:rPr>
        <w:t xml:space="preserve">−3</w:t>
      </w:r>
      <w:r>
        <w:rPr>
          <w:rFonts w:ascii="Arial" w:cs="Arial" w:eastAsia="Arial" w:hAnsi="Arial"/>
          <w:b w:val="false"/>
          <w:bCs w:val="false"/>
          <w:i w:val="false"/>
          <w:iCs w:val="false"/>
          <w:sz w:val="22"/>
          <w:szCs w:val="22"/>
        </w:rPr>
        <w:t xml:space="preserve">) was discarded because it had been tuned with a corrupted GII = 0 array. The reported model is an ensemble of five independently seeded models; the prediction is the ensemble (seed) mean, and the across-seed standard deviation </w:t>
      </w:r>
      <w:r>
        <w:rPr>
          <w:rFonts w:ascii="Arial" w:cs="Arial" w:eastAsia="Arial" w:hAnsi="Arial"/>
          <w:b w:val="false"/>
          <w:bCs w:val="false"/>
          <w:i/>
          <w:iCs/>
          <w:sz w:val="22"/>
          <w:szCs w:val="22"/>
        </w:rPr>
        <w:t xml:space="preserve">σ</w:t>
      </w:r>
      <w:r>
        <w:rPr>
          <w:rFonts w:ascii="Arial" w:cs="Arial" w:eastAsia="Arial" w:hAnsi="Arial"/>
          <w:b w:val="false"/>
          <w:bCs w:val="false"/>
          <w:i w:val="false"/>
          <w:iCs w:val="false"/>
          <w:sz w:val="22"/>
          <w:szCs w:val="22"/>
          <w:vertAlign w:val="subscript"/>
        </w:rPr>
        <w:t xml:space="preserve">ML</w:t>
      </w:r>
      <w:r>
        <w:rPr>
          <w:rFonts w:ascii="Arial" w:cs="Arial" w:eastAsia="Arial" w:hAnsi="Arial"/>
          <w:b w:val="false"/>
          <w:bCs w:val="false"/>
          <w:i w:val="false"/>
          <w:iCs w:val="false"/>
          <w:sz w:val="22"/>
          <w:szCs w:val="22"/>
        </w:rPr>
        <w:t xml:space="preserve"> provides the predictive-uncertainty estimate used in the genetic-algorithm fitness (below). </w:t>
      </w:r>
      <w:r>
        <w:rPr>
          <w:rFonts w:ascii="Arial" w:cs="Arial" w:eastAsia="Arial" w:hAnsi="Arial"/>
          <w:b w:val="false"/>
          <w:bCs w:val="false"/>
          <w:i/>
          <w:iCs/>
          <w:sz w:val="22"/>
          <w:szCs w:val="22"/>
        </w:rPr>
        <w:t xml:space="preserve">σ</w:t>
      </w:r>
      <w:r>
        <w:rPr>
          <w:rFonts w:ascii="Arial" w:cs="Arial" w:eastAsia="Arial" w:hAnsi="Arial"/>
          <w:b w:val="false"/>
          <w:bCs w:val="false"/>
          <w:i w:val="false"/>
          <w:iCs w:val="false"/>
          <w:sz w:val="22"/>
          <w:szCs w:val="22"/>
          <w:vertAlign w:val="subscript"/>
        </w:rPr>
        <w:t xml:space="preserve">conf</w:t>
      </w:r>
      <w:r>
        <w:rPr>
          <w:rFonts w:ascii="Arial" w:cs="Arial" w:eastAsia="Arial" w:hAnsi="Arial"/>
          <w:b w:val="false"/>
          <w:bCs w:val="false"/>
          <w:i w:val="false"/>
          <w:iCs w:val="false"/>
          <w:sz w:val="22"/>
          <w:szCs w:val="22"/>
        </w:rPr>
        <w:t xml:space="preserve">, by contrast, is the fixed physics-based confidence gate of eq. (9), used also in the applicability domain.</w:t>
      </w:r>
    </w:p>
    <w:p>
      <w:pPr>
        <w:spacing w:after="160" w:before="220" w:line="480" w:lineRule="auto"/>
      </w:pPr>
      <w:r>
        <w:rPr>
          <w:rFonts w:ascii="Arial" w:cs="Arial" w:eastAsia="Arial" w:hAnsi="Arial"/>
          <w:b/>
          <w:bCs/>
          <w:i/>
          <w:iCs/>
          <w:color w:val="000000"/>
          <w:sz w:val="22"/>
          <w:szCs w:val="22"/>
        </w:rPr>
        <w:t xml:space="preserve">Conformal prediction calibration</w:t>
      </w:r>
    </w:p>
    <w:p>
      <w:pPr>
        <w:spacing w:after="120" w:line="252" w:lineRule="auto"/>
        <w:jc w:val="left"/>
      </w:pPr>
      <w:r>
        <w:rPr>
          <w:rFonts w:ascii="Arial" w:cs="Arial" w:eastAsia="Arial" w:hAnsi="Arial"/>
          <w:b w:val="false"/>
          <w:bCs w:val="false"/>
          <w:i w:val="false"/>
          <w:iCs w:val="false"/>
          <w:sz w:val="22"/>
          <w:szCs w:val="22"/>
        </w:rPr>
        <w:t xml:space="preserve">We use split conformal prediction [35], which provides distribution-free marginal coverage by construction under exchangeability, to convert </w:t>
      </w:r>
      <w:r>
        <w:rPr>
          <w:rFonts w:ascii="Arial" w:cs="Arial" w:eastAsia="Arial" w:hAnsi="Arial"/>
          <w:b w:val="false"/>
          <w:bCs w:val="false"/>
          <w:i/>
          <w:iCs/>
          <w:sz w:val="22"/>
          <w:szCs w:val="22"/>
        </w:rPr>
        <w:t xml:space="preserve">σ</w:t>
      </w:r>
      <w:r>
        <w:rPr>
          <w:rFonts w:ascii="Arial" w:cs="Arial" w:eastAsia="Arial" w:hAnsi="Arial"/>
          <w:b w:val="false"/>
          <w:bCs w:val="false"/>
          <w:i w:val="false"/>
          <w:iCs w:val="false"/>
          <w:sz w:val="22"/>
          <w:szCs w:val="22"/>
          <w:vertAlign w:val="subscript"/>
        </w:rPr>
        <w:t xml:space="preserve">conf</w:t>
      </w:r>
      <w:r>
        <w:rPr>
          <w:rFonts w:ascii="Arial" w:cs="Arial" w:eastAsia="Arial" w:hAnsi="Arial"/>
          <w:b w:val="false"/>
          <w:bCs w:val="false"/>
          <w:i w:val="false"/>
          <w:iCs w:val="false"/>
          <w:sz w:val="22"/>
          <w:szCs w:val="22"/>
        </w:rPr>
        <w:t xml:space="preserve"> into calibrated prediction intervals. The 116-sample family-disjoint set (excluded from training with zero family overlap) serves both as the conformal calibration set and as the set on which the holdout </w:t>
      </w:r>
      <w:r>
        <w:rPr>
          <w:rFonts w:ascii="Arial" w:cs="Arial" w:eastAsia="Arial" w:hAnsi="Arial"/>
          <w:b w:val="false"/>
          <w:bCs w:val="false"/>
          <w:i/>
          <w:iCs/>
          <w:sz w:val="22"/>
          <w:szCs w:val="22"/>
        </w:rPr>
        <w:t xml:space="preserve">R</w:t>
      </w:r>
      <w:r>
        <w:rPr>
          <w:rFonts w:ascii="Arial" w:cs="Arial" w:eastAsia="Arial" w:hAnsi="Arial"/>
          <w:b w:val="false"/>
          <w:bCs w:val="false"/>
          <w:i w:val="false"/>
          <w:iCs w:val="false"/>
          <w:sz w:val="22"/>
          <w:szCs w:val="22"/>
          <w:vertAlign w:val="superscript"/>
        </w:rPr>
        <w:t xml:space="preserve">2</w:t>
      </w:r>
      <w:r>
        <w:rPr>
          <w:rFonts w:ascii="Arial" w:cs="Arial" w:eastAsia="Arial" w:hAnsi="Arial"/>
          <w:b w:val="false"/>
          <w:bCs w:val="false"/>
          <w:i w:val="false"/>
          <w:iCs w:val="false"/>
          <w:sz w:val="22"/>
          <w:szCs w:val="22"/>
        </w:rPr>
        <w:t xml:space="preserve"> = 0.941 is reported. This dual role is a known limitation of split conformal prediction with small datasets: the empirical coverage reported below is an in-calibration consistency check rather than coverage on an independently held-out third partition. The strict family-disjoint construction provides the out-of-distribution stress. To validate coverage out of calibration without sacrificing training data, we partitioned the 116-sample holdout 2,000 times into disjoint calibration and coverage subsets (≈ 77/39), computed q̂ on the calibration subset and measured empirical coverage only on the disjoint coverage subset; mean coverage matched the nominal levels (80.1 ± 7.7%, 85.4 ± 6.9%, 89.9 ± 5.7% and 95.0 ± 4.2% at nominal 80, 85, 90 and 95%), confirming the guarantee on points excluded from quantile setting. The calibration set yields the nonconformity score </w:t>
      </w:r>
      <w:r>
        <w:rPr>
          <w:rFonts w:ascii="Arial" w:cs="Arial" w:eastAsia="Arial" w:hAnsi="Arial"/>
          <w:b w:val="false"/>
          <w:bCs w:val="false"/>
          <w:i/>
          <w:iCs/>
          <w:sz w:val="22"/>
          <w:szCs w:val="22"/>
        </w:rPr>
        <w:t xml:space="preserve">s</w:t>
      </w:r>
      <w:r>
        <w:rPr>
          <w:rFonts w:ascii="Arial" w:cs="Arial" w:eastAsia="Arial" w:hAnsi="Arial"/>
          <w:b w:val="false"/>
          <w:bCs w:val="false"/>
          <w:i w:val="false"/>
          <w:iCs w:val="false"/>
          <w:sz w:val="22"/>
          <w:szCs w:val="22"/>
          <w:vertAlign w:val="subscript"/>
        </w:rPr>
        <w:t xml:space="preserve">i</w:t>
      </w:r>
      <w:r>
        <w:rPr>
          <w:rFonts w:ascii="Arial" w:cs="Arial" w:eastAsia="Arial" w:hAnsi="Arial"/>
          <w:b w:val="false"/>
          <w:bCs w:val="false"/>
          <w:i w:val="false"/>
          <w:iCs w:val="false"/>
          <w:sz w:val="22"/>
          <w:szCs w:val="22"/>
        </w:rPr>
        <w:t xml:space="preserve"> = |</w:t>
      </w:r>
      <w:r>
        <w:rPr>
          <w:rFonts w:ascii="Arial" w:cs="Arial" w:eastAsia="Arial" w:hAnsi="Arial"/>
          <w:b w:val="false"/>
          <w:bCs w:val="false"/>
          <w:i/>
          <w:iCs/>
          <w:sz w:val="22"/>
          <w:szCs w:val="22"/>
        </w:rPr>
        <w:t xml:space="preserve">ε</w:t>
      </w:r>
      <w:r>
        <w:rPr>
          <w:rFonts w:ascii="Arial" w:cs="Arial" w:eastAsia="Arial" w:hAnsi="Arial"/>
          <w:b w:val="false"/>
          <w:bCs w:val="false"/>
          <w:i w:val="false"/>
          <w:iCs w:val="false"/>
          <w:sz w:val="22"/>
          <w:szCs w:val="22"/>
          <w:vertAlign w:val="subscript"/>
        </w:rPr>
        <w:t xml:space="preserve">r,i</w:t>
      </w:r>
      <w:r>
        <w:rPr>
          <w:rFonts w:ascii="Arial" w:cs="Arial" w:eastAsia="Arial" w:hAnsi="Arial"/>
          <w:b w:val="false"/>
          <w:bCs w:val="false"/>
          <w:i w:val="false"/>
          <w:iCs w:val="false"/>
          <w:sz w:val="22"/>
          <w:szCs w:val="22"/>
        </w:rPr>
        <w:t xml:space="preserve"> − </w:t>
      </w:r>
      <w:r>
        <w:rPr>
          <w:rFonts w:ascii="Arial" w:cs="Arial" w:eastAsia="Arial" w:hAnsi="Arial"/>
          <w:b w:val="false"/>
          <w:bCs w:val="false"/>
          <w:i/>
          <w:iCs/>
          <w:sz w:val="22"/>
          <w:szCs w:val="22"/>
        </w:rPr>
        <w:t xml:space="preserve">ε̂</w:t>
      </w:r>
      <w:r>
        <w:rPr>
          <w:rFonts w:ascii="Arial" w:cs="Arial" w:eastAsia="Arial" w:hAnsi="Arial"/>
          <w:b w:val="false"/>
          <w:bCs w:val="false"/>
          <w:i w:val="false"/>
          <w:iCs w:val="false"/>
          <w:sz w:val="22"/>
          <w:szCs w:val="22"/>
          <w:vertAlign w:val="subscript"/>
        </w:rPr>
        <w:t xml:space="preserve">r,i</w:t>
      </w:r>
      <w:r>
        <w:rPr>
          <w:rFonts w:ascii="Arial" w:cs="Arial" w:eastAsia="Arial" w:hAnsi="Arial"/>
          <w:b w:val="false"/>
          <w:bCs w:val="false"/>
          <w:i w:val="false"/>
          <w:iCs w:val="false"/>
          <w:sz w:val="22"/>
          <w:szCs w:val="22"/>
        </w:rPr>
        <w:t xml:space="preserve">| for </w:t>
      </w:r>
      <w:r>
        <w:rPr>
          <w:rFonts w:ascii="Arial" w:cs="Arial" w:eastAsia="Arial" w:hAnsi="Arial"/>
          <w:b w:val="false"/>
          <w:bCs w:val="false"/>
          <w:i/>
          <w:iCs/>
          <w:sz w:val="22"/>
          <w:szCs w:val="22"/>
        </w:rPr>
        <w:t xml:space="preserve">i</w:t>
      </w:r>
      <w:r>
        <w:rPr>
          <w:rFonts w:ascii="Arial" w:cs="Arial" w:eastAsia="Arial" w:hAnsi="Arial"/>
          <w:b w:val="false"/>
          <w:bCs w:val="false"/>
          <w:i w:val="false"/>
          <w:iCs w:val="false"/>
          <w:sz w:val="22"/>
          <w:szCs w:val="22"/>
        </w:rPr>
        <w:t xml:space="preserve"> = 1, …, 116. At nominal coverage 1 − </w:t>
      </w:r>
      <w:r>
        <w:rPr>
          <w:rFonts w:ascii="Arial" w:cs="Arial" w:eastAsia="Arial" w:hAnsi="Arial"/>
          <w:b w:val="false"/>
          <w:bCs w:val="false"/>
          <w:i/>
          <w:iCs/>
          <w:sz w:val="22"/>
          <w:szCs w:val="22"/>
        </w:rPr>
        <w:t xml:space="preserve">α</w:t>
      </w:r>
      <w:r>
        <w:rPr>
          <w:rFonts w:ascii="Arial" w:cs="Arial" w:eastAsia="Arial" w:hAnsi="Arial"/>
          <w:b w:val="false"/>
          <w:bCs w:val="false"/>
          <w:i w:val="false"/>
          <w:iCs w:val="false"/>
          <w:sz w:val="22"/>
          <w:szCs w:val="22"/>
        </w:rPr>
        <w:t xml:space="preserve"> we compute the empirical quantile</w:t>
      </w:r>
    </w:p>
    <w:p>
      <w:pPr>
        <w:tabs>
          <w:tab w:val="center" w:pos="4824"/>
          <w:tab w:val="right" w:pos="9648"/>
        </w:tabs>
        <w:spacing w:after="240" w:before="240" w:line="360" w:lineRule="auto"/>
        <w:jc w:val="left"/>
      </w:pPr>
      <w:r>
        <w:rPr>
          <w:rFonts w:ascii="Arial" w:cs="Arial" w:eastAsia="Arial" w:hAnsi="Arial"/>
          <w:sz w:val="22"/>
          <w:szCs w:val="22"/>
        </w:rPr>
        <w:t xml:space="preserve">	</w:t>
      </w:r>
      <m:oMath>
        <m:sSub>
          <m:sSubPr/>
          <m:e>
            <m:r>
              <m:t>q̂</m:t>
            </m:r>
          </m:e>
          <m:sub>
            <m:r>
              <m:t>1−α</m:t>
            </m:r>
          </m:sub>
        </m:sSub>
        <m:r>
          <m:t> = </m:t>
        </m:r>
        <m:func>
          <m:funcPr/>
          <m:fName>
            <m:r>
              <m:t>Quantile</m:t>
            </m:r>
          </m:fName>
          <m:e>
            <m:d>
              <m:dPr/>
              <m:e>
                <m:r>
                  <m:t>{</m:t>
                </m:r>
                <m:sSub>
                  <m:sSubPr/>
                  <m:e>
                    <m:r>
                      <m:t>s</m:t>
                    </m:r>
                  </m:e>
                  <m:sub>
                    <m:r>
                      <m:t>i</m:t>
                    </m:r>
                  </m:sub>
                </m:sSub>
                <m:r>
                  <m:t>}, </m:t>
                </m:r>
                <m:f>
                  <m:num>
                    <m:r>
                      <m:t>⌈(n + 1)(1 − α)⌉</m:t>
                    </m:r>
                  </m:num>
                  <m:den>
                    <m:r>
                      <m:t>n</m:t>
                    </m:r>
                  </m:den>
                </m:f>
              </m:e>
            </m:d>
          </m:e>
        </m:func>
      </m:oMath>
      <w:r>
        <w:rPr>
          <w:rFonts w:ascii="Arial" w:cs="Arial" w:eastAsia="Arial" w:hAnsi="Arial"/>
          <w:sz w:val="22"/>
          <w:szCs w:val="22"/>
        </w:rPr>
        <w:t xml:space="preserve">	</w:t>
      </w:r>
      <w:r>
        <w:rPr>
          <w:rFonts w:ascii="Arial" w:cs="Arial" w:eastAsia="Arial" w:hAnsi="Arial"/>
          <w:sz w:val="22"/>
          <w:szCs w:val="22"/>
        </w:rPr>
        <w:t xml:space="preserve">(15)</w:t>
      </w:r>
    </w:p>
    <w:p>
      <w:pPr>
        <w:spacing w:after="120" w:line="252" w:lineRule="auto"/>
        <w:jc w:val="left"/>
      </w:pPr>
      <w:r>
        <w:rPr>
          <w:rFonts w:ascii="Arial" w:cs="Arial" w:eastAsia="Arial" w:hAnsi="Arial"/>
          <w:b w:val="false"/>
          <w:bCs w:val="false"/>
          <w:i w:val="false"/>
          <w:iCs w:val="false"/>
          <w:sz w:val="22"/>
          <w:szCs w:val="22"/>
        </w:rPr>
        <w:t xml:space="preserve">The prediction interval at composition </w:t>
      </w:r>
      <w:r>
        <w:rPr>
          <w:rFonts w:ascii="Arial" w:cs="Arial" w:eastAsia="Arial" w:hAnsi="Arial"/>
          <w:b w:val="false"/>
          <w:bCs w:val="false"/>
          <w:i/>
          <w:iCs/>
          <w:sz w:val="22"/>
          <w:szCs w:val="22"/>
        </w:rPr>
        <w:t xml:space="preserve">x</w:t>
      </w:r>
      <w:r>
        <w:rPr>
          <w:rFonts w:ascii="Arial" w:cs="Arial" w:eastAsia="Arial" w:hAnsi="Arial"/>
          <w:b w:val="false"/>
          <w:bCs w:val="false"/>
          <w:i w:val="false"/>
          <w:iCs w:val="false"/>
          <w:sz w:val="22"/>
          <w:szCs w:val="22"/>
        </w:rPr>
        <w:t xml:space="preserve"> is</w:t>
      </w:r>
    </w:p>
    <w:p>
      <w:pPr>
        <w:tabs>
          <w:tab w:val="center" w:pos="4824"/>
          <w:tab w:val="right" w:pos="9648"/>
        </w:tabs>
        <w:spacing w:after="240" w:before="240" w:line="360" w:lineRule="auto"/>
        <w:jc w:val="left"/>
      </w:pPr>
      <w:r>
        <w:rPr>
          <w:rFonts w:ascii="Arial" w:cs="Arial" w:eastAsia="Arial" w:hAnsi="Arial"/>
          <w:sz w:val="22"/>
          <w:szCs w:val="22"/>
        </w:rPr>
        <w:t xml:space="preserve">	</w:t>
      </w:r>
      <m:oMath>
        <m:r>
          <m:t>PI</m:t>
        </m:r>
        <m:d>
          <m:dPr/>
          <m:e>
            <m:r>
              <m:t>x</m:t>
            </m:r>
          </m:e>
        </m:d>
        <m:r>
          <m:t> = </m:t>
        </m:r>
        <m:d>
          <m:dPr>
            <m:begChr m:val="["/>
            <m:endChr m:val="]"/>
          </m:dPr>
          <m:e>
            <m:sSub>
              <m:sSubPr/>
              <m:e>
                <m:r>
                  <m:t>ε̂</m:t>
                </m:r>
              </m:e>
              <m:sub>
                <m:r>
                  <m:t>r</m:t>
                </m:r>
              </m:sub>
            </m:sSub>
            <m:d>
              <m:dPr/>
              <m:e>
                <m:r>
                  <m:t>x</m:t>
                </m:r>
              </m:e>
            </m:d>
            <m:r>
              <m:t> − </m:t>
            </m:r>
            <m:sSub>
              <m:sSubPr/>
              <m:e>
                <m:r>
                  <m:t>q̂</m:t>
                </m:r>
              </m:e>
              <m:sub>
                <m:r>
                  <m:t>1−α</m:t>
                </m:r>
              </m:sub>
            </m:sSub>
            <m:r>
              <m:t>, </m:t>
            </m:r>
            <m:sSub>
              <m:sSubPr/>
              <m:e>
                <m:r>
                  <m:t>ε̂</m:t>
                </m:r>
              </m:e>
              <m:sub>
                <m:r>
                  <m:t>r</m:t>
                </m:r>
              </m:sub>
            </m:sSub>
            <m:d>
              <m:dPr/>
              <m:e>
                <m:r>
                  <m:t>x</m:t>
                </m:r>
              </m:e>
            </m:d>
            <m:r>
              <m:t> + </m:t>
            </m:r>
            <m:sSub>
              <m:sSubPr/>
              <m:e>
                <m:r>
                  <m:t>q̂</m:t>
                </m:r>
              </m:e>
              <m:sub>
                <m:r>
                  <m:t>1−α</m:t>
                </m:r>
              </m:sub>
            </m:sSub>
          </m:e>
        </m:d>
      </m:oMath>
      <w:r>
        <w:rPr>
          <w:rFonts w:ascii="Arial" w:cs="Arial" w:eastAsia="Arial" w:hAnsi="Arial"/>
          <w:sz w:val="22"/>
          <w:szCs w:val="22"/>
        </w:rPr>
        <w:t xml:space="preserve">	</w:t>
      </w:r>
      <w:r>
        <w:rPr>
          <w:rFonts w:ascii="Arial" w:cs="Arial" w:eastAsia="Arial" w:hAnsi="Arial"/>
          <w:sz w:val="22"/>
          <w:szCs w:val="22"/>
        </w:rPr>
        <w:t xml:space="preserve">(16)</w:t>
      </w:r>
    </w:p>
    <w:p>
      <w:pPr>
        <w:spacing w:after="120" w:line="252" w:lineRule="auto"/>
        <w:jc w:val="left"/>
      </w:pPr>
      <w:r>
        <w:rPr>
          <w:rFonts w:ascii="Arial" w:cs="Arial" w:eastAsia="Arial" w:hAnsi="Arial"/>
          <w:b w:val="false"/>
          <w:bCs w:val="false"/>
          <w:i w:val="false"/>
          <w:iCs w:val="false"/>
          <w:sz w:val="22"/>
          <w:szCs w:val="22"/>
        </w:rPr>
        <w:t xml:space="preserve">For </w:t>
      </w:r>
      <w:r>
        <w:rPr>
          <w:rFonts w:ascii="Arial" w:cs="Arial" w:eastAsia="Arial" w:hAnsi="Arial"/>
          <w:b w:val="false"/>
          <w:bCs w:val="false"/>
          <w:i/>
          <w:iCs/>
          <w:sz w:val="22"/>
          <w:szCs w:val="22"/>
        </w:rPr>
        <w:t xml:space="preserve">α</w:t>
      </w:r>
      <w:r>
        <w:rPr>
          <w:rFonts w:ascii="Arial" w:cs="Arial" w:eastAsia="Arial" w:hAnsi="Arial"/>
          <w:b w:val="false"/>
          <w:bCs w:val="false"/>
          <w:i w:val="false"/>
          <w:iCs w:val="false"/>
          <w:sz w:val="22"/>
          <w:szCs w:val="22"/>
        </w:rPr>
        <w:t xml:space="preserve"> = 0.10 we obtain q̂</w:t>
      </w:r>
      <w:r>
        <w:rPr>
          <w:rFonts w:ascii="Arial" w:cs="Arial" w:eastAsia="Arial" w:hAnsi="Arial"/>
          <w:b w:val="false"/>
          <w:bCs w:val="false"/>
          <w:i w:val="false"/>
          <w:iCs w:val="false"/>
          <w:sz w:val="22"/>
          <w:szCs w:val="22"/>
          <w:vertAlign w:val="subscript"/>
        </w:rPr>
        <w:t xml:space="preserve">90</w:t>
      </w:r>
      <w:r>
        <w:rPr>
          <w:rFonts w:ascii="Arial" w:cs="Arial" w:eastAsia="Arial" w:hAnsi="Arial"/>
          <w:b w:val="false"/>
          <w:bCs w:val="false"/>
          <w:i w:val="false"/>
          <w:iCs w:val="false"/>
          <w:sz w:val="22"/>
          <w:szCs w:val="22"/>
        </w:rPr>
        <w:t xml:space="preserve"> = 14.38 </w:t>
      </w:r>
      <w:r>
        <w:rPr>
          <w:rFonts w:ascii="Arial" w:cs="Arial" w:eastAsia="Arial" w:hAnsi="Arial"/>
          <w:b w:val="false"/>
          <w:bCs w:val="false"/>
          <w:i/>
          <w:iCs/>
          <w:sz w:val="22"/>
          <w:szCs w:val="22"/>
        </w:rPr>
        <w:t xml:space="preserve">ε</w:t>
      </w:r>
      <w:r>
        <w:rPr>
          <w:rFonts w:ascii="Arial" w:cs="Arial" w:eastAsia="Arial" w:hAnsi="Arial"/>
          <w:b w:val="false"/>
          <w:bCs w:val="false"/>
          <w:i w:val="false"/>
          <w:iCs w:val="false"/>
          <w:sz w:val="22"/>
          <w:szCs w:val="22"/>
          <w:vertAlign w:val="subscript"/>
        </w:rPr>
        <w:t xml:space="preserve">r</w:t>
      </w:r>
      <w:r>
        <w:rPr>
          <w:rFonts w:ascii="Arial" w:cs="Arial" w:eastAsia="Arial" w:hAnsi="Arial"/>
          <w:b w:val="false"/>
          <w:bCs w:val="false"/>
          <w:i w:val="false"/>
          <w:iCs w:val="false"/>
          <w:sz w:val="22"/>
          <w:szCs w:val="22"/>
        </w:rPr>
        <w:t xml:space="preserve"> units (band width 28.75 units, </w:t>
      </w:r>
      <w:r>
        <w:rPr>
          <w:rFonts w:ascii="Arial" w:cs="Arial" w:eastAsia="Arial" w:hAnsi="Arial"/>
          <w:b w:val="false"/>
          <w:bCs w:val="false"/>
          <w:i/>
          <w:iCs/>
          <w:sz w:val="22"/>
          <w:szCs w:val="22"/>
        </w:rPr>
        <w:t xml:space="preserve">μ</w:t>
      </w:r>
      <w:r>
        <w:rPr>
          <w:rFonts w:ascii="Arial" w:cs="Arial" w:eastAsia="Arial" w:hAnsi="Arial"/>
          <w:b w:val="false"/>
          <w:bCs w:val="false"/>
          <w:i w:val="false"/>
          <w:iCs w:val="false"/>
          <w:sz w:val="22"/>
          <w:szCs w:val="22"/>
        </w:rPr>
        <w:t xml:space="preserve"> = +0.54). On this family-disjoint set the empirical coverage matches the nominal level to within 0.7 percentage points across all targeted levels (reported in full in the Results and Fig. 5b). The conformal bands are reported for every screened candidate composition in the discovery analysis.</w:t>
      </w:r>
    </w:p>
    <w:p>
      <w:pPr>
        <w:spacing w:after="160" w:before="220" w:line="480" w:lineRule="auto"/>
      </w:pPr>
      <w:r>
        <w:rPr>
          <w:rFonts w:ascii="Arial" w:cs="Arial" w:eastAsia="Arial" w:hAnsi="Arial"/>
          <w:b/>
          <w:bCs/>
          <w:i/>
          <w:iCs/>
          <w:color w:val="000000"/>
          <w:sz w:val="22"/>
          <w:szCs w:val="22"/>
        </w:rPr>
        <w:t xml:space="preserve">Baseline comparison</w:t>
      </w:r>
    </w:p>
    <w:p>
      <w:pPr>
        <w:spacing w:after="120" w:line="252" w:lineRule="auto"/>
        <w:jc w:val="left"/>
      </w:pPr>
      <w:r>
        <w:rPr>
          <w:rFonts w:ascii="Arial" w:cs="Arial" w:eastAsia="Arial" w:hAnsi="Arial"/>
          <w:b w:val="false"/>
          <w:bCs w:val="false"/>
          <w:i w:val="false"/>
          <w:iCs w:val="false"/>
          <w:sz w:val="22"/>
          <w:szCs w:val="22"/>
        </w:rPr>
        <w:t xml:space="preserve">We compared the PCNN against seven baselines using identical Family-GroupShuffleSplit five-fold partitions and the same 116-sample family-disjoint holdout set: (i) CM-only, eq. (1) without learning; (ii) Ridge regression; (iii) Random Forest; (iv) XGBoost [48]; (v) CatBoost [49]; (vi) BPNN, a four-layer multilayer perceptron with hidden capacity matched to the PCNN trunk; and (vii) PIRNN, a physics-input recurrent network with output sign constraints but without branch decomposition. All baselines used the same input features, preprocessing pipeline and train/calibration partitioning. Performance metrics included five-fold Strat-GSS cross-validation </w:t>
      </w:r>
      <w:r>
        <w:rPr>
          <w:rFonts w:ascii="Arial" w:cs="Arial" w:eastAsia="Arial" w:hAnsi="Arial"/>
          <w:b w:val="false"/>
          <w:bCs w:val="false"/>
          <w:i/>
          <w:iCs/>
          <w:sz w:val="22"/>
          <w:szCs w:val="22"/>
        </w:rPr>
        <w:t xml:space="preserve">R</w:t>
      </w:r>
      <w:r>
        <w:rPr>
          <w:rFonts w:ascii="Arial" w:cs="Arial" w:eastAsia="Arial" w:hAnsi="Arial"/>
          <w:b w:val="false"/>
          <w:bCs w:val="false"/>
          <w:i w:val="false"/>
          <w:iCs w:val="false"/>
          <w:sz w:val="22"/>
          <w:szCs w:val="22"/>
          <w:vertAlign w:val="superscript"/>
        </w:rPr>
        <w:t xml:space="preserve">2</w:t>
      </w:r>
      <w:r>
        <w:rPr>
          <w:rFonts w:ascii="Arial" w:cs="Arial" w:eastAsia="Arial" w:hAnsi="Arial"/>
          <w:b w:val="false"/>
          <w:bCs w:val="false"/>
          <w:i w:val="false"/>
          <w:iCs w:val="false"/>
          <w:sz w:val="22"/>
          <w:szCs w:val="22"/>
        </w:rPr>
        <w:t xml:space="preserve"> ± standard deviation, holdout </w:t>
      </w:r>
      <w:r>
        <w:rPr>
          <w:rFonts w:ascii="Arial" w:cs="Arial" w:eastAsia="Arial" w:hAnsi="Arial"/>
          <w:b w:val="false"/>
          <w:bCs w:val="false"/>
          <w:i/>
          <w:iCs/>
          <w:sz w:val="22"/>
          <w:szCs w:val="22"/>
        </w:rPr>
        <w:t xml:space="preserve">R</w:t>
      </w:r>
      <w:r>
        <w:rPr>
          <w:rFonts w:ascii="Arial" w:cs="Arial" w:eastAsia="Arial" w:hAnsi="Arial"/>
          <w:b w:val="false"/>
          <w:bCs w:val="false"/>
          <w:i w:val="false"/>
          <w:iCs w:val="false"/>
          <w:sz w:val="22"/>
          <w:szCs w:val="22"/>
          <w:vertAlign w:val="superscript"/>
        </w:rPr>
        <w:t xml:space="preserve">2</w:t>
      </w:r>
      <w:r>
        <w:rPr>
          <w:rFonts w:ascii="Arial" w:cs="Arial" w:eastAsia="Arial" w:hAnsi="Arial"/>
          <w:b w:val="false"/>
          <w:bCs w:val="false"/>
          <w:i w:val="false"/>
          <w:iCs w:val="false"/>
          <w:sz w:val="22"/>
          <w:szCs w:val="22"/>
        </w:rPr>
        <w:t xml:space="preserve">, holdout MAE and the CV→holdout gap as an indicator of out-of-distribution instability (Table 1 and Supplementary Table 2). Full baseline hyperparameters are provided in Supplementary Table 5.</w:t>
      </w:r>
    </w:p>
    <w:p>
      <w:pPr>
        <w:spacing w:after="120" w:line="252" w:lineRule="auto"/>
        <w:jc w:val="left"/>
      </w:pPr>
      <w:r>
        <w:rPr>
          <w:rFonts w:ascii="Arial" w:cs="Arial" w:eastAsia="Arial" w:hAnsi="Arial"/>
          <w:b w:val="false"/>
          <w:bCs w:val="false"/>
          <w:i w:val="false"/>
          <w:iCs w:val="false"/>
          <w:sz w:val="22"/>
          <w:szCs w:val="22"/>
        </w:rPr>
        <w:t xml:space="preserve">Branch ablation analysis (Fig. 4a) used a reduced 3-fold Strat-GSS evaluation with three random seeds to limit retraining cost across branch-removal configurations. The reduced configuration reproduced the full-PCNN performance within bootstrap uncertainty (</w:t>
      </w:r>
      <w:r>
        <w:rPr>
          <w:rFonts w:ascii="Arial" w:cs="Arial" w:eastAsia="Arial" w:hAnsi="Arial"/>
          <w:b w:val="false"/>
          <w:bCs w:val="false"/>
          <w:i/>
          <w:iCs/>
          <w:sz w:val="22"/>
          <w:szCs w:val="22"/>
        </w:rPr>
        <w:t xml:space="preserve">R</w:t>
      </w:r>
      <w:r>
        <w:rPr>
          <w:rFonts w:ascii="Arial" w:cs="Arial" w:eastAsia="Arial" w:hAnsi="Arial"/>
          <w:b w:val="false"/>
          <w:bCs w:val="false"/>
          <w:i w:val="false"/>
          <w:iCs w:val="false"/>
          <w:sz w:val="22"/>
          <w:szCs w:val="22"/>
          <w:vertAlign w:val="superscript"/>
        </w:rPr>
        <w:t xml:space="preserve">2</w:t>
      </w:r>
      <w:r>
        <w:rPr>
          <w:rFonts w:ascii="Arial" w:cs="Arial" w:eastAsia="Arial" w:hAnsi="Arial"/>
          <w:b w:val="false"/>
          <w:bCs w:val="false"/>
          <w:i w:val="false"/>
          <w:iCs w:val="false"/>
          <w:sz w:val="22"/>
          <w:szCs w:val="22"/>
        </w:rPr>
        <w:t xml:space="preserve"> = 0.894 versus 0.893 ± 0.043 for the full evaluation), indicating negligible fold-count bias.</w:t>
      </w:r>
    </w:p>
    <w:p>
      <w:pPr>
        <w:spacing w:after="160" w:before="220" w:line="480" w:lineRule="auto"/>
      </w:pPr>
      <w:r>
        <w:rPr>
          <w:rFonts w:ascii="Arial" w:cs="Arial" w:eastAsia="Arial" w:hAnsi="Arial"/>
          <w:b/>
          <w:bCs/>
          <w:i/>
          <w:iCs/>
          <w:color w:val="000000"/>
          <w:sz w:val="22"/>
          <w:szCs w:val="22"/>
        </w:rPr>
        <w:t xml:space="preserve">Leave-one-family-out generalisability test</w:t>
      </w:r>
    </w:p>
    <w:p>
      <w:pPr>
        <w:spacing w:after="120" w:line="252" w:lineRule="auto"/>
        <w:jc w:val="left"/>
      </w:pPr>
      <w:r>
        <w:rPr>
          <w:rFonts w:ascii="Arial" w:cs="Arial" w:eastAsia="Arial" w:hAnsi="Arial"/>
          <w:b w:val="false"/>
          <w:bCs w:val="false"/>
          <w:i w:val="false"/>
          <w:iCs w:val="false"/>
          <w:sz w:val="22"/>
          <w:szCs w:val="22"/>
        </w:rPr>
        <w:t xml:space="preserve">A-site LOFO holds out every composition containing a given A-site cation, trains the full PCNN pipeline on the remainder, and evaluates on the held-out family. We perform this for the five dominant A-site families, Ba (</w:t>
      </w:r>
      <w:r>
        <w:rPr>
          <w:rFonts w:ascii="Arial" w:cs="Arial" w:eastAsia="Arial" w:hAnsi="Arial"/>
          <w:b w:val="false"/>
          <w:bCs w:val="false"/>
          <w:i/>
          <w:iCs/>
          <w:sz w:val="22"/>
          <w:szCs w:val="22"/>
        </w:rPr>
        <w:t xml:space="preserve">n</w:t>
      </w:r>
      <w:r>
        <w:rPr>
          <w:rFonts w:ascii="Arial" w:cs="Arial" w:eastAsia="Arial" w:hAnsi="Arial"/>
          <w:b w:val="false"/>
          <w:bCs w:val="false"/>
          <w:i w:val="false"/>
          <w:iCs w:val="false"/>
          <w:sz w:val="22"/>
          <w:szCs w:val="22"/>
          <w:vertAlign w:val="subscript"/>
        </w:rPr>
        <w:t xml:space="preserve">test</w:t>
      </w:r>
      <w:r>
        <w:rPr>
          <w:rFonts w:ascii="Arial" w:cs="Arial" w:eastAsia="Arial" w:hAnsi="Arial"/>
          <w:b w:val="false"/>
          <w:bCs w:val="false"/>
          <w:i w:val="false"/>
          <w:iCs w:val="false"/>
          <w:sz w:val="22"/>
          <w:szCs w:val="22"/>
        </w:rPr>
        <w:t xml:space="preserve"> = 436), Sr (180), Ca (421), La (125) and Pb (86), and report holdout </w:t>
      </w:r>
      <w:r>
        <w:rPr>
          <w:rFonts w:ascii="Arial" w:cs="Arial" w:eastAsia="Arial" w:hAnsi="Arial"/>
          <w:b w:val="false"/>
          <w:bCs w:val="false"/>
          <w:i/>
          <w:iCs/>
          <w:sz w:val="22"/>
          <w:szCs w:val="22"/>
        </w:rPr>
        <w:t xml:space="preserve">R</w:t>
      </w:r>
      <w:r>
        <w:rPr>
          <w:rFonts w:ascii="Arial" w:cs="Arial" w:eastAsia="Arial" w:hAnsi="Arial"/>
          <w:b w:val="false"/>
          <w:bCs w:val="false"/>
          <w:i w:val="false"/>
          <w:iCs w:val="false"/>
          <w:sz w:val="22"/>
          <w:szCs w:val="22"/>
          <w:vertAlign w:val="superscript"/>
        </w:rPr>
        <w:t xml:space="preserve">2</w:t>
      </w:r>
      <w:r>
        <w:rPr>
          <w:rFonts w:ascii="Arial" w:cs="Arial" w:eastAsia="Arial" w:hAnsi="Arial"/>
          <w:b w:val="false"/>
          <w:bCs w:val="false"/>
          <w:i w:val="false"/>
          <w:iCs w:val="false"/>
          <w:sz w:val="22"/>
          <w:szCs w:val="22"/>
        </w:rPr>
        <w:t xml:space="preserve"> and MAE. Regime LOFO performs the parallel procedure for the four Reaney regimes (Ia, Ib, II, III) defined by eq. (4). Statistical significance for the A-site rank ordering and for the regime ordering is assessed by 2,000 permutation tests; we report the </w:t>
      </w:r>
      <w:r>
        <w:rPr>
          <w:rFonts w:ascii="Arial" w:cs="Arial" w:eastAsia="Arial" w:hAnsi="Arial"/>
          <w:b w:val="false"/>
          <w:bCs w:val="false"/>
          <w:i/>
          <w:iCs/>
          <w:sz w:val="22"/>
          <w:szCs w:val="22"/>
        </w:rPr>
        <w:t xml:space="preserve">p</w:t>
      </w:r>
      <w:r>
        <w:rPr>
          <w:rFonts w:ascii="Arial" w:cs="Arial" w:eastAsia="Arial" w:hAnsi="Arial"/>
          <w:b w:val="false"/>
          <w:bCs w:val="false"/>
          <w:i w:val="false"/>
          <w:iCs w:val="false"/>
          <w:sz w:val="22"/>
          <w:szCs w:val="22"/>
        </w:rPr>
        <w:t xml:space="preserve">-value, the observed range of family means, and the null-mean range. Hyperparameters are held fixed across LOFO folds at the values determined by the main Optuna search; refitting the network within each LOFO fold uses the same training schedule as the main model.</w:t>
      </w:r>
    </w:p>
    <w:p>
      <w:pPr>
        <w:spacing w:after="160" w:before="220" w:line="480" w:lineRule="auto"/>
      </w:pPr>
      <w:r>
        <w:rPr>
          <w:rFonts w:ascii="Arial" w:cs="Arial" w:eastAsia="Arial" w:hAnsi="Arial"/>
          <w:b/>
          <w:bCs/>
          <w:i/>
          <w:iCs/>
          <w:color w:val="000000"/>
          <w:sz w:val="22"/>
          <w:szCs w:val="22"/>
        </w:rPr>
        <w:t xml:space="preserve">Applicability domain</w:t>
      </w:r>
    </w:p>
    <w:p>
      <w:pPr>
        <w:spacing w:after="120" w:line="252" w:lineRule="auto"/>
        <w:jc w:val="left"/>
      </w:pPr>
      <w:r>
        <w:rPr>
          <w:rFonts w:ascii="Arial" w:cs="Arial" w:eastAsia="Arial" w:hAnsi="Arial"/>
          <w:b w:val="false"/>
          <w:bCs w:val="false"/>
          <w:i w:val="false"/>
          <w:iCs w:val="false"/>
          <w:sz w:val="22"/>
          <w:szCs w:val="22"/>
        </w:rPr>
        <w:t xml:space="preserve">The applicability domain is defined as the conjunction of two gates [36,37]. The physics gate flags a composition as in-domain iff </w:t>
      </w:r>
      <w:r>
        <w:rPr>
          <w:rFonts w:ascii="Arial" w:cs="Arial" w:eastAsia="Arial" w:hAnsi="Arial"/>
          <w:b w:val="false"/>
          <w:bCs w:val="false"/>
          <w:i/>
          <w:iCs/>
          <w:sz w:val="22"/>
          <w:szCs w:val="22"/>
        </w:rPr>
        <w:t xml:space="preserve">σ</w:t>
      </w:r>
      <w:r>
        <w:rPr>
          <w:rFonts w:ascii="Arial" w:cs="Arial" w:eastAsia="Arial" w:hAnsi="Arial"/>
          <w:b w:val="false"/>
          <w:bCs w:val="false"/>
          <w:i w:val="false"/>
          <w:iCs w:val="false"/>
          <w:sz w:val="22"/>
          <w:szCs w:val="22"/>
          <w:vertAlign w:val="subscript"/>
        </w:rPr>
        <w:t xml:space="preserve">conf</w:t>
      </w:r>
      <w:r>
        <w:rPr>
          <w:rFonts w:ascii="Arial" w:cs="Arial" w:eastAsia="Arial" w:hAnsi="Arial"/>
          <w:b w:val="false"/>
          <w:bCs w:val="false"/>
          <w:i w:val="false"/>
          <w:iCs w:val="false"/>
          <w:sz w:val="22"/>
          <w:szCs w:val="22"/>
        </w:rPr>
        <w:t xml:space="preserve"> &lt; 0.35 — using the same physics-based confidence gate σ</w:t>
      </w:r>
      <w:r>
        <w:rPr>
          <w:rFonts w:ascii="Arial" w:cs="Arial" w:eastAsia="Arial" w:hAnsi="Arial"/>
          <w:b w:val="false"/>
          <w:bCs w:val="false"/>
          <w:i w:val="false"/>
          <w:iCs w:val="false"/>
          <w:sz w:val="22"/>
          <w:szCs w:val="22"/>
          <w:vertAlign w:val="subscript"/>
        </w:rPr>
        <w:t xml:space="preserve">conf</w:t>
      </w:r>
      <w:r>
        <w:rPr>
          <w:rFonts w:ascii="Arial" w:cs="Arial" w:eastAsia="Arial" w:hAnsi="Arial"/>
          <w:b w:val="false"/>
          <w:bCs w:val="false"/>
          <w:i w:val="false"/>
          <w:iCs w:val="false"/>
          <w:sz w:val="22"/>
          <w:szCs w:val="22"/>
        </w:rPr>
        <w:t xml:space="preserve"> (eq. 9), here applied as a threshold criterion rather than as the </w:t>
      </w:r>
      <w:r>
        <w:rPr>
          <w:rFonts w:ascii="Arial" w:cs="Arial" w:eastAsia="Arial" w:hAnsi="Arial"/>
          <w:b w:val="false"/>
          <w:bCs w:val="false"/>
          <w:i/>
          <w:iCs/>
          <w:sz w:val="22"/>
          <w:szCs w:val="22"/>
        </w:rPr>
        <w:t xml:space="preserve">δ</w:t>
      </w:r>
      <w:r>
        <w:rPr>
          <w:rFonts w:ascii="Arial" w:cs="Arial" w:eastAsia="Arial" w:hAnsi="Arial"/>
          <w:b w:val="false"/>
          <w:bCs w:val="false"/>
          <w:i w:val="false"/>
          <w:iCs w:val="false"/>
          <w:sz w:val="22"/>
          <w:szCs w:val="22"/>
          <w:vertAlign w:val="subscript"/>
        </w:rPr>
        <w:t xml:space="preserve">res</w:t>
      </w:r>
      <w:r>
        <w:rPr>
          <w:rFonts w:ascii="Arial" w:cs="Arial" w:eastAsia="Arial" w:hAnsi="Arial"/>
          <w:b w:val="false"/>
          <w:bCs w:val="false"/>
          <w:i w:val="false"/>
          <w:iCs w:val="false"/>
          <w:sz w:val="22"/>
          <w:szCs w:val="22"/>
        </w:rPr>
        <w:t xml:space="preserve"> multiplier of eq. (8) (735/1,304 = 56.4%). The density gate uses a Gaussian-kernel density estimator on the standardised 103-feature input [37]:</w:t>
      </w:r>
    </w:p>
    <w:p>
      <w:pPr>
        <w:tabs>
          <w:tab w:val="center" w:pos="4824"/>
          <w:tab w:val="right" w:pos="9648"/>
        </w:tabs>
        <w:spacing w:after="240" w:before="240" w:line="360" w:lineRule="auto"/>
        <w:jc w:val="left"/>
      </w:pPr>
      <w:r>
        <w:rPr>
          <w:rFonts w:ascii="Arial" w:cs="Arial" w:eastAsia="Arial" w:hAnsi="Arial"/>
          <w:sz w:val="22"/>
          <w:szCs w:val="22"/>
        </w:rPr>
        <w:t xml:space="preserve">	</w:t>
      </w:r>
      <m:oMath>
        <m:func>
          <m:funcPr/>
          <m:fName>
            <m:r>
              <m:t>log</m:t>
            </m:r>
          </m:fName>
          <m:e>
            <m:r>
              <m:t> p̂(x)</m:t>
            </m:r>
          </m:e>
        </m:func>
        <m:r>
          <m:t> = </m:t>
        </m:r>
        <m:func>
          <m:funcPr/>
          <m:fName>
            <m:r>
              <m:t>log</m:t>
            </m:r>
          </m:fName>
          <m:e>
            <m:d>
              <m:dPr>
                <m:begChr m:val="["/>
                <m:endChr m:val="]"/>
              </m:dPr>
              <m:e>
                <m:f>
                  <m:num>
                    <m:r>
                      <m:t>1</m:t>
                    </m:r>
                  </m:num>
                  <m:den>
                    <m:sSub>
                      <m:sSubPr/>
                      <m:e>
                        <m:r>
                          <m:t>n</m:t>
                        </m:r>
                      </m:e>
                      <m:sub>
                        <m:r>
                          <m:t>train</m:t>
                        </m:r>
                      </m:sub>
                    </m:sSub>
                  </m:den>
                </m:f>
                <m:nary>
                  <m:naryPr>
                    <m:chr m:val="∑"/>
                    <m:limLoc m:val="undOvr"/>
                    <m:supHide m:val="1"/>
                  </m:naryPr>
                  <m:sub>
                    <m:r>
                      <m:t>i</m:t>
                    </m:r>
                  </m:sub>
                  <m:e>
                    <m:sSub>
                      <m:sSubPr/>
                      <m:e>
                        <m:r>
                          <m:t>K</m:t>
                        </m:r>
                      </m:e>
                      <m:sub>
                        <m:r>
                          <m:t>h</m:t>
                        </m:r>
                      </m:sub>
                    </m:sSub>
                    <m:d>
                      <m:dPr/>
                      <m:e>
                        <m:r>
                          <m:t>x − </m:t>
                        </m:r>
                        <m:sSub>
                          <m:sSubPr/>
                          <m:e>
                            <m:r>
                              <m:t>x</m:t>
                            </m:r>
                          </m:e>
                          <m:sub>
                            <m:r>
                              <m:t>i</m:t>
                            </m:r>
                          </m:sub>
                        </m:sSub>
                      </m:e>
                    </m:d>
                  </m:e>
                </m:nary>
              </m:e>
            </m:d>
          </m:e>
        </m:func>
      </m:oMath>
      <w:r>
        <w:rPr>
          <w:rFonts w:ascii="Arial" w:cs="Arial" w:eastAsia="Arial" w:hAnsi="Arial"/>
          <w:sz w:val="22"/>
          <w:szCs w:val="22"/>
        </w:rPr>
        <w:t xml:space="preserve">	</w:t>
      </w:r>
      <w:r>
        <w:rPr>
          <w:rFonts w:ascii="Arial" w:cs="Arial" w:eastAsia="Arial" w:hAnsi="Arial"/>
          <w:sz w:val="22"/>
          <w:szCs w:val="22"/>
        </w:rPr>
        <w:t xml:space="preserve">(17)</w:t>
      </w:r>
    </w:p>
    <w:p>
      <w:pPr>
        <w:spacing w:after="120" w:line="252" w:lineRule="auto"/>
        <w:jc w:val="left"/>
      </w:pPr>
      <w:r>
        <w:rPr>
          <w:rFonts w:ascii="Arial" w:cs="Arial" w:eastAsia="Arial" w:hAnsi="Arial"/>
          <w:b w:val="false"/>
          <w:bCs w:val="false"/>
          <w:i w:val="false"/>
          <w:iCs w:val="false"/>
          <w:sz w:val="22"/>
          <w:szCs w:val="22"/>
        </w:rPr>
        <w:t xml:space="preserve">with bandwidth </w:t>
      </w:r>
      <w:r>
        <w:rPr>
          <w:rFonts w:ascii="Arial" w:cs="Arial" w:eastAsia="Arial" w:hAnsi="Arial"/>
          <w:b w:val="false"/>
          <w:bCs w:val="false"/>
          <w:i/>
          <w:iCs/>
          <w:sz w:val="22"/>
          <w:szCs w:val="22"/>
        </w:rPr>
        <w:t xml:space="preserve">h</w:t>
      </w:r>
      <w:r>
        <w:rPr>
          <w:rFonts w:ascii="Arial" w:cs="Arial" w:eastAsia="Arial" w:hAnsi="Arial"/>
          <w:b w:val="false"/>
          <w:bCs w:val="false"/>
          <w:i w:val="false"/>
          <w:iCs w:val="false"/>
          <w:sz w:val="22"/>
          <w:szCs w:val="22"/>
        </w:rPr>
        <w:t xml:space="preserve"> selected by Scott's rule; a sample is flagged as in-domain iff log </w:t>
      </w:r>
      <w:r>
        <w:rPr>
          <w:rFonts w:ascii="Arial" w:cs="Arial" w:eastAsia="Arial" w:hAnsi="Arial"/>
          <w:b w:val="false"/>
          <w:bCs w:val="false"/>
          <w:i/>
          <w:iCs/>
          <w:sz w:val="22"/>
          <w:szCs w:val="22"/>
        </w:rPr>
        <w:t xml:space="preserve">p̂</w:t>
      </w:r>
      <w:r>
        <w:rPr>
          <w:rFonts w:ascii="Arial" w:cs="Arial" w:eastAsia="Arial" w:hAnsi="Arial"/>
          <w:b w:val="false"/>
          <w:bCs w:val="false"/>
          <w:i w:val="false"/>
          <w:iCs w:val="false"/>
          <w:sz w:val="22"/>
          <w:szCs w:val="22"/>
        </w:rPr>
        <w:t xml:space="preserve">(</w:t>
      </w:r>
      <w:r>
        <w:rPr>
          <w:rFonts w:ascii="Arial" w:cs="Arial" w:eastAsia="Arial" w:hAnsi="Arial"/>
          <w:b w:val="false"/>
          <w:bCs w:val="false"/>
          <w:i/>
          <w:iCs/>
          <w:sz w:val="22"/>
          <w:szCs w:val="22"/>
        </w:rPr>
        <w:t xml:space="preserve">x</w:t>
      </w:r>
      <w:r>
        <w:rPr>
          <w:rFonts w:ascii="Arial" w:cs="Arial" w:eastAsia="Arial" w:hAnsi="Arial"/>
          <w:b w:val="false"/>
          <w:bCs w:val="false"/>
          <w:i w:val="false"/>
          <w:iCs w:val="false"/>
          <w:sz w:val="22"/>
          <w:szCs w:val="22"/>
        </w:rPr>
        <w:t xml:space="preserve">) exceeds the 10th percentile of the training distribution (1,174/1,304 = 90.0%). The combined AD is the intersection (688/1,304 = 52.8% of the full corpus and 26.7% of the Regime-III-heavy holdout). Performance partitions accordingly: </w:t>
      </w:r>
      <w:r>
        <w:rPr>
          <w:rFonts w:ascii="Arial" w:cs="Arial" w:eastAsia="Arial" w:hAnsi="Arial"/>
          <w:b w:val="false"/>
          <w:bCs w:val="false"/>
          <w:i/>
          <w:iCs/>
          <w:sz w:val="22"/>
          <w:szCs w:val="22"/>
        </w:rPr>
        <w:t xml:space="preserve">R</w:t>
      </w:r>
      <w:r>
        <w:rPr>
          <w:rFonts w:ascii="Arial" w:cs="Arial" w:eastAsia="Arial" w:hAnsi="Arial"/>
          <w:b w:val="false"/>
          <w:bCs w:val="false"/>
          <w:i w:val="false"/>
          <w:iCs w:val="false"/>
          <w:sz w:val="22"/>
          <w:szCs w:val="22"/>
          <w:vertAlign w:val="superscript"/>
        </w:rPr>
        <w:t xml:space="preserve">2</w:t>
      </w:r>
      <w:r>
        <w:rPr>
          <w:rFonts w:ascii="Arial" w:cs="Arial" w:eastAsia="Arial" w:hAnsi="Arial"/>
          <w:b w:val="false"/>
          <w:bCs w:val="false"/>
          <w:i w:val="false"/>
          <w:iCs w:val="false"/>
          <w:sz w:val="22"/>
          <w:szCs w:val="22"/>
          <w:vertAlign w:val="subscript"/>
        </w:rPr>
        <w:t xml:space="preserve">in</w:t>
      </w:r>
      <w:r>
        <w:rPr>
          <w:rFonts w:ascii="Arial" w:cs="Arial" w:eastAsia="Arial" w:hAnsi="Arial"/>
          <w:b w:val="false"/>
          <w:bCs w:val="false"/>
          <w:i w:val="false"/>
          <w:iCs w:val="false"/>
          <w:sz w:val="22"/>
          <w:szCs w:val="22"/>
        </w:rPr>
        <w:t xml:space="preserve"> = 0.933, </w:t>
      </w:r>
      <w:r>
        <w:rPr>
          <w:rFonts w:ascii="Arial" w:cs="Arial" w:eastAsia="Arial" w:hAnsi="Arial"/>
          <w:b w:val="false"/>
          <w:bCs w:val="false"/>
          <w:i/>
          <w:iCs/>
          <w:sz w:val="22"/>
          <w:szCs w:val="22"/>
        </w:rPr>
        <w:t xml:space="preserve">R</w:t>
      </w:r>
      <w:r>
        <w:rPr>
          <w:rFonts w:ascii="Arial" w:cs="Arial" w:eastAsia="Arial" w:hAnsi="Arial"/>
          <w:b w:val="false"/>
          <w:bCs w:val="false"/>
          <w:i w:val="false"/>
          <w:iCs w:val="false"/>
          <w:sz w:val="22"/>
          <w:szCs w:val="22"/>
          <w:vertAlign w:val="superscript"/>
        </w:rPr>
        <w:t xml:space="preserve">2</w:t>
      </w:r>
      <w:r>
        <w:rPr>
          <w:rFonts w:ascii="Arial" w:cs="Arial" w:eastAsia="Arial" w:hAnsi="Arial"/>
          <w:b w:val="false"/>
          <w:bCs w:val="false"/>
          <w:i w:val="false"/>
          <w:iCs w:val="false"/>
          <w:sz w:val="22"/>
          <w:szCs w:val="22"/>
          <w:vertAlign w:val="subscript"/>
        </w:rPr>
        <w:t xml:space="preserve">out</w:t>
      </w:r>
      <w:r>
        <w:rPr>
          <w:rFonts w:ascii="Arial" w:cs="Arial" w:eastAsia="Arial" w:hAnsi="Arial"/>
          <w:b w:val="false"/>
          <w:bCs w:val="false"/>
          <w:i w:val="false"/>
          <w:iCs w:val="false"/>
          <w:sz w:val="22"/>
          <w:szCs w:val="22"/>
        </w:rPr>
        <w:t xml:space="preserve"> = 0.858 (gap 0.075). Per-A-site </w:t>
      </w:r>
      <w:r>
        <w:rPr>
          <w:rFonts w:ascii="Arial" w:cs="Arial" w:eastAsia="Arial" w:hAnsi="Arial"/>
          <w:b w:val="false"/>
          <w:bCs w:val="false"/>
          <w:i/>
          <w:iCs/>
          <w:sz w:val="22"/>
          <w:szCs w:val="22"/>
        </w:rPr>
        <w:t xml:space="preserve">σ</w:t>
      </w:r>
      <w:r>
        <w:rPr>
          <w:rFonts w:ascii="Arial" w:cs="Arial" w:eastAsia="Arial" w:hAnsi="Arial"/>
          <w:b w:val="false"/>
          <w:bCs w:val="false"/>
          <w:i w:val="false"/>
          <w:iCs w:val="false"/>
          <w:sz w:val="22"/>
          <w:szCs w:val="22"/>
          <w:vertAlign w:val="subscript"/>
        </w:rPr>
        <w:t xml:space="preserve">conf</w:t>
      </w:r>
      <w:r>
        <w:rPr>
          <w:rFonts w:ascii="Arial" w:cs="Arial" w:eastAsia="Arial" w:hAnsi="Arial"/>
          <w:b w:val="false"/>
          <w:bCs w:val="false"/>
          <w:i w:val="false"/>
          <w:iCs w:val="false"/>
          <w:sz w:val="22"/>
          <w:szCs w:val="22"/>
        </w:rPr>
        <w:t xml:space="preserve"> is reported as Pb = 0.288, La = 0.298, Ba = 0.491, Ca = 0.509, Sr = 0.545, and the corresponding in-AD fractions are Pb = 74.4% (confident-but-wrong) and Sr = 23.3% (genuinely uncertain), illustrating the limits of </w:t>
      </w:r>
      <w:r>
        <w:rPr>
          <w:rFonts w:ascii="Arial" w:cs="Arial" w:eastAsia="Arial" w:hAnsi="Arial"/>
          <w:b w:val="false"/>
          <w:bCs w:val="false"/>
          <w:i/>
          <w:iCs/>
          <w:sz w:val="22"/>
          <w:szCs w:val="22"/>
        </w:rPr>
        <w:t xml:space="preserve">σ</w:t>
      </w:r>
      <w:r>
        <w:rPr>
          <w:rFonts w:ascii="Arial" w:cs="Arial" w:eastAsia="Arial" w:hAnsi="Arial"/>
          <w:b w:val="false"/>
          <w:bCs w:val="false"/>
          <w:i w:val="false"/>
          <w:iCs w:val="false"/>
          <w:sz w:val="22"/>
          <w:szCs w:val="22"/>
        </w:rPr>
        <w:t xml:space="preserve">-only OOD detection [39,50,51].</w:t>
      </w:r>
    </w:p>
    <w:p>
      <w:pPr>
        <w:spacing w:after="160" w:before="220" w:line="480" w:lineRule="auto"/>
      </w:pPr>
      <w:r>
        <w:rPr>
          <w:rFonts w:ascii="Arial" w:cs="Arial" w:eastAsia="Arial" w:hAnsi="Arial"/>
          <w:b/>
          <w:bCs/>
          <w:i/>
          <w:iCs/>
          <w:color w:val="000000"/>
          <w:sz w:val="22"/>
          <w:szCs w:val="22"/>
        </w:rPr>
        <w:t xml:space="preserve">Virtual screening protocol</w:t>
      </w:r>
    </w:p>
    <w:p>
      <w:pPr>
        <w:spacing w:after="120" w:line="252" w:lineRule="auto"/>
        <w:jc w:val="left"/>
      </w:pPr>
      <w:r>
        <w:rPr>
          <w:rFonts w:ascii="Arial" w:cs="Arial" w:eastAsia="Arial" w:hAnsi="Arial"/>
          <w:b w:val="false"/>
          <w:bCs w:val="false"/>
          <w:i w:val="false"/>
          <w:iCs w:val="false"/>
          <w:sz w:val="22"/>
          <w:szCs w:val="22"/>
        </w:rPr>
        <w:t xml:space="preserve">We constructed a library of 72 Pb-free candidate compositions spanning eight chemical families (Sr-Ca-Ti, Sr-Ce-Ti, La-Na-Ti, Ca-Sm-Zr-Ti, Ca-Nd-Zr-Ti, Ca-Li-Sm-Ti, Ca-Li-Nd-Sm-Ti and Sr-Ce-Zr-Ti) chosen to maximise predicted </w:t>
      </w:r>
      <w:r>
        <w:rPr>
          <w:rFonts w:ascii="Arial" w:cs="Arial" w:eastAsia="Arial" w:hAnsi="Arial"/>
          <w:b w:val="false"/>
          <w:bCs w:val="false"/>
          <w:i/>
          <w:iCs/>
          <w:sz w:val="22"/>
          <w:szCs w:val="22"/>
        </w:rPr>
        <w:t xml:space="preserve">δ</w:t>
      </w:r>
      <w:r>
        <w:rPr>
          <w:rFonts w:ascii="Arial" w:cs="Arial" w:eastAsia="Arial" w:hAnsi="Arial"/>
          <w:b w:val="false"/>
          <w:bCs w:val="false"/>
          <w:i w:val="false"/>
          <w:iCs w:val="false"/>
          <w:sz w:val="22"/>
          <w:szCs w:val="22"/>
          <w:vertAlign w:val="subscript"/>
        </w:rPr>
        <w:t xml:space="preserve">LST</w:t>
      </w:r>
      <w:r>
        <w:rPr>
          <w:rFonts w:ascii="Arial" w:cs="Arial" w:eastAsia="Arial" w:hAnsi="Arial"/>
          <w:b w:val="false"/>
          <w:bCs w:val="false"/>
          <w:i w:val="false"/>
          <w:iCs w:val="false"/>
          <w:sz w:val="22"/>
          <w:szCs w:val="22"/>
        </w:rPr>
        <w:t xml:space="preserve"> while remaining within the chemical neighbourhood of the training corpus. For each candidate, the PCNN produces a point prediction </w:t>
      </w:r>
      <w:r>
        <w:rPr>
          <w:rFonts w:ascii="Arial" w:cs="Arial" w:eastAsia="Arial" w:hAnsi="Arial"/>
          <w:b w:val="false"/>
          <w:bCs w:val="false"/>
          <w:i/>
          <w:iCs/>
          <w:sz w:val="22"/>
          <w:szCs w:val="22"/>
        </w:rPr>
        <w:t xml:space="preserve">ε̂</w:t>
      </w:r>
      <w:r>
        <w:rPr>
          <w:rFonts w:ascii="Arial" w:cs="Arial" w:eastAsia="Arial" w:hAnsi="Arial"/>
          <w:b w:val="false"/>
          <w:bCs w:val="false"/>
          <w:i w:val="false"/>
          <w:iCs w:val="false"/>
          <w:sz w:val="22"/>
          <w:szCs w:val="22"/>
          <w:vertAlign w:val="subscript"/>
        </w:rPr>
        <w:t xml:space="preserve">r</w:t>
      </w:r>
      <w:r>
        <w:rPr>
          <w:rFonts w:ascii="Arial" w:cs="Arial" w:eastAsia="Arial" w:hAnsi="Arial"/>
          <w:b w:val="false"/>
          <w:bCs w:val="false"/>
          <w:i w:val="false"/>
          <w:iCs w:val="false"/>
          <w:sz w:val="22"/>
          <w:szCs w:val="22"/>
        </w:rPr>
        <w:t xml:space="preserve"> and a 90% conformal interval [</w:t>
      </w:r>
      <w:r>
        <w:rPr>
          <w:rFonts w:ascii="Arial" w:cs="Arial" w:eastAsia="Arial" w:hAnsi="Arial"/>
          <w:b w:val="false"/>
          <w:bCs w:val="false"/>
          <w:i/>
          <w:iCs/>
          <w:sz w:val="22"/>
          <w:szCs w:val="22"/>
        </w:rPr>
        <w:t xml:space="preserve">ε̂</w:t>
      </w:r>
      <w:r>
        <w:rPr>
          <w:rFonts w:ascii="Arial" w:cs="Arial" w:eastAsia="Arial" w:hAnsi="Arial"/>
          <w:b w:val="false"/>
          <w:bCs w:val="false"/>
          <w:i w:val="false"/>
          <w:iCs w:val="false"/>
          <w:sz w:val="22"/>
          <w:szCs w:val="22"/>
          <w:vertAlign w:val="subscript"/>
        </w:rPr>
        <w:t xml:space="preserve">r</w:t>
      </w:r>
      <w:r>
        <w:rPr>
          <w:rFonts w:ascii="Arial" w:cs="Arial" w:eastAsia="Arial" w:hAnsi="Arial"/>
          <w:b w:val="false"/>
          <w:bCs w:val="false"/>
          <w:i w:val="false"/>
          <w:iCs w:val="false"/>
          <w:sz w:val="22"/>
          <w:szCs w:val="22"/>
        </w:rPr>
        <w:t xml:space="preserve"> − q̂</w:t>
      </w:r>
      <w:r>
        <w:rPr>
          <w:rFonts w:ascii="Arial" w:cs="Arial" w:eastAsia="Arial" w:hAnsi="Arial"/>
          <w:b w:val="false"/>
          <w:bCs w:val="false"/>
          <w:i w:val="false"/>
          <w:iCs w:val="false"/>
          <w:sz w:val="22"/>
          <w:szCs w:val="22"/>
          <w:vertAlign w:val="subscript"/>
        </w:rPr>
        <w:t xml:space="preserve">90</w:t>
      </w:r>
      <w:r>
        <w:rPr>
          <w:rFonts w:ascii="Arial" w:cs="Arial" w:eastAsia="Arial" w:hAnsi="Arial"/>
          <w:b w:val="false"/>
          <w:bCs w:val="false"/>
          <w:i w:val="false"/>
          <w:iCs w:val="false"/>
          <w:sz w:val="22"/>
          <w:szCs w:val="22"/>
        </w:rPr>
        <w:t xml:space="preserve">, </w:t>
      </w:r>
      <w:r>
        <w:rPr>
          <w:rFonts w:ascii="Arial" w:cs="Arial" w:eastAsia="Arial" w:hAnsi="Arial"/>
          <w:b w:val="false"/>
          <w:bCs w:val="false"/>
          <w:i/>
          <w:iCs/>
          <w:sz w:val="22"/>
          <w:szCs w:val="22"/>
        </w:rPr>
        <w:t xml:space="preserve">ε̂</w:t>
      </w:r>
      <w:r>
        <w:rPr>
          <w:rFonts w:ascii="Arial" w:cs="Arial" w:eastAsia="Arial" w:hAnsi="Arial"/>
          <w:b w:val="false"/>
          <w:bCs w:val="false"/>
          <w:i w:val="false"/>
          <w:iCs w:val="false"/>
          <w:sz w:val="22"/>
          <w:szCs w:val="22"/>
          <w:vertAlign w:val="subscript"/>
        </w:rPr>
        <w:t xml:space="preserve">r</w:t>
      </w:r>
      <w:r>
        <w:rPr>
          <w:rFonts w:ascii="Arial" w:cs="Arial" w:eastAsia="Arial" w:hAnsi="Arial"/>
          <w:b w:val="false"/>
          <w:bCs w:val="false"/>
          <w:i w:val="false"/>
          <w:iCs w:val="false"/>
          <w:sz w:val="22"/>
          <w:szCs w:val="22"/>
        </w:rPr>
        <w:t xml:space="preserve"> + q̂</w:t>
      </w:r>
      <w:r>
        <w:rPr>
          <w:rFonts w:ascii="Arial" w:cs="Arial" w:eastAsia="Arial" w:hAnsi="Arial"/>
          <w:b w:val="false"/>
          <w:bCs w:val="false"/>
          <w:i w:val="false"/>
          <w:iCs w:val="false"/>
          <w:sz w:val="22"/>
          <w:szCs w:val="22"/>
          <w:vertAlign w:val="subscript"/>
        </w:rPr>
        <w:t xml:space="preserve">90</w:t>
      </w:r>
      <w:r>
        <w:rPr>
          <w:rFonts w:ascii="Arial" w:cs="Arial" w:eastAsia="Arial" w:hAnsi="Arial"/>
          <w:b w:val="false"/>
          <w:bCs w:val="false"/>
          <w:i w:val="false"/>
          <w:iCs w:val="false"/>
          <w:sz w:val="22"/>
          <w:szCs w:val="22"/>
        </w:rPr>
        <w:t xml:space="preserve">]. Candidates are selected by the conjunctive filter </w:t>
      </w:r>
      <w:r>
        <w:rPr>
          <w:rFonts w:ascii="Arial" w:cs="Arial" w:eastAsia="Arial" w:hAnsi="Arial"/>
          <w:b w:val="false"/>
          <w:bCs w:val="false"/>
          <w:i/>
          <w:iCs/>
          <w:sz w:val="22"/>
          <w:szCs w:val="22"/>
        </w:rPr>
        <w:t xml:space="preserve">ε̂</w:t>
      </w:r>
      <w:r>
        <w:rPr>
          <w:rFonts w:ascii="Arial" w:cs="Arial" w:eastAsia="Arial" w:hAnsi="Arial"/>
          <w:b w:val="false"/>
          <w:bCs w:val="false"/>
          <w:i w:val="false"/>
          <w:iCs w:val="false"/>
          <w:sz w:val="22"/>
          <w:szCs w:val="22"/>
          <w:vertAlign w:val="subscript"/>
        </w:rPr>
        <w:t xml:space="preserve">r</w:t>
      </w:r>
      <w:r>
        <w:rPr>
          <w:rFonts w:ascii="Arial" w:cs="Arial" w:eastAsia="Arial" w:hAnsi="Arial"/>
          <w:b w:val="false"/>
          <w:bCs w:val="false"/>
          <w:i w:val="false"/>
          <w:iCs w:val="false"/>
          <w:sz w:val="22"/>
          <w:szCs w:val="22"/>
        </w:rPr>
        <w:t xml:space="preserve"> ≥ 80 and 90% lower bound ≥ 65; the threshold pair was fixed before scoring. 70 of 72 candidates (97%) satisfy the filter. We refer to this procedure as uncertainty-aware virtual screening: it ranks candidates by predicted permittivity subject to a calibrated lower bound. The top candidates are listed in Supplementary Table 3.</w:t>
      </w:r>
    </w:p>
    <w:p>
      <w:pPr>
        <w:spacing w:after="160" w:before="220" w:line="480" w:lineRule="auto"/>
      </w:pPr>
      <w:r>
        <w:rPr>
          <w:rFonts w:ascii="Arial" w:cs="Arial" w:eastAsia="Arial" w:hAnsi="Arial"/>
          <w:b/>
          <w:bCs/>
          <w:i/>
          <w:iCs/>
          <w:color w:val="000000"/>
          <w:sz w:val="22"/>
          <w:szCs w:val="22"/>
        </w:rPr>
        <w:t xml:space="preserve">Inverse design (genetic algorithm)</w:t>
      </w:r>
    </w:p>
    <w:p>
      <w:pPr>
        <w:spacing w:after="120" w:line="252" w:lineRule="auto"/>
        <w:jc w:val="left"/>
      </w:pPr>
      <w:r>
        <w:rPr>
          <w:rFonts w:ascii="Arial" w:cs="Arial" w:eastAsia="Arial" w:hAnsi="Arial"/>
          <w:b w:val="false"/>
          <w:bCs w:val="false"/>
          <w:i w:val="false"/>
          <w:iCs w:val="false"/>
          <w:sz w:val="22"/>
          <w:szCs w:val="22"/>
        </w:rPr>
        <w:t xml:space="preserve">To search composition space directly rather than rank a fixed library, we used a physics-constrained genetic algorithm (GA) [40] over the coupled A- and B-site composition simplices (A ∈ {Ba, Sr, Ca, La, Pb, Nd, Sm, Y, Bi, Ce}, B ∈ {Ti, Zr, Nb, Ta, Sn}). Three runs were performed: GA-Pb-allowed (full A-site), GA-Pb-free (Pb fraction = 0) and GA-d</w:t>
      </w:r>
      <w:r>
        <w:rPr>
          <w:rFonts w:ascii="Arial" w:cs="Arial" w:eastAsia="Arial" w:hAnsi="Arial"/>
          <w:b w:val="false"/>
          <w:bCs w:val="false"/>
          <w:i w:val="false"/>
          <w:iCs w:val="false"/>
          <w:sz w:val="22"/>
          <w:szCs w:val="22"/>
          <w:vertAlign w:val="superscript"/>
        </w:rPr>
        <w:t xml:space="preserve">0</w:t>
      </w:r>
      <w:r>
        <w:rPr>
          <w:rFonts w:ascii="Arial" w:cs="Arial" w:eastAsia="Arial" w:hAnsi="Arial"/>
          <w:b w:val="false"/>
          <w:bCs w:val="false"/>
          <w:i w:val="false"/>
          <w:iCs w:val="false"/>
          <w:sz w:val="22"/>
          <w:szCs w:val="22"/>
        </w:rPr>
        <w:t xml:space="preserve">-strict (B-site restricted to d</w:t>
      </w:r>
      <w:r>
        <w:rPr>
          <w:rFonts w:ascii="Arial" w:cs="Arial" w:eastAsia="Arial" w:hAnsi="Arial"/>
          <w:b w:val="false"/>
          <w:bCs w:val="false"/>
          <w:i w:val="false"/>
          <w:iCs w:val="false"/>
          <w:sz w:val="22"/>
          <w:szCs w:val="22"/>
          <w:vertAlign w:val="superscript"/>
        </w:rPr>
        <w:t xml:space="preserve">0</w:t>
      </w:r>
      <w:r>
        <w:rPr>
          <w:rFonts w:ascii="Arial" w:cs="Arial" w:eastAsia="Arial" w:hAnsi="Arial"/>
          <w:b w:val="false"/>
          <w:bCs w:val="false"/>
          <w:i w:val="false"/>
          <w:iCs w:val="false"/>
          <w:sz w:val="22"/>
          <w:szCs w:val="22"/>
        </w:rPr>
        <w:t xml:space="preserve"> cations {Ti, Zr, Nb, Ta}). Each run evolved a population of 100 individuals over 50 generations (≈ 5,000 PCNN forward evaluations) with tournament selection (</w:t>
      </w:r>
      <w:r>
        <w:rPr>
          <w:rFonts w:ascii="Arial" w:cs="Arial" w:eastAsia="Arial" w:hAnsi="Arial"/>
          <w:b w:val="false"/>
          <w:bCs w:val="false"/>
          <w:i/>
          <w:iCs/>
          <w:sz w:val="22"/>
          <w:szCs w:val="22"/>
        </w:rPr>
        <w:t xml:space="preserve">k</w:t>
      </w:r>
      <w:r>
        <w:rPr>
          <w:rFonts w:ascii="Arial" w:cs="Arial" w:eastAsia="Arial" w:hAnsi="Arial"/>
          <w:b w:val="false"/>
          <w:bCs w:val="false"/>
          <w:i w:val="false"/>
          <w:iCs w:val="false"/>
          <w:sz w:val="22"/>
          <w:szCs w:val="22"/>
        </w:rPr>
        <w:t xml:space="preserve"> = 3), uniform crossover (rate 0.70), Gaussian composition mutation (rate 0.30, </w:t>
      </w:r>
      <w:r>
        <w:rPr>
          <w:rFonts w:ascii="Arial" w:cs="Arial" w:eastAsia="Arial" w:hAnsi="Arial"/>
          <w:b w:val="false"/>
          <w:bCs w:val="false"/>
          <w:i/>
          <w:iCs/>
          <w:sz w:val="22"/>
          <w:szCs w:val="22"/>
        </w:rPr>
        <w:t xml:space="preserve">σ</w:t>
      </w:r>
      <w:r>
        <w:rPr>
          <w:rFonts w:ascii="Arial" w:cs="Arial" w:eastAsia="Arial" w:hAnsi="Arial"/>
          <w:b w:val="false"/>
          <w:bCs w:val="false"/>
          <w:i w:val="false"/>
          <w:iCs w:val="false"/>
          <w:sz w:val="22"/>
          <w:szCs w:val="22"/>
        </w:rPr>
        <w:t xml:space="preserve"> = 0.05 per cation), elitism (5 individuals) and 5% random immigration (seed 7). Charge balance is enforced by projection (|</w:t>
      </w:r>
      <w:r>
        <w:rPr>
          <w:rFonts w:ascii="Arial" w:cs="Arial" w:eastAsia="Arial" w:hAnsi="Arial"/>
          <w:b w:val="false"/>
          <w:bCs w:val="false"/>
          <w:i/>
          <w:iCs/>
          <w:sz w:val="22"/>
          <w:szCs w:val="22"/>
        </w:rPr>
        <w:t xml:space="preserve">z</w:t>
      </w:r>
      <w:r>
        <w:rPr>
          <w:rFonts w:ascii="Arial" w:cs="Arial" w:eastAsia="Arial" w:hAnsi="Arial"/>
          <w:b w:val="false"/>
          <w:bCs w:val="false"/>
          <w:i w:val="false"/>
          <w:iCs w:val="false"/>
          <w:sz w:val="22"/>
          <w:szCs w:val="22"/>
          <w:vertAlign w:val="subscript"/>
        </w:rPr>
        <w:t xml:space="preserve">A</w:t>
      </w:r>
      <w:r>
        <w:rPr>
          <w:rFonts w:ascii="Arial" w:cs="Arial" w:eastAsia="Arial" w:hAnsi="Arial"/>
          <w:b w:val="false"/>
          <w:bCs w:val="false"/>
          <w:i w:val="false"/>
          <w:iCs w:val="false"/>
          <w:sz w:val="22"/>
          <w:szCs w:val="22"/>
        </w:rPr>
        <w:t xml:space="preserve"> + </w:t>
      </w:r>
      <w:r>
        <w:rPr>
          <w:rFonts w:ascii="Arial" w:cs="Arial" w:eastAsia="Arial" w:hAnsi="Arial"/>
          <w:b w:val="false"/>
          <w:bCs w:val="false"/>
          <w:i/>
          <w:iCs/>
          <w:sz w:val="22"/>
          <w:szCs w:val="22"/>
        </w:rPr>
        <w:t xml:space="preserve">z</w:t>
      </w:r>
      <w:r>
        <w:rPr>
          <w:rFonts w:ascii="Arial" w:cs="Arial" w:eastAsia="Arial" w:hAnsi="Arial"/>
          <w:b w:val="false"/>
          <w:bCs w:val="false"/>
          <w:i w:val="false"/>
          <w:iCs w:val="false"/>
          <w:sz w:val="22"/>
          <w:szCs w:val="22"/>
          <w:vertAlign w:val="subscript"/>
        </w:rPr>
        <w:t xml:space="preserve">B</w:t>
      </w:r>
      <w:r>
        <w:rPr>
          <w:rFonts w:ascii="Arial" w:cs="Arial" w:eastAsia="Arial" w:hAnsi="Arial"/>
          <w:b w:val="false"/>
          <w:bCs w:val="false"/>
          <w:i w:val="false"/>
          <w:iCs w:val="false"/>
          <w:sz w:val="22"/>
          <w:szCs w:val="22"/>
        </w:rPr>
        <w:t xml:space="preserve"> − 6| ≤ 0.10), and candidates are rejected unless the Goldschmidt tolerance factor lies in [0.85, 1.05] and the d</w:t>
      </w:r>
      <w:r>
        <w:rPr>
          <w:rFonts w:ascii="Arial" w:cs="Arial" w:eastAsia="Arial" w:hAnsi="Arial"/>
          <w:b w:val="false"/>
          <w:bCs w:val="false"/>
          <w:i w:val="false"/>
          <w:iCs w:val="false"/>
          <w:sz w:val="22"/>
          <w:szCs w:val="22"/>
          <w:vertAlign w:val="superscript"/>
        </w:rPr>
        <w:t xml:space="preserve">0</w:t>
      </w:r>
      <w:r>
        <w:rPr>
          <w:rFonts w:ascii="Arial" w:cs="Arial" w:eastAsia="Arial" w:hAnsi="Arial"/>
          <w:b w:val="false"/>
          <w:bCs w:val="false"/>
          <w:i w:val="false"/>
          <w:iCs w:val="false"/>
          <w:sz w:val="22"/>
          <w:szCs w:val="22"/>
        </w:rPr>
        <w:t xml:space="preserve"> B-site fraction ≥ 0.5. The fitness maximises the ensemble-mean predicted </w:t>
      </w:r>
      <w:r>
        <w:rPr>
          <w:rFonts w:ascii="Arial" w:cs="Arial" w:eastAsia="Arial" w:hAnsi="Arial"/>
          <w:b w:val="false"/>
          <w:bCs w:val="false"/>
          <w:i/>
          <w:iCs/>
          <w:sz w:val="22"/>
          <w:szCs w:val="22"/>
        </w:rPr>
        <w:t xml:space="preserve">ε</w:t>
      </w:r>
      <w:r>
        <w:rPr>
          <w:rFonts w:ascii="Arial" w:cs="Arial" w:eastAsia="Arial" w:hAnsi="Arial"/>
          <w:b w:val="false"/>
          <w:bCs w:val="false"/>
          <w:i w:val="false"/>
          <w:iCs w:val="false"/>
          <w:sz w:val="22"/>
          <w:szCs w:val="22"/>
          <w:vertAlign w:val="subscript"/>
        </w:rPr>
        <w:t xml:space="preserve">r</w:t>
      </w:r>
      <w:r>
        <w:rPr>
          <w:rFonts w:ascii="Arial" w:cs="Arial" w:eastAsia="Arial" w:hAnsi="Arial"/>
          <w:b w:val="false"/>
          <w:bCs w:val="false"/>
          <w:i w:val="false"/>
          <w:iCs w:val="false"/>
          <w:sz w:val="22"/>
          <w:szCs w:val="22"/>
        </w:rPr>
        <w:t xml:space="preserve"> penalised by predictive uncertainty, </w:t>
      </w:r>
      <w:r>
        <w:rPr>
          <w:rFonts w:ascii="Arial" w:cs="Arial" w:eastAsia="Arial" w:hAnsi="Arial"/>
          <w:b w:val="false"/>
          <w:bCs w:val="false"/>
          <w:i/>
          <w:iCs/>
          <w:sz w:val="22"/>
          <w:szCs w:val="22"/>
        </w:rPr>
        <w:t xml:space="preserve">f</w:t>
      </w:r>
      <w:r>
        <w:rPr>
          <w:rFonts w:ascii="Arial" w:cs="Arial" w:eastAsia="Arial" w:hAnsi="Arial"/>
          <w:b w:val="false"/>
          <w:bCs w:val="false"/>
          <w:i w:val="false"/>
          <w:iCs w:val="false"/>
          <w:sz w:val="22"/>
          <w:szCs w:val="22"/>
        </w:rPr>
        <w:t xml:space="preserve"> = </w:t>
      </w:r>
      <w:r>
        <w:rPr>
          <w:rFonts w:ascii="Arial" w:cs="Arial" w:eastAsia="Arial" w:hAnsi="Arial"/>
          <w:b w:val="false"/>
          <w:bCs w:val="false"/>
          <w:i/>
          <w:iCs/>
          <w:sz w:val="22"/>
          <w:szCs w:val="22"/>
        </w:rPr>
        <w:t xml:space="preserve">ε̂</w:t>
      </w:r>
      <w:r>
        <w:rPr>
          <w:rFonts w:ascii="Arial" w:cs="Arial" w:eastAsia="Arial" w:hAnsi="Arial"/>
          <w:b w:val="false"/>
          <w:bCs w:val="false"/>
          <w:i w:val="false"/>
          <w:iCs w:val="false"/>
          <w:sz w:val="22"/>
          <w:szCs w:val="22"/>
          <w:vertAlign w:val="subscript"/>
        </w:rPr>
        <w:t xml:space="preserve">r</w:t>
      </w:r>
      <w:r>
        <w:rPr>
          <w:rFonts w:ascii="Arial" w:cs="Arial" w:eastAsia="Arial" w:hAnsi="Arial"/>
          <w:b w:val="false"/>
          <w:bCs w:val="false"/>
          <w:i w:val="false"/>
          <w:iCs w:val="false"/>
          <w:sz w:val="22"/>
          <w:szCs w:val="22"/>
        </w:rPr>
        <w:t xml:space="preserve"> − 0.5 </w:t>
      </w:r>
      <w:r>
        <w:rPr>
          <w:rFonts w:ascii="Arial" w:cs="Arial" w:eastAsia="Arial" w:hAnsi="Arial"/>
          <w:b w:val="false"/>
          <w:bCs w:val="false"/>
          <w:i/>
          <w:iCs/>
          <w:sz w:val="22"/>
          <w:szCs w:val="22"/>
        </w:rPr>
        <w:t xml:space="preserve">σ</w:t>
      </w:r>
      <w:r>
        <w:rPr>
          <w:rFonts w:ascii="Arial" w:cs="Arial" w:eastAsia="Arial" w:hAnsi="Arial"/>
          <w:b w:val="false"/>
          <w:bCs w:val="false"/>
          <w:i w:val="false"/>
          <w:iCs w:val="false"/>
          <w:sz w:val="22"/>
          <w:szCs w:val="22"/>
          <w:vertAlign w:val="subscript"/>
        </w:rPr>
        <w:t xml:space="preserve">ML</w:t>
      </w:r>
      <w:r>
        <w:rPr>
          <w:rFonts w:ascii="Arial" w:cs="Arial" w:eastAsia="Arial" w:hAnsi="Arial"/>
          <w:b w:val="false"/>
          <w:bCs w:val="false"/>
          <w:i w:val="false"/>
          <w:iCs w:val="false"/>
          <w:sz w:val="22"/>
          <w:szCs w:val="22"/>
        </w:rPr>
        <w:t xml:space="preserve"> (where </w:t>
      </w:r>
      <w:r>
        <w:rPr>
          <w:rFonts w:ascii="Arial" w:cs="Arial" w:eastAsia="Arial" w:hAnsi="Arial"/>
          <w:b w:val="false"/>
          <w:bCs w:val="false"/>
          <w:i/>
          <w:iCs/>
          <w:sz w:val="22"/>
          <w:szCs w:val="22"/>
        </w:rPr>
        <w:t xml:space="preserve">σ</w:t>
      </w:r>
      <w:r>
        <w:rPr>
          <w:rFonts w:ascii="Arial" w:cs="Arial" w:eastAsia="Arial" w:hAnsi="Arial"/>
          <w:b w:val="false"/>
          <w:bCs w:val="false"/>
          <w:i w:val="false"/>
          <w:iCs w:val="false"/>
          <w:sz w:val="22"/>
          <w:szCs w:val="22"/>
          <w:vertAlign w:val="subscript"/>
        </w:rPr>
        <w:t xml:space="preserve">ML</w:t>
      </w:r>
      <w:r>
        <w:rPr>
          <w:rFonts w:ascii="Arial" w:cs="Arial" w:eastAsia="Arial" w:hAnsi="Arial"/>
          <w:b w:val="false"/>
          <w:bCs w:val="false"/>
          <w:i w:val="false"/>
          <w:iCs w:val="false"/>
          <w:sz w:val="22"/>
          <w:szCs w:val="22"/>
        </w:rPr>
        <w:t xml:space="preserve"> is the ensemble standard deviation, distinct from the physics-gate </w:t>
      </w:r>
      <w:r>
        <w:rPr>
          <w:rFonts w:ascii="Arial" w:cs="Arial" w:eastAsia="Arial" w:hAnsi="Arial"/>
          <w:b w:val="false"/>
          <w:bCs w:val="false"/>
          <w:i/>
          <w:iCs/>
          <w:sz w:val="22"/>
          <w:szCs w:val="22"/>
        </w:rPr>
        <w:t xml:space="preserve">σ</w:t>
      </w:r>
      <w:r>
        <w:rPr>
          <w:rFonts w:ascii="Arial" w:cs="Arial" w:eastAsia="Arial" w:hAnsi="Arial"/>
          <w:b w:val="false"/>
          <w:bCs w:val="false"/>
          <w:i w:val="false"/>
          <w:iCs w:val="false"/>
          <w:sz w:val="22"/>
          <w:szCs w:val="22"/>
          <w:vertAlign w:val="subscript"/>
        </w:rPr>
        <w:t xml:space="preserve">conf</w:t>
      </w:r>
      <w:r>
        <w:rPr>
          <w:rFonts w:ascii="Arial" w:cs="Arial" w:eastAsia="Arial" w:hAnsi="Arial"/>
          <w:b w:val="false"/>
          <w:bCs w:val="false"/>
          <w:i w:val="false"/>
          <w:iCs w:val="false"/>
          <w:sz w:val="22"/>
          <w:szCs w:val="22"/>
        </w:rPr>
        <w:t xml:space="preserve"> of the applicability domain); the GA therefore performs an uncertainty-penalised free search across the full composition simplices, with applicability-domain assessment applied </w:t>
      </w:r>
      <w:r>
        <w:rPr>
          <w:rFonts w:ascii="Arial" w:cs="Arial" w:eastAsia="Arial" w:hAnsi="Arial"/>
          <w:b w:val="false"/>
          <w:bCs w:val="false"/>
          <w:i/>
          <w:iCs/>
          <w:sz w:val="22"/>
          <w:szCs w:val="22"/>
        </w:rPr>
        <w:t xml:space="preserve">post hoc</w:t>
      </w:r>
      <w:r>
        <w:rPr>
          <w:rFonts w:ascii="Arial" w:cs="Arial" w:eastAsia="Arial" w:hAnsi="Arial"/>
          <w:b w:val="false"/>
          <w:bCs w:val="false"/>
          <w:i w:val="false"/>
          <w:iCs w:val="false"/>
          <w:sz w:val="22"/>
          <w:szCs w:val="22"/>
        </w:rPr>
        <w:t xml:space="preserve"> to the resulting candidates rather than as a constraint during the search. Each reported candidate carries its 90% conformal interval (q̂</w:t>
      </w:r>
      <w:r>
        <w:rPr>
          <w:rFonts w:ascii="Arial" w:cs="Arial" w:eastAsia="Arial" w:hAnsi="Arial"/>
          <w:b w:val="false"/>
          <w:bCs w:val="false"/>
          <w:i w:val="false"/>
          <w:iCs w:val="false"/>
          <w:sz w:val="22"/>
          <w:szCs w:val="22"/>
          <w:vertAlign w:val="subscript"/>
        </w:rPr>
        <w:t xml:space="preserve">90</w:t>
      </w:r>
      <w:r>
        <w:rPr>
          <w:rFonts w:ascii="Arial" w:cs="Arial" w:eastAsia="Arial" w:hAnsi="Arial"/>
          <w:b w:val="false"/>
          <w:bCs w:val="false"/>
          <w:i w:val="false"/>
          <w:iCs w:val="false"/>
          <w:sz w:val="22"/>
          <w:szCs w:val="22"/>
        </w:rPr>
        <w:t xml:space="preserve"> = 14.38) and is assessed against the dual applicability domain (above) and its nearest-neighbour distance to the training set. Because each run converges to a single composition family per constraint set, we report the optimum per run rather than near-duplicate variants.</w:t>
      </w:r>
    </w:p>
    <w:p>
      <w:pPr>
        <w:spacing w:after="160" w:before="220" w:line="480" w:lineRule="auto"/>
      </w:pPr>
      <w:r>
        <w:rPr>
          <w:rFonts w:ascii="Arial" w:cs="Arial" w:eastAsia="Arial" w:hAnsi="Arial"/>
          <w:b/>
          <w:bCs/>
          <w:i/>
          <w:iCs/>
          <w:color w:val="000000"/>
          <w:sz w:val="22"/>
          <w:szCs w:val="22"/>
        </w:rPr>
        <w:t xml:space="preserve">Statistics and reproducibility</w:t>
      </w:r>
    </w:p>
    <w:p>
      <w:pPr>
        <w:spacing w:after="120" w:line="252" w:lineRule="auto"/>
        <w:jc w:val="left"/>
      </w:pPr>
      <w:r>
        <w:rPr>
          <w:rFonts w:ascii="Arial" w:cs="Arial" w:eastAsia="Arial" w:hAnsi="Arial"/>
          <w:b w:val="false"/>
          <w:bCs w:val="false"/>
          <w:i w:val="false"/>
          <w:iCs w:val="false"/>
          <w:sz w:val="22"/>
          <w:szCs w:val="22"/>
        </w:rPr>
        <w:t xml:space="preserve">All statistical tests were two-tailed. Statistical significance of the A-site amplification hierarchy was assessed by label-permutation tests (2,000 random permutations of A-site assignments; observed range 1.622 versus null mean 0.209; </w:t>
      </w:r>
      <w:r>
        <w:rPr>
          <w:rFonts w:ascii="Arial" w:cs="Arial" w:eastAsia="Arial" w:hAnsi="Arial"/>
          <w:b w:val="false"/>
          <w:bCs w:val="false"/>
          <w:i/>
          <w:iCs/>
          <w:sz w:val="22"/>
          <w:szCs w:val="22"/>
        </w:rPr>
        <w:t xml:space="preserve">z</w:t>
      </w:r>
      <w:r>
        <w:rPr>
          <w:rFonts w:ascii="Arial" w:cs="Arial" w:eastAsia="Arial" w:hAnsi="Arial"/>
          <w:b w:val="false"/>
          <w:bCs w:val="false"/>
          <w:i w:val="false"/>
          <w:iCs w:val="false"/>
          <w:sz w:val="22"/>
          <w:szCs w:val="22"/>
        </w:rPr>
        <w:t xml:space="preserve"> ≈ 17σ; </w:t>
      </w:r>
      <w:r>
        <w:rPr>
          <w:rFonts w:ascii="Arial" w:cs="Arial" w:eastAsia="Arial" w:hAnsi="Arial"/>
          <w:b w:val="false"/>
          <w:bCs w:val="false"/>
          <w:i/>
          <w:iCs/>
          <w:sz w:val="22"/>
          <w:szCs w:val="22"/>
        </w:rPr>
        <w:t xml:space="preserve">p</w:t>
      </w:r>
      <w:r>
        <w:rPr>
          <w:rFonts w:ascii="Arial" w:cs="Arial" w:eastAsia="Arial" w:hAnsi="Arial"/>
          <w:b w:val="false"/>
          <w:bCs w:val="false"/>
          <w:i w:val="false"/>
          <w:iCs w:val="false"/>
          <w:sz w:val="22"/>
          <w:szCs w:val="22"/>
        </w:rPr>
        <w:t xml:space="preserve"> &lt; 0.0005); the regime ordering was tested identically (observed range 1.136; </w:t>
      </w:r>
      <w:r>
        <w:rPr>
          <w:rFonts w:ascii="Arial" w:cs="Arial" w:eastAsia="Arial" w:hAnsi="Arial"/>
          <w:b w:val="false"/>
          <w:bCs w:val="false"/>
          <w:i/>
          <w:iCs/>
          <w:sz w:val="22"/>
          <w:szCs w:val="22"/>
        </w:rPr>
        <w:t xml:space="preserve">z</w:t>
      </w:r>
      <w:r>
        <w:rPr>
          <w:rFonts w:ascii="Arial" w:cs="Arial" w:eastAsia="Arial" w:hAnsi="Arial"/>
          <w:b w:val="false"/>
          <w:bCs w:val="false"/>
          <w:i w:val="false"/>
          <w:iCs w:val="false"/>
          <w:sz w:val="22"/>
          <w:szCs w:val="22"/>
        </w:rPr>
        <w:t xml:space="preserve"> ≈ 9σ; </w:t>
      </w:r>
      <w:r>
        <w:rPr>
          <w:rFonts w:ascii="Arial" w:cs="Arial" w:eastAsia="Arial" w:hAnsi="Arial"/>
          <w:b w:val="false"/>
          <w:bCs w:val="false"/>
          <w:i/>
          <w:iCs/>
          <w:sz w:val="22"/>
          <w:szCs w:val="22"/>
        </w:rPr>
        <w:t xml:space="preserve">p</w:t>
      </w:r>
      <w:r>
        <w:rPr>
          <w:rFonts w:ascii="Arial" w:cs="Arial" w:eastAsia="Arial" w:hAnsi="Arial"/>
          <w:b w:val="false"/>
          <w:bCs w:val="false"/>
          <w:i w:val="false"/>
          <w:iCs w:val="false"/>
          <w:sz w:val="22"/>
          <w:szCs w:val="22"/>
        </w:rPr>
        <w:t xml:space="preserve"> &lt; 0.0005). Conformal coverage out of calibration was validated by bootstrap (2,000 disjoint calibration/coverage partitions of the 116-sample family-disjoint holdout; mean coverage ± SD reported at nominal 80, 85, 90, 95% levels). Predictive uncertainty per prediction is the across-seed standard deviation of a 5-seed ensemble (</w:t>
      </w:r>
      <w:r>
        <w:rPr>
          <w:rFonts w:ascii="Arial" w:cs="Arial" w:eastAsia="Arial" w:hAnsi="Arial"/>
          <w:b w:val="false"/>
          <w:bCs w:val="false"/>
          <w:i/>
          <w:iCs/>
          <w:sz w:val="22"/>
          <w:szCs w:val="22"/>
        </w:rPr>
        <w:t xml:space="preserve">σ</w:t>
      </w:r>
      <w:r>
        <w:rPr>
          <w:rFonts w:ascii="Arial" w:cs="Arial" w:eastAsia="Arial" w:hAnsi="Arial"/>
          <w:b w:val="false"/>
          <w:bCs w:val="false"/>
          <w:i w:val="false"/>
          <w:iCs w:val="false"/>
          <w:sz w:val="22"/>
          <w:szCs w:val="22"/>
          <w:vertAlign w:val="subscript"/>
        </w:rPr>
        <w:t xml:space="preserve">ML</w:t>
      </w:r>
      <w:r>
        <w:rPr>
          <w:rFonts w:ascii="Arial" w:cs="Arial" w:eastAsia="Arial" w:hAnsi="Arial"/>
          <w:b w:val="false"/>
          <w:bCs w:val="false"/>
          <w:i w:val="false"/>
          <w:iCs w:val="false"/>
          <w:sz w:val="22"/>
          <w:szCs w:val="22"/>
        </w:rPr>
        <w:t xml:space="preserve">), distinct from the physics-based confidence gate </w:t>
      </w:r>
      <w:r>
        <w:rPr>
          <w:rFonts w:ascii="Arial" w:cs="Arial" w:eastAsia="Arial" w:hAnsi="Arial"/>
          <w:b w:val="false"/>
          <w:bCs w:val="false"/>
          <w:i/>
          <w:iCs/>
          <w:sz w:val="22"/>
          <w:szCs w:val="22"/>
        </w:rPr>
        <w:t xml:space="preserve">σ</w:t>
      </w:r>
      <w:r>
        <w:rPr>
          <w:rFonts w:ascii="Arial" w:cs="Arial" w:eastAsia="Arial" w:hAnsi="Arial"/>
          <w:b w:val="false"/>
          <w:bCs w:val="false"/>
          <w:i w:val="false"/>
          <w:iCs w:val="false"/>
          <w:sz w:val="22"/>
          <w:szCs w:val="22"/>
          <w:vertAlign w:val="subscript"/>
        </w:rPr>
        <w:t xml:space="preserve">conf</w:t>
      </w:r>
      <w:r>
        <w:rPr>
          <w:rFonts w:ascii="Arial" w:cs="Arial" w:eastAsia="Arial" w:hAnsi="Arial"/>
          <w:b w:val="false"/>
          <w:bCs w:val="false"/>
          <w:i w:val="false"/>
          <w:iCs w:val="false"/>
          <w:sz w:val="22"/>
          <w:szCs w:val="22"/>
        </w:rPr>
        <w:t xml:space="preserve"> of eq. (9); calibrated prediction intervals are split-conformal (eqs. 15–16). Spearman rank correlations are reported throughout with two-sided </w:t>
      </w:r>
      <w:r>
        <w:rPr>
          <w:rFonts w:ascii="Arial" w:cs="Arial" w:eastAsia="Arial" w:hAnsi="Arial"/>
          <w:b w:val="false"/>
          <w:bCs w:val="false"/>
          <w:i/>
          <w:iCs/>
          <w:sz w:val="22"/>
          <w:szCs w:val="22"/>
        </w:rPr>
        <w:t xml:space="preserve">p</w:t>
      </w:r>
      <w:r>
        <w:rPr>
          <w:rFonts w:ascii="Arial" w:cs="Arial" w:eastAsia="Arial" w:hAnsi="Arial"/>
          <w:b w:val="false"/>
          <w:bCs w:val="false"/>
          <w:i w:val="false"/>
          <w:iCs w:val="false"/>
          <w:sz w:val="22"/>
          <w:szCs w:val="22"/>
        </w:rPr>
        <w:t xml:space="preserve">-values. Error bars in figures denote either the 90% conformal prediction interval (Fig. 5a) or bootstrap 95% confidence intervals from 2,000 resamples (Fig. 2a); these are specified per figure caption. Exact sample sizes are reported as </w:t>
      </w:r>
      <w:r>
        <w:rPr>
          <w:rFonts w:ascii="Arial" w:cs="Arial" w:eastAsia="Arial" w:hAnsi="Arial"/>
          <w:b w:val="false"/>
          <w:bCs w:val="false"/>
          <w:i/>
          <w:iCs/>
          <w:sz w:val="22"/>
          <w:szCs w:val="22"/>
        </w:rPr>
        <w:t xml:space="preserve">n</w:t>
      </w:r>
      <w:r>
        <w:rPr>
          <w:rFonts w:ascii="Arial" w:cs="Arial" w:eastAsia="Arial" w:hAnsi="Arial"/>
          <w:b w:val="false"/>
          <w:bCs w:val="false"/>
          <w:i w:val="false"/>
          <w:iCs w:val="false"/>
          <w:sz w:val="22"/>
          <w:szCs w:val="22"/>
        </w:rPr>
        <w:t xml:space="preserve"> in the text, in Tables 1–2 and in figure captions; no observations were excluded after the dataset-cleaning criteria described in Methods §Dataset and features. Software: model and training in PyTorch (≥ 2.0); hyperparameter search in Optuna (Tree-structured Parzen Estimator sampler, 100 trials); statistical tests and bootstrap in NumPy/SciPy. Random seeds, exact training schedule and the 5-seed ensemble identifiers are listed in Supplementary Table 1; the genetic-algorithm inverse-design uses seed 7.</w:t>
      </w:r>
    </w:p>
    <w:p>
      <w:pPr>
        <w:pStyle w:val="Heading1"/>
        <w:spacing w:after="240" w:before="360" w:line="480" w:lineRule="auto"/>
      </w:pPr>
      <w:r>
        <w:rPr>
          <w:rFonts w:ascii="Arial" w:cs="Arial" w:eastAsia="Arial" w:hAnsi="Arial"/>
          <w:b/>
          <w:bCs/>
          <w:color w:val="000000"/>
          <w:sz w:val="28"/>
          <w:szCs w:val="28"/>
        </w:rPr>
        <w:t xml:space="preserve">Data availability</w:t>
      </w:r>
    </w:p>
    <w:p>
      <w:pPr>
        <w:spacing w:after="120" w:line="252" w:lineRule="auto"/>
        <w:jc w:val="left"/>
      </w:pPr>
      <w:r>
        <w:rPr>
          <w:rFonts w:ascii="Arial" w:cs="Arial" w:eastAsia="Arial" w:hAnsi="Arial"/>
          <w:b w:val="false"/>
          <w:bCs w:val="false"/>
          <w:i w:val="false"/>
          <w:iCs w:val="false"/>
          <w:sz w:val="22"/>
          <w:szCs w:val="22"/>
        </w:rPr>
        <w:t xml:space="preserve">The cleaned 1,304-composition ABO</w:t>
      </w:r>
      <w:r>
        <w:rPr>
          <w:rFonts w:ascii="Arial" w:cs="Arial" w:eastAsia="Arial" w:hAnsi="Arial"/>
          <w:b w:val="false"/>
          <w:bCs w:val="false"/>
          <w:i w:val="false"/>
          <w:iCs w:val="false"/>
          <w:sz w:val="22"/>
          <w:szCs w:val="22"/>
          <w:vertAlign w:val="subscript"/>
        </w:rPr>
        <w:t xml:space="preserve">3</w:t>
      </w:r>
      <w:r>
        <w:rPr>
          <w:rFonts w:ascii="Arial" w:cs="Arial" w:eastAsia="Arial" w:hAnsi="Arial"/>
          <w:b w:val="false"/>
          <w:bCs w:val="false"/>
          <w:i w:val="false"/>
          <w:iCs w:val="false"/>
          <w:sz w:val="22"/>
          <w:szCs w:val="22"/>
        </w:rPr>
        <w:t xml:space="preserve"> microwave-dielectric dataset compiled in this study, the 103-feature processed feature matrix (`feature</w:t>
      </w:r>
      <w:r>
        <w:rPr>
          <w:rFonts w:ascii="Arial" w:cs="Arial" w:eastAsia="Arial" w:hAnsi="Arial"/>
          <w:b w:val="false"/>
          <w:bCs w:val="false"/>
          <w:i w:val="false"/>
          <w:iCs w:val="false"/>
          <w:sz w:val="22"/>
          <w:szCs w:val="22"/>
        </w:rPr>
        <w:t xml:space="preserve">_</w:t>
      </w:r>
      <w:r>
        <w:rPr>
          <w:rFonts w:ascii="Arial" w:cs="Arial" w:eastAsia="Arial" w:hAnsi="Arial"/>
          <w:b w:val="false"/>
          <w:bCs w:val="false"/>
          <w:i w:val="false"/>
          <w:iCs w:val="false"/>
          <w:sz w:val="22"/>
          <w:szCs w:val="22"/>
        </w:rPr>
        <w:t xml:space="preserve">matrix</w:t>
      </w:r>
      <w:r>
        <w:rPr>
          <w:rFonts w:ascii="Arial" w:cs="Arial" w:eastAsia="Arial" w:hAnsi="Arial"/>
          <w:b w:val="false"/>
          <w:bCs w:val="false"/>
          <w:i w:val="false"/>
          <w:iCs w:val="false"/>
          <w:sz w:val="22"/>
          <w:szCs w:val="22"/>
        </w:rPr>
        <w:t xml:space="preserve">_</w:t>
      </w:r>
      <w:r>
        <w:rPr>
          <w:rFonts w:ascii="Arial" w:cs="Arial" w:eastAsia="Arial" w:hAnsi="Arial"/>
          <w:b w:val="false"/>
          <w:bCs w:val="false"/>
          <w:i w:val="false"/>
          <w:iCs w:val="false"/>
          <w:sz w:val="22"/>
          <w:szCs w:val="22"/>
        </w:rPr>
        <w:t xml:space="preserve">v7.parquet`), and the fixed train/calibration partition (`calibration</w:t>
      </w:r>
      <w:r>
        <w:rPr>
          <w:rFonts w:ascii="Arial" w:cs="Arial" w:eastAsia="Arial" w:hAnsi="Arial"/>
          <w:b w:val="false"/>
          <w:bCs w:val="false"/>
          <w:i w:val="false"/>
          <w:iCs w:val="false"/>
          <w:sz w:val="22"/>
          <w:szCs w:val="22"/>
        </w:rPr>
        <w:t xml:space="preserve">_</w:t>
      </w:r>
      <w:r>
        <w:rPr>
          <w:rFonts w:ascii="Arial" w:cs="Arial" w:eastAsia="Arial" w:hAnsi="Arial"/>
          <w:b w:val="false"/>
          <w:bCs w:val="false"/>
          <w:i w:val="false"/>
          <w:iCs w:val="false"/>
          <w:sz w:val="22"/>
          <w:szCs w:val="22"/>
        </w:rPr>
        <w:t xml:space="preserve">split</w:t>
      </w:r>
      <w:r>
        <w:rPr>
          <w:rFonts w:ascii="Arial" w:cs="Arial" w:eastAsia="Arial" w:hAnsi="Arial"/>
          <w:b w:val="false"/>
          <w:bCs w:val="false"/>
          <w:i w:val="false"/>
          <w:iCs w:val="false"/>
          <w:sz w:val="22"/>
          <w:szCs w:val="22"/>
        </w:rPr>
        <w:t xml:space="preserve">_</w:t>
      </w:r>
      <w:r>
        <w:rPr>
          <w:rFonts w:ascii="Arial" w:cs="Arial" w:eastAsia="Arial" w:hAnsi="Arial"/>
          <w:b w:val="false"/>
          <w:bCs w:val="false"/>
          <w:i w:val="false"/>
          <w:iCs w:val="false"/>
          <w:sz w:val="22"/>
          <w:szCs w:val="22"/>
        </w:rPr>
        <w:t xml:space="preserve">idx.json`) used for all reported metrics are deposited at Zenodo, DOI: [Zenodo dataset DOI to be inserted at submission]. The dataset includes per-composition references to the ~200 primary literature sources from which the experimental </w:t>
      </w:r>
      <w:r>
        <w:rPr>
          <w:rFonts w:ascii="Arial" w:cs="Arial" w:eastAsia="Arial" w:hAnsi="Arial"/>
          <w:b w:val="false"/>
          <w:bCs w:val="false"/>
          <w:i/>
          <w:iCs/>
          <w:sz w:val="22"/>
          <w:szCs w:val="22"/>
        </w:rPr>
        <w:t xml:space="preserve">ε</w:t>
      </w:r>
      <w:r>
        <w:rPr>
          <w:rFonts w:ascii="Arial" w:cs="Arial" w:eastAsia="Arial" w:hAnsi="Arial"/>
          <w:b w:val="false"/>
          <w:bCs w:val="false"/>
          <w:i w:val="false"/>
          <w:iCs w:val="false"/>
          <w:sz w:val="22"/>
          <w:szCs w:val="22"/>
          <w:vertAlign w:val="subscript"/>
        </w:rPr>
        <w:t xml:space="preserve">r</w:t>
      </w:r>
      <w:r>
        <w:rPr>
          <w:rFonts w:ascii="Arial" w:cs="Arial" w:eastAsia="Arial" w:hAnsi="Arial"/>
          <w:b w:val="false"/>
          <w:bCs w:val="false"/>
          <w:i w:val="false"/>
          <w:iCs w:val="false"/>
          <w:sz w:val="22"/>
          <w:szCs w:val="22"/>
        </w:rPr>
        <w:t xml:space="preserve"> values were compiled; the complete source list is provided as Supplementary References. Source data underlying the main figures and tables (Figs. 1–6, Tables 1–2) are provided as a Source Data file deposited together with the manuscript. All other data supporting the findings of this study are available within the article and its Supplementary Information.</w:t>
      </w:r>
    </w:p>
    <w:p>
      <w:pPr>
        <w:pStyle w:val="Heading1"/>
        <w:spacing w:after="240" w:before="360" w:line="480" w:lineRule="auto"/>
      </w:pPr>
      <w:r>
        <w:rPr>
          <w:rFonts w:ascii="Arial" w:cs="Arial" w:eastAsia="Arial" w:hAnsi="Arial"/>
          <w:b/>
          <w:bCs/>
          <w:color w:val="000000"/>
          <w:sz w:val="28"/>
          <w:szCs w:val="28"/>
        </w:rPr>
        <w:t xml:space="preserve">Code availability</w:t>
      </w:r>
    </w:p>
    <w:p>
      <w:pPr>
        <w:spacing w:after="120" w:line="252" w:lineRule="auto"/>
        <w:jc w:val="left"/>
      </w:pPr>
      <w:r>
        <w:rPr>
          <w:rFonts w:ascii="Arial" w:cs="Arial" w:eastAsia="Arial" w:hAnsi="Arial"/>
          <w:b w:val="false"/>
          <w:bCs w:val="false"/>
          <w:i w:val="false"/>
          <w:iCs w:val="false"/>
          <w:sz w:val="22"/>
          <w:szCs w:val="22"/>
        </w:rPr>
        <w:t xml:space="preserve">All custom code used to generate the results reported in this manuscript — including the PCNN architecture, training script, feature-engineering pipeline, conformal calibration, applicability-domain implementation, and the genetic-algorithm inverse-design — is available at GitHub: [GitHub URL to be inserted at submission], with an archival snapshot at Zenodo, DOI: [Zenodo code DOI to be inserted at submission]. The 5-seed trained ensemble (`models/cmltrv77</w:t>
      </w:r>
      <w:r>
        <w:rPr>
          <w:rFonts w:ascii="Arial" w:cs="Arial" w:eastAsia="Arial" w:hAnsi="Arial"/>
          <w:b w:val="false"/>
          <w:bCs w:val="false"/>
          <w:i w:val="false"/>
          <w:iCs w:val="false"/>
          <w:sz w:val="22"/>
          <w:szCs w:val="22"/>
        </w:rPr>
        <w:t xml:space="preserve">_</w:t>
      </w:r>
      <w:r>
        <w:rPr>
          <w:rFonts w:ascii="Arial" w:cs="Arial" w:eastAsia="Arial" w:hAnsi="Arial"/>
          <w:b w:val="false"/>
          <w:bCs w:val="false"/>
          <w:i w:val="false"/>
          <w:iCs w:val="false"/>
          <w:sz w:val="22"/>
          <w:szCs w:val="22"/>
        </w:rPr>
        <w:t xml:space="preserve">final.pt`) used to produce all reported metrics is deposited alongside the dataset (Data availability). The code is released under the [MIT/Apache-2.0] license. Training requires PyTorch (≥ 2.0), Optuna, SciPy and standard scientific Python dependencies (full versions in `requirements.txt`).</w:t>
      </w:r>
    </w:p>
    <w:p>
      <w:pPr>
        <w:pStyle w:val="Heading1"/>
        <w:spacing w:after="240" w:before="360" w:line="480" w:lineRule="auto"/>
      </w:pPr>
      <w:r>
        <w:rPr>
          <w:rFonts w:ascii="Arial" w:cs="Arial" w:eastAsia="Arial" w:hAnsi="Arial"/>
          <w:b/>
          <w:bCs/>
          <w:color w:val="000000"/>
          <w:sz w:val="28"/>
          <w:szCs w:val="28"/>
        </w:rPr>
        <w:t xml:space="preserve">References</w:t>
      </w:r>
    </w:p>
    <w:p>
      <w:pPr>
        <w:spacing w:after="60" w:line="240" w:lineRule="auto"/>
        <w:jc w:val="left"/>
      </w:pPr>
      <w:r>
        <w:rPr>
          <w:rFonts w:ascii="Arial" w:cs="Arial" w:eastAsia="Arial" w:hAnsi="Arial"/>
          <w:b w:val="false"/>
          <w:bCs w:val="false"/>
          <w:i w:val="false"/>
          <w:iCs w:val="false"/>
          <w:sz w:val="22"/>
          <w:szCs w:val="22"/>
        </w:rPr>
        <w:t xml:space="preserve">1. Reaney, I. M. &amp; Iddles, D. Microwave dielectric ceramics for resonators and filters in mobile phone networks. </w:t>
      </w:r>
      <w:r>
        <w:rPr>
          <w:rFonts w:ascii="Arial" w:cs="Arial" w:eastAsia="Arial" w:hAnsi="Arial"/>
          <w:b w:val="false"/>
          <w:bCs w:val="false"/>
          <w:i/>
          <w:iCs/>
          <w:sz w:val="22"/>
          <w:szCs w:val="22"/>
        </w:rPr>
        <w:t xml:space="preserve">J. Am. Ceram. Soc.</w:t>
      </w:r>
      <w:r>
        <w:rPr>
          <w:rFonts w:ascii="Arial" w:cs="Arial" w:eastAsia="Arial" w:hAnsi="Arial"/>
          <w:b w:val="false"/>
          <w:bCs w:val="false"/>
          <w:i w:val="false"/>
          <w:iCs w:val="false"/>
          <w:sz w:val="22"/>
          <w:szCs w:val="22"/>
        </w:rPr>
        <w:t xml:space="preserve"> </w:t>
      </w:r>
      <w:r>
        <w:rPr>
          <w:rFonts w:ascii="Arial" w:cs="Arial" w:eastAsia="Arial" w:hAnsi="Arial"/>
          <w:b/>
          <w:bCs/>
          <w:i w:val="false"/>
          <w:iCs w:val="false"/>
          <w:sz w:val="22"/>
          <w:szCs w:val="22"/>
        </w:rPr>
        <w:t xml:space="preserve">89</w:t>
      </w:r>
      <w:r>
        <w:rPr>
          <w:rFonts w:ascii="Arial" w:cs="Arial" w:eastAsia="Arial" w:hAnsi="Arial"/>
          <w:b w:val="false"/>
          <w:bCs w:val="false"/>
          <w:i w:val="false"/>
          <w:iCs w:val="false"/>
          <w:sz w:val="22"/>
          <w:szCs w:val="22"/>
        </w:rPr>
        <w:t xml:space="preserve">, 2063–2072 (2006).</w:t>
      </w:r>
    </w:p>
    <w:p>
      <w:pPr>
        <w:spacing w:after="60" w:line="240" w:lineRule="auto"/>
        <w:jc w:val="left"/>
      </w:pPr>
      <w:r>
        <w:rPr>
          <w:rFonts w:ascii="Arial" w:cs="Arial" w:eastAsia="Arial" w:hAnsi="Arial"/>
          <w:b w:val="false"/>
          <w:bCs w:val="false"/>
          <w:i w:val="false"/>
          <w:iCs w:val="false"/>
          <w:sz w:val="22"/>
          <w:szCs w:val="22"/>
        </w:rPr>
        <w:t xml:space="preserve">2. Wersing, W. Microwave ceramics for resonators and filters. </w:t>
      </w:r>
      <w:r>
        <w:rPr>
          <w:rFonts w:ascii="Arial" w:cs="Arial" w:eastAsia="Arial" w:hAnsi="Arial"/>
          <w:b w:val="false"/>
          <w:bCs w:val="false"/>
          <w:i/>
          <w:iCs/>
          <w:sz w:val="22"/>
          <w:szCs w:val="22"/>
        </w:rPr>
        <w:t xml:space="preserve">Curr. Opin. Solid State Mater. Sci.</w:t>
      </w:r>
      <w:r>
        <w:rPr>
          <w:rFonts w:ascii="Arial" w:cs="Arial" w:eastAsia="Arial" w:hAnsi="Arial"/>
          <w:b w:val="false"/>
          <w:bCs w:val="false"/>
          <w:i w:val="false"/>
          <w:iCs w:val="false"/>
          <w:sz w:val="22"/>
          <w:szCs w:val="22"/>
        </w:rPr>
        <w:t xml:space="preserve"> </w:t>
      </w:r>
      <w:r>
        <w:rPr>
          <w:rFonts w:ascii="Arial" w:cs="Arial" w:eastAsia="Arial" w:hAnsi="Arial"/>
          <w:b/>
          <w:bCs/>
          <w:i w:val="false"/>
          <w:iCs w:val="false"/>
          <w:sz w:val="22"/>
          <w:szCs w:val="22"/>
        </w:rPr>
        <w:t xml:space="preserve">1</w:t>
      </w:r>
      <w:r>
        <w:rPr>
          <w:rFonts w:ascii="Arial" w:cs="Arial" w:eastAsia="Arial" w:hAnsi="Arial"/>
          <w:b w:val="false"/>
          <w:bCs w:val="false"/>
          <w:i w:val="false"/>
          <w:iCs w:val="false"/>
          <w:sz w:val="22"/>
          <w:szCs w:val="22"/>
        </w:rPr>
        <w:t xml:space="preserve">, 715–731 (1996).</w:t>
      </w:r>
    </w:p>
    <w:p>
      <w:pPr>
        <w:spacing w:after="60" w:line="240" w:lineRule="auto"/>
        <w:jc w:val="left"/>
      </w:pPr>
      <w:r>
        <w:rPr>
          <w:rFonts w:ascii="Arial" w:cs="Arial" w:eastAsia="Arial" w:hAnsi="Arial"/>
          <w:b w:val="false"/>
          <w:bCs w:val="false"/>
          <w:i w:val="false"/>
          <w:iCs w:val="false"/>
          <w:sz w:val="22"/>
          <w:szCs w:val="22"/>
        </w:rPr>
        <w:t xml:space="preserve">3. Sebastian, M. T. &amp; Dixit, A. (eds). </w:t>
      </w:r>
      <w:r>
        <w:rPr>
          <w:rFonts w:ascii="Arial" w:cs="Arial" w:eastAsia="Arial" w:hAnsi="Arial"/>
          <w:b w:val="false"/>
          <w:bCs w:val="false"/>
          <w:i/>
          <w:iCs/>
          <w:sz w:val="22"/>
          <w:szCs w:val="22"/>
        </w:rPr>
        <w:t xml:space="preserve">Microwave Materials and Applications</w:t>
      </w:r>
      <w:r>
        <w:rPr>
          <w:rFonts w:ascii="Arial" w:cs="Arial" w:eastAsia="Arial" w:hAnsi="Arial"/>
          <w:b w:val="false"/>
          <w:bCs w:val="false"/>
          <w:i w:val="false"/>
          <w:iCs w:val="false"/>
          <w:sz w:val="22"/>
          <w:szCs w:val="22"/>
        </w:rPr>
        <w:t xml:space="preserve"> (Wiley-IEEE Press, 2017).</w:t>
      </w:r>
    </w:p>
    <w:p>
      <w:pPr>
        <w:spacing w:after="60" w:line="240" w:lineRule="auto"/>
        <w:jc w:val="left"/>
      </w:pPr>
      <w:r>
        <w:rPr>
          <w:rFonts w:ascii="Arial" w:cs="Arial" w:eastAsia="Arial" w:hAnsi="Arial"/>
          <w:b w:val="false"/>
          <w:bCs w:val="false"/>
          <w:i w:val="false"/>
          <w:iCs w:val="false"/>
          <w:sz w:val="22"/>
          <w:szCs w:val="22"/>
        </w:rPr>
        <w:t xml:space="preserve">4. Reaney, I. M., Colla, E. L. &amp; Setter, N. Dielectric and structural characteristics of Ba- and Sr-based complex perovskites as a function of tolerance factor. </w:t>
      </w:r>
      <w:r>
        <w:rPr>
          <w:rFonts w:ascii="Arial" w:cs="Arial" w:eastAsia="Arial" w:hAnsi="Arial"/>
          <w:b w:val="false"/>
          <w:bCs w:val="false"/>
          <w:i/>
          <w:iCs/>
          <w:sz w:val="22"/>
          <w:szCs w:val="22"/>
        </w:rPr>
        <w:t xml:space="preserve">Jpn. J. Appl. Phys.</w:t>
      </w:r>
      <w:r>
        <w:rPr>
          <w:rFonts w:ascii="Arial" w:cs="Arial" w:eastAsia="Arial" w:hAnsi="Arial"/>
          <w:b w:val="false"/>
          <w:bCs w:val="false"/>
          <w:i w:val="false"/>
          <w:iCs w:val="false"/>
          <w:sz w:val="22"/>
          <w:szCs w:val="22"/>
        </w:rPr>
        <w:t xml:space="preserve"> </w:t>
      </w:r>
      <w:r>
        <w:rPr>
          <w:rFonts w:ascii="Arial" w:cs="Arial" w:eastAsia="Arial" w:hAnsi="Arial"/>
          <w:b/>
          <w:bCs/>
          <w:i w:val="false"/>
          <w:iCs w:val="false"/>
          <w:sz w:val="22"/>
          <w:szCs w:val="22"/>
        </w:rPr>
        <w:t xml:space="preserve">33</w:t>
      </w:r>
      <w:r>
        <w:rPr>
          <w:rFonts w:ascii="Arial" w:cs="Arial" w:eastAsia="Arial" w:hAnsi="Arial"/>
          <w:b w:val="false"/>
          <w:bCs w:val="false"/>
          <w:i w:val="false"/>
          <w:iCs w:val="false"/>
          <w:sz w:val="22"/>
          <w:szCs w:val="22"/>
        </w:rPr>
        <w:t xml:space="preserve">, 3984–3990 (1994).</w:t>
      </w:r>
    </w:p>
    <w:p>
      <w:pPr>
        <w:spacing w:after="60" w:line="240" w:lineRule="auto"/>
        <w:jc w:val="left"/>
      </w:pPr>
      <w:r>
        <w:rPr>
          <w:rFonts w:ascii="Arial" w:cs="Arial" w:eastAsia="Arial" w:hAnsi="Arial"/>
          <w:b w:val="false"/>
          <w:bCs w:val="false"/>
          <w:i w:val="false"/>
          <w:iCs w:val="false"/>
          <w:sz w:val="22"/>
          <w:szCs w:val="22"/>
        </w:rPr>
        <w:t xml:space="preserve">5. Lufaso, M. W. &amp; Woodward, P. M. Prediction of the crystal structures of perovskites using the software program SPuDS. </w:t>
      </w:r>
      <w:r>
        <w:rPr>
          <w:rFonts w:ascii="Arial" w:cs="Arial" w:eastAsia="Arial" w:hAnsi="Arial"/>
          <w:b w:val="false"/>
          <w:bCs w:val="false"/>
          <w:i/>
          <w:iCs/>
          <w:sz w:val="22"/>
          <w:szCs w:val="22"/>
        </w:rPr>
        <w:t xml:space="preserve">Acta Crystallogr. B</w:t>
      </w:r>
      <w:r>
        <w:rPr>
          <w:rFonts w:ascii="Arial" w:cs="Arial" w:eastAsia="Arial" w:hAnsi="Arial"/>
          <w:b w:val="false"/>
          <w:bCs w:val="false"/>
          <w:i w:val="false"/>
          <w:iCs w:val="false"/>
          <w:sz w:val="22"/>
          <w:szCs w:val="22"/>
        </w:rPr>
        <w:t xml:space="preserve"> </w:t>
      </w:r>
      <w:r>
        <w:rPr>
          <w:rFonts w:ascii="Arial" w:cs="Arial" w:eastAsia="Arial" w:hAnsi="Arial"/>
          <w:b/>
          <w:bCs/>
          <w:i w:val="false"/>
          <w:iCs w:val="false"/>
          <w:sz w:val="22"/>
          <w:szCs w:val="22"/>
        </w:rPr>
        <w:t xml:space="preserve">57</w:t>
      </w:r>
      <w:r>
        <w:rPr>
          <w:rFonts w:ascii="Arial" w:cs="Arial" w:eastAsia="Arial" w:hAnsi="Arial"/>
          <w:b w:val="false"/>
          <w:bCs w:val="false"/>
          <w:i w:val="false"/>
          <w:iCs w:val="false"/>
          <w:sz w:val="22"/>
          <w:szCs w:val="22"/>
        </w:rPr>
        <w:t xml:space="preserve">, 725–738 (2001).</w:t>
      </w:r>
    </w:p>
    <w:p>
      <w:pPr>
        <w:spacing w:after="60" w:line="240" w:lineRule="auto"/>
        <w:jc w:val="left"/>
      </w:pPr>
      <w:r>
        <w:rPr>
          <w:rFonts w:ascii="Arial" w:cs="Arial" w:eastAsia="Arial" w:hAnsi="Arial"/>
          <w:b w:val="false"/>
          <w:bCs w:val="false"/>
          <w:i w:val="false"/>
          <w:iCs w:val="false"/>
          <w:sz w:val="22"/>
          <w:szCs w:val="22"/>
        </w:rPr>
        <w:t xml:space="preserve">6. Shannon, R. D. Dielectric polarizabilities of ions in oxides and fluorides. </w:t>
      </w:r>
      <w:r>
        <w:rPr>
          <w:rFonts w:ascii="Arial" w:cs="Arial" w:eastAsia="Arial" w:hAnsi="Arial"/>
          <w:b w:val="false"/>
          <w:bCs w:val="false"/>
          <w:i/>
          <w:iCs/>
          <w:sz w:val="22"/>
          <w:szCs w:val="22"/>
        </w:rPr>
        <w:t xml:space="preserve">J. Appl. Phys.</w:t>
      </w:r>
      <w:r>
        <w:rPr>
          <w:rFonts w:ascii="Arial" w:cs="Arial" w:eastAsia="Arial" w:hAnsi="Arial"/>
          <w:b w:val="false"/>
          <w:bCs w:val="false"/>
          <w:i w:val="false"/>
          <w:iCs w:val="false"/>
          <w:sz w:val="22"/>
          <w:szCs w:val="22"/>
        </w:rPr>
        <w:t xml:space="preserve"> </w:t>
      </w:r>
      <w:r>
        <w:rPr>
          <w:rFonts w:ascii="Arial" w:cs="Arial" w:eastAsia="Arial" w:hAnsi="Arial"/>
          <w:b/>
          <w:bCs/>
          <w:i w:val="false"/>
          <w:iCs w:val="false"/>
          <w:sz w:val="22"/>
          <w:szCs w:val="22"/>
        </w:rPr>
        <w:t xml:space="preserve">73</w:t>
      </w:r>
      <w:r>
        <w:rPr>
          <w:rFonts w:ascii="Arial" w:cs="Arial" w:eastAsia="Arial" w:hAnsi="Arial"/>
          <w:b w:val="false"/>
          <w:bCs w:val="false"/>
          <w:i w:val="false"/>
          <w:iCs w:val="false"/>
          <w:sz w:val="22"/>
          <w:szCs w:val="22"/>
        </w:rPr>
        <w:t xml:space="preserve">, 348–366 (1993).</w:t>
      </w:r>
    </w:p>
    <w:p>
      <w:pPr>
        <w:spacing w:after="60" w:line="240" w:lineRule="auto"/>
        <w:jc w:val="left"/>
      </w:pPr>
      <w:r>
        <w:rPr>
          <w:rFonts w:ascii="Arial" w:cs="Arial" w:eastAsia="Arial" w:hAnsi="Arial"/>
          <w:b w:val="false"/>
          <w:bCs w:val="false"/>
          <w:i w:val="false"/>
          <w:iCs w:val="false"/>
          <w:sz w:val="22"/>
          <w:szCs w:val="22"/>
        </w:rPr>
        <w:t xml:space="preserve">7. Bosman, A. J. &amp; Havinga, E. E. Temperature dependence of the dielectric constants of cubic ionic compounds. </w:t>
      </w:r>
      <w:r>
        <w:rPr>
          <w:rFonts w:ascii="Arial" w:cs="Arial" w:eastAsia="Arial" w:hAnsi="Arial"/>
          <w:b w:val="false"/>
          <w:bCs w:val="false"/>
          <w:i/>
          <w:iCs/>
          <w:sz w:val="22"/>
          <w:szCs w:val="22"/>
        </w:rPr>
        <w:t xml:space="preserve">Phys. Rev.</w:t>
      </w:r>
      <w:r>
        <w:rPr>
          <w:rFonts w:ascii="Arial" w:cs="Arial" w:eastAsia="Arial" w:hAnsi="Arial"/>
          <w:b w:val="false"/>
          <w:bCs w:val="false"/>
          <w:i w:val="false"/>
          <w:iCs w:val="false"/>
          <w:sz w:val="22"/>
          <w:szCs w:val="22"/>
        </w:rPr>
        <w:t xml:space="preserve"> </w:t>
      </w:r>
      <w:r>
        <w:rPr>
          <w:rFonts w:ascii="Arial" w:cs="Arial" w:eastAsia="Arial" w:hAnsi="Arial"/>
          <w:b/>
          <w:bCs/>
          <w:i w:val="false"/>
          <w:iCs w:val="false"/>
          <w:sz w:val="22"/>
          <w:szCs w:val="22"/>
        </w:rPr>
        <w:t xml:space="preserve">129</w:t>
      </w:r>
      <w:r>
        <w:rPr>
          <w:rFonts w:ascii="Arial" w:cs="Arial" w:eastAsia="Arial" w:hAnsi="Arial"/>
          <w:b w:val="false"/>
          <w:bCs w:val="false"/>
          <w:i w:val="false"/>
          <w:iCs w:val="false"/>
          <w:sz w:val="22"/>
          <w:szCs w:val="22"/>
        </w:rPr>
        <w:t xml:space="preserve">, 1593–1600 (1963).</w:t>
      </w:r>
    </w:p>
    <w:p>
      <w:pPr>
        <w:spacing w:after="60" w:line="240" w:lineRule="auto"/>
        <w:jc w:val="left"/>
      </w:pPr>
      <w:r>
        <w:rPr>
          <w:rFonts w:ascii="Arial" w:cs="Arial" w:eastAsia="Arial" w:hAnsi="Arial"/>
          <w:b w:val="false"/>
          <w:bCs w:val="false"/>
          <w:i w:val="false"/>
          <w:iCs w:val="false"/>
          <w:sz w:val="22"/>
          <w:szCs w:val="22"/>
        </w:rPr>
        <w:t xml:space="preserve">8. Lyddane, R. H., Sachs, R. G. &amp; Teller, E. On the polar vibrations of alkali halides. </w:t>
      </w:r>
      <w:r>
        <w:rPr>
          <w:rFonts w:ascii="Arial" w:cs="Arial" w:eastAsia="Arial" w:hAnsi="Arial"/>
          <w:b w:val="false"/>
          <w:bCs w:val="false"/>
          <w:i/>
          <w:iCs/>
          <w:sz w:val="22"/>
          <w:szCs w:val="22"/>
        </w:rPr>
        <w:t xml:space="preserve">Phys. Rev.</w:t>
      </w:r>
      <w:r>
        <w:rPr>
          <w:rFonts w:ascii="Arial" w:cs="Arial" w:eastAsia="Arial" w:hAnsi="Arial"/>
          <w:b w:val="false"/>
          <w:bCs w:val="false"/>
          <w:i w:val="false"/>
          <w:iCs w:val="false"/>
          <w:sz w:val="22"/>
          <w:szCs w:val="22"/>
        </w:rPr>
        <w:t xml:space="preserve"> </w:t>
      </w:r>
      <w:r>
        <w:rPr>
          <w:rFonts w:ascii="Arial" w:cs="Arial" w:eastAsia="Arial" w:hAnsi="Arial"/>
          <w:b/>
          <w:bCs/>
          <w:i w:val="false"/>
          <w:iCs w:val="false"/>
          <w:sz w:val="22"/>
          <w:szCs w:val="22"/>
        </w:rPr>
        <w:t xml:space="preserve">59</w:t>
      </w:r>
      <w:r>
        <w:rPr>
          <w:rFonts w:ascii="Arial" w:cs="Arial" w:eastAsia="Arial" w:hAnsi="Arial"/>
          <w:b w:val="false"/>
          <w:bCs w:val="false"/>
          <w:i w:val="false"/>
          <w:iCs w:val="false"/>
          <w:sz w:val="22"/>
          <w:szCs w:val="22"/>
        </w:rPr>
        <w:t xml:space="preserve">, 673–676 (1941).</w:t>
      </w:r>
    </w:p>
    <w:p>
      <w:pPr>
        <w:spacing w:after="60" w:line="240" w:lineRule="auto"/>
        <w:jc w:val="left"/>
      </w:pPr>
      <w:r>
        <w:rPr>
          <w:rFonts w:ascii="Arial" w:cs="Arial" w:eastAsia="Arial" w:hAnsi="Arial"/>
          <w:b w:val="false"/>
          <w:bCs w:val="false"/>
          <w:i w:val="false"/>
          <w:iCs w:val="false"/>
          <w:sz w:val="22"/>
          <w:szCs w:val="22"/>
        </w:rPr>
        <w:t xml:space="preserve">9. Cochran, W. Crystal stability and the theory of ferroelectricity. </w:t>
      </w:r>
      <w:r>
        <w:rPr>
          <w:rFonts w:ascii="Arial" w:cs="Arial" w:eastAsia="Arial" w:hAnsi="Arial"/>
          <w:b w:val="false"/>
          <w:bCs w:val="false"/>
          <w:i/>
          <w:iCs/>
          <w:sz w:val="22"/>
          <w:szCs w:val="22"/>
        </w:rPr>
        <w:t xml:space="preserve">Phys. Rev. Lett.</w:t>
      </w:r>
      <w:r>
        <w:rPr>
          <w:rFonts w:ascii="Arial" w:cs="Arial" w:eastAsia="Arial" w:hAnsi="Arial"/>
          <w:b w:val="false"/>
          <w:bCs w:val="false"/>
          <w:i w:val="false"/>
          <w:iCs w:val="false"/>
          <w:sz w:val="22"/>
          <w:szCs w:val="22"/>
        </w:rPr>
        <w:t xml:space="preserve"> </w:t>
      </w:r>
      <w:r>
        <w:rPr>
          <w:rFonts w:ascii="Arial" w:cs="Arial" w:eastAsia="Arial" w:hAnsi="Arial"/>
          <w:b/>
          <w:bCs/>
          <w:i w:val="false"/>
          <w:iCs w:val="false"/>
          <w:sz w:val="22"/>
          <w:szCs w:val="22"/>
        </w:rPr>
        <w:t xml:space="preserve">3</w:t>
      </w:r>
      <w:r>
        <w:rPr>
          <w:rFonts w:ascii="Arial" w:cs="Arial" w:eastAsia="Arial" w:hAnsi="Arial"/>
          <w:b w:val="false"/>
          <w:bCs w:val="false"/>
          <w:i w:val="false"/>
          <w:iCs w:val="false"/>
          <w:sz w:val="22"/>
          <w:szCs w:val="22"/>
        </w:rPr>
        <w:t xml:space="preserve">, 412–414 (1959).</w:t>
      </w:r>
    </w:p>
    <w:p>
      <w:pPr>
        <w:spacing w:after="60" w:line="240" w:lineRule="auto"/>
        <w:jc w:val="left"/>
      </w:pPr>
      <w:r>
        <w:rPr>
          <w:rFonts w:ascii="Arial" w:cs="Arial" w:eastAsia="Arial" w:hAnsi="Arial"/>
          <w:b w:val="false"/>
          <w:bCs w:val="false"/>
          <w:i w:val="false"/>
          <w:iCs w:val="false"/>
          <w:sz w:val="22"/>
          <w:szCs w:val="22"/>
        </w:rPr>
        <w:t xml:space="preserve">10. Kim, K., Hwang, W., Oh, S.-H. V. &amp; Soon, A. Exploring anharmonic lattice dynamics and dielectric relations in niobate perovskites from first-principles self-consistent phonon calculations. </w:t>
      </w:r>
      <w:r>
        <w:rPr>
          <w:rFonts w:ascii="Arial" w:cs="Arial" w:eastAsia="Arial" w:hAnsi="Arial"/>
          <w:b w:val="false"/>
          <w:bCs w:val="false"/>
          <w:i/>
          <w:iCs/>
          <w:sz w:val="22"/>
          <w:szCs w:val="22"/>
        </w:rPr>
        <w:t xml:space="preserve">npj Comput. Mater.</w:t>
      </w:r>
      <w:r>
        <w:rPr>
          <w:rFonts w:ascii="Arial" w:cs="Arial" w:eastAsia="Arial" w:hAnsi="Arial"/>
          <w:b w:val="false"/>
          <w:bCs w:val="false"/>
          <w:i w:val="false"/>
          <w:iCs w:val="false"/>
          <w:sz w:val="22"/>
          <w:szCs w:val="22"/>
        </w:rPr>
        <w:t xml:space="preserve"> </w:t>
      </w:r>
      <w:r>
        <w:rPr>
          <w:rFonts w:ascii="Arial" w:cs="Arial" w:eastAsia="Arial" w:hAnsi="Arial"/>
          <w:b/>
          <w:bCs/>
          <w:i w:val="false"/>
          <w:iCs w:val="false"/>
          <w:sz w:val="22"/>
          <w:szCs w:val="22"/>
        </w:rPr>
        <w:t xml:space="preserve">9</w:t>
      </w:r>
      <w:r>
        <w:rPr>
          <w:rFonts w:ascii="Arial" w:cs="Arial" w:eastAsia="Arial" w:hAnsi="Arial"/>
          <w:b w:val="false"/>
          <w:bCs w:val="false"/>
          <w:i w:val="false"/>
          <w:iCs w:val="false"/>
          <w:sz w:val="22"/>
          <w:szCs w:val="22"/>
        </w:rPr>
        <w:t xml:space="preserve">, 154 (2023).</w:t>
      </w:r>
    </w:p>
    <w:p>
      <w:pPr>
        <w:spacing w:after="60" w:line="240" w:lineRule="auto"/>
        <w:jc w:val="left"/>
      </w:pPr>
      <w:r>
        <w:rPr>
          <w:rFonts w:ascii="Arial" w:cs="Arial" w:eastAsia="Arial" w:hAnsi="Arial"/>
          <w:b w:val="false"/>
          <w:bCs w:val="false"/>
          <w:i w:val="false"/>
          <w:iCs w:val="false"/>
          <w:sz w:val="22"/>
          <w:szCs w:val="22"/>
        </w:rPr>
        <w:t xml:space="preserve">11. Bartel, C. J. et al. New tolerance factor to predict the stability of perovskite oxides and halides. </w:t>
      </w:r>
      <w:r>
        <w:rPr>
          <w:rFonts w:ascii="Arial" w:cs="Arial" w:eastAsia="Arial" w:hAnsi="Arial"/>
          <w:b w:val="false"/>
          <w:bCs w:val="false"/>
          <w:i/>
          <w:iCs/>
          <w:sz w:val="22"/>
          <w:szCs w:val="22"/>
        </w:rPr>
        <w:t xml:space="preserve">Sci. Adv.</w:t>
      </w:r>
      <w:r>
        <w:rPr>
          <w:rFonts w:ascii="Arial" w:cs="Arial" w:eastAsia="Arial" w:hAnsi="Arial"/>
          <w:b w:val="false"/>
          <w:bCs w:val="false"/>
          <w:i w:val="false"/>
          <w:iCs w:val="false"/>
          <w:sz w:val="22"/>
          <w:szCs w:val="22"/>
        </w:rPr>
        <w:t xml:space="preserve"> </w:t>
      </w:r>
      <w:r>
        <w:rPr>
          <w:rFonts w:ascii="Arial" w:cs="Arial" w:eastAsia="Arial" w:hAnsi="Arial"/>
          <w:b/>
          <w:bCs/>
          <w:i w:val="false"/>
          <w:iCs w:val="false"/>
          <w:sz w:val="22"/>
          <w:szCs w:val="22"/>
        </w:rPr>
        <w:t xml:space="preserve">5</w:t>
      </w:r>
      <w:r>
        <w:rPr>
          <w:rFonts w:ascii="Arial" w:cs="Arial" w:eastAsia="Arial" w:hAnsi="Arial"/>
          <w:b w:val="false"/>
          <w:bCs w:val="false"/>
          <w:i w:val="false"/>
          <w:iCs w:val="false"/>
          <w:sz w:val="22"/>
          <w:szCs w:val="22"/>
        </w:rPr>
        <w:t xml:space="preserve">, eaav0693 (2019).</w:t>
      </w:r>
    </w:p>
    <w:p>
      <w:pPr>
        <w:spacing w:after="60" w:line="240" w:lineRule="auto"/>
        <w:jc w:val="left"/>
      </w:pPr>
      <w:r>
        <w:rPr>
          <w:rFonts w:ascii="Arial" w:cs="Arial" w:eastAsia="Arial" w:hAnsi="Arial"/>
          <w:b w:val="false"/>
          <w:bCs w:val="false"/>
          <w:i w:val="false"/>
          <w:iCs w:val="false"/>
          <w:sz w:val="22"/>
          <w:szCs w:val="22"/>
        </w:rPr>
        <w:t xml:space="preserve">12. Handley, C. M. et al. Dynamic tilting in perovskites. </w:t>
      </w:r>
      <w:r>
        <w:rPr>
          <w:rFonts w:ascii="Arial" w:cs="Arial" w:eastAsia="Arial" w:hAnsi="Arial"/>
          <w:b w:val="false"/>
          <w:bCs w:val="false"/>
          <w:i/>
          <w:iCs/>
          <w:sz w:val="22"/>
          <w:szCs w:val="22"/>
        </w:rPr>
        <w:t xml:space="preserve">Acta Crystallogr. A</w:t>
      </w:r>
      <w:r>
        <w:rPr>
          <w:rFonts w:ascii="Arial" w:cs="Arial" w:eastAsia="Arial" w:hAnsi="Arial"/>
          <w:b w:val="false"/>
          <w:bCs w:val="false"/>
          <w:i w:val="false"/>
          <w:iCs w:val="false"/>
          <w:sz w:val="22"/>
          <w:szCs w:val="22"/>
        </w:rPr>
        <w:t xml:space="preserve"> </w:t>
      </w:r>
      <w:r>
        <w:rPr>
          <w:rFonts w:ascii="Arial" w:cs="Arial" w:eastAsia="Arial" w:hAnsi="Arial"/>
          <w:b/>
          <w:bCs/>
          <w:i w:val="false"/>
          <w:iCs w:val="false"/>
          <w:sz w:val="22"/>
          <w:szCs w:val="22"/>
        </w:rPr>
        <w:t xml:space="preserve">79</w:t>
      </w:r>
      <w:r>
        <w:rPr>
          <w:rFonts w:ascii="Arial" w:cs="Arial" w:eastAsia="Arial" w:hAnsi="Arial"/>
          <w:b w:val="false"/>
          <w:bCs w:val="false"/>
          <w:i w:val="false"/>
          <w:iCs w:val="false"/>
          <w:sz w:val="22"/>
          <w:szCs w:val="22"/>
        </w:rPr>
        <w:t xml:space="preserve">, 163–170 (2023).</w:t>
      </w:r>
    </w:p>
    <w:p>
      <w:pPr>
        <w:spacing w:after="60" w:line="240" w:lineRule="auto"/>
        <w:jc w:val="left"/>
      </w:pPr>
      <w:r>
        <w:rPr>
          <w:rFonts w:ascii="Arial" w:cs="Arial" w:eastAsia="Arial" w:hAnsi="Arial"/>
          <w:b w:val="false"/>
          <w:bCs w:val="false"/>
          <w:i w:val="false"/>
          <w:iCs w:val="false"/>
          <w:sz w:val="22"/>
          <w:szCs w:val="22"/>
        </w:rPr>
        <w:t xml:space="preserve">13. Cohen, R. E. Origin of ferroelectricity in perovskite oxides. </w:t>
      </w:r>
      <w:r>
        <w:rPr>
          <w:rFonts w:ascii="Arial" w:cs="Arial" w:eastAsia="Arial" w:hAnsi="Arial"/>
          <w:b w:val="false"/>
          <w:bCs w:val="false"/>
          <w:i/>
          <w:iCs/>
          <w:sz w:val="22"/>
          <w:szCs w:val="22"/>
        </w:rPr>
        <w:t xml:space="preserve">Nature</w:t>
      </w:r>
      <w:r>
        <w:rPr>
          <w:rFonts w:ascii="Arial" w:cs="Arial" w:eastAsia="Arial" w:hAnsi="Arial"/>
          <w:b w:val="false"/>
          <w:bCs w:val="false"/>
          <w:i w:val="false"/>
          <w:iCs w:val="false"/>
          <w:sz w:val="22"/>
          <w:szCs w:val="22"/>
        </w:rPr>
        <w:t xml:space="preserve"> </w:t>
      </w:r>
      <w:r>
        <w:rPr>
          <w:rFonts w:ascii="Arial" w:cs="Arial" w:eastAsia="Arial" w:hAnsi="Arial"/>
          <w:b/>
          <w:bCs/>
          <w:i w:val="false"/>
          <w:iCs w:val="false"/>
          <w:sz w:val="22"/>
          <w:szCs w:val="22"/>
        </w:rPr>
        <w:t xml:space="preserve">358</w:t>
      </w:r>
      <w:r>
        <w:rPr>
          <w:rFonts w:ascii="Arial" w:cs="Arial" w:eastAsia="Arial" w:hAnsi="Arial"/>
          <w:b w:val="false"/>
          <w:bCs w:val="false"/>
          <w:i w:val="false"/>
          <w:iCs w:val="false"/>
          <w:sz w:val="22"/>
          <w:szCs w:val="22"/>
        </w:rPr>
        <w:t xml:space="preserve">, 136–138 (1992).</w:t>
      </w:r>
    </w:p>
    <w:p>
      <w:pPr>
        <w:spacing w:after="60" w:line="240" w:lineRule="auto"/>
        <w:jc w:val="left"/>
      </w:pPr>
      <w:r>
        <w:rPr>
          <w:rFonts w:ascii="Arial" w:cs="Arial" w:eastAsia="Arial" w:hAnsi="Arial"/>
          <w:b w:val="false"/>
          <w:bCs w:val="false"/>
          <w:i w:val="false"/>
          <w:iCs w:val="false"/>
          <w:sz w:val="22"/>
          <w:szCs w:val="22"/>
        </w:rPr>
        <w:t xml:space="preserve">14. Walsh, A., Payne, D. J., Egdell, R. G. &amp; Watson, G. W. Stereochemistry of post-transition metal oxides: revision of the classical lone pair model. </w:t>
      </w:r>
      <w:r>
        <w:rPr>
          <w:rFonts w:ascii="Arial" w:cs="Arial" w:eastAsia="Arial" w:hAnsi="Arial"/>
          <w:b w:val="false"/>
          <w:bCs w:val="false"/>
          <w:i/>
          <w:iCs/>
          <w:sz w:val="22"/>
          <w:szCs w:val="22"/>
        </w:rPr>
        <w:t xml:space="preserve">Chem. Soc. Rev.</w:t>
      </w:r>
      <w:r>
        <w:rPr>
          <w:rFonts w:ascii="Arial" w:cs="Arial" w:eastAsia="Arial" w:hAnsi="Arial"/>
          <w:b w:val="false"/>
          <w:bCs w:val="false"/>
          <w:i w:val="false"/>
          <w:iCs w:val="false"/>
          <w:sz w:val="22"/>
          <w:szCs w:val="22"/>
        </w:rPr>
        <w:t xml:space="preserve"> </w:t>
      </w:r>
      <w:r>
        <w:rPr>
          <w:rFonts w:ascii="Arial" w:cs="Arial" w:eastAsia="Arial" w:hAnsi="Arial"/>
          <w:b/>
          <w:bCs/>
          <w:i w:val="false"/>
          <w:iCs w:val="false"/>
          <w:sz w:val="22"/>
          <w:szCs w:val="22"/>
        </w:rPr>
        <w:t xml:space="preserve">40</w:t>
      </w:r>
      <w:r>
        <w:rPr>
          <w:rFonts w:ascii="Arial" w:cs="Arial" w:eastAsia="Arial" w:hAnsi="Arial"/>
          <w:b w:val="false"/>
          <w:bCs w:val="false"/>
          <w:i w:val="false"/>
          <w:iCs w:val="false"/>
          <w:sz w:val="22"/>
          <w:szCs w:val="22"/>
        </w:rPr>
        <w:t xml:space="preserve">, 4455–4463 (2011).</w:t>
      </w:r>
    </w:p>
    <w:p>
      <w:pPr>
        <w:spacing w:after="60" w:line="240" w:lineRule="auto"/>
        <w:jc w:val="left"/>
      </w:pPr>
      <w:r>
        <w:rPr>
          <w:rFonts w:ascii="Arial" w:cs="Arial" w:eastAsia="Arial" w:hAnsi="Arial"/>
          <w:b w:val="false"/>
          <w:bCs w:val="false"/>
          <w:i w:val="false"/>
          <w:iCs w:val="false"/>
          <w:sz w:val="22"/>
          <w:szCs w:val="22"/>
        </w:rPr>
        <w:t xml:space="preserve">15. Schmidt, J., Marques, M. R. G., Botti, S. &amp; Marques, M. A. L. Recent advances and applications of machine learning in solid-state materials science. </w:t>
      </w:r>
      <w:r>
        <w:rPr>
          <w:rFonts w:ascii="Arial" w:cs="Arial" w:eastAsia="Arial" w:hAnsi="Arial"/>
          <w:b w:val="false"/>
          <w:bCs w:val="false"/>
          <w:i/>
          <w:iCs/>
          <w:sz w:val="22"/>
          <w:szCs w:val="22"/>
        </w:rPr>
        <w:t xml:space="preserve">npj Comput. Mater.</w:t>
      </w:r>
      <w:r>
        <w:rPr>
          <w:rFonts w:ascii="Arial" w:cs="Arial" w:eastAsia="Arial" w:hAnsi="Arial"/>
          <w:b w:val="false"/>
          <w:bCs w:val="false"/>
          <w:i w:val="false"/>
          <w:iCs w:val="false"/>
          <w:sz w:val="22"/>
          <w:szCs w:val="22"/>
        </w:rPr>
        <w:t xml:space="preserve"> </w:t>
      </w:r>
      <w:r>
        <w:rPr>
          <w:rFonts w:ascii="Arial" w:cs="Arial" w:eastAsia="Arial" w:hAnsi="Arial"/>
          <w:b/>
          <w:bCs/>
          <w:i w:val="false"/>
          <w:iCs w:val="false"/>
          <w:sz w:val="22"/>
          <w:szCs w:val="22"/>
        </w:rPr>
        <w:t xml:space="preserve">5</w:t>
      </w:r>
      <w:r>
        <w:rPr>
          <w:rFonts w:ascii="Arial" w:cs="Arial" w:eastAsia="Arial" w:hAnsi="Arial"/>
          <w:b w:val="false"/>
          <w:bCs w:val="false"/>
          <w:i w:val="false"/>
          <w:iCs w:val="false"/>
          <w:sz w:val="22"/>
          <w:szCs w:val="22"/>
        </w:rPr>
        <w:t xml:space="preserve">, 83 (2019).</w:t>
      </w:r>
    </w:p>
    <w:p>
      <w:pPr>
        <w:spacing w:after="60" w:line="240" w:lineRule="auto"/>
        <w:jc w:val="left"/>
      </w:pPr>
      <w:r>
        <w:rPr>
          <w:rFonts w:ascii="Arial" w:cs="Arial" w:eastAsia="Arial" w:hAnsi="Arial"/>
          <w:b w:val="false"/>
          <w:bCs w:val="false"/>
          <w:i w:val="false"/>
          <w:iCs w:val="false"/>
          <w:sz w:val="22"/>
          <w:szCs w:val="22"/>
        </w:rPr>
        <w:t xml:space="preserve">16. Choudhary, K. et al. Recent advances and applications of deep learning methods in materials science. </w:t>
      </w:r>
      <w:r>
        <w:rPr>
          <w:rFonts w:ascii="Arial" w:cs="Arial" w:eastAsia="Arial" w:hAnsi="Arial"/>
          <w:b w:val="false"/>
          <w:bCs w:val="false"/>
          <w:i/>
          <w:iCs/>
          <w:sz w:val="22"/>
          <w:szCs w:val="22"/>
        </w:rPr>
        <w:t xml:space="preserve">npj Comput. Mater.</w:t>
      </w:r>
      <w:r>
        <w:rPr>
          <w:rFonts w:ascii="Arial" w:cs="Arial" w:eastAsia="Arial" w:hAnsi="Arial"/>
          <w:b w:val="false"/>
          <w:bCs w:val="false"/>
          <w:i w:val="false"/>
          <w:iCs w:val="false"/>
          <w:sz w:val="22"/>
          <w:szCs w:val="22"/>
        </w:rPr>
        <w:t xml:space="preserve"> </w:t>
      </w:r>
      <w:r>
        <w:rPr>
          <w:rFonts w:ascii="Arial" w:cs="Arial" w:eastAsia="Arial" w:hAnsi="Arial"/>
          <w:b/>
          <w:bCs/>
          <w:i w:val="false"/>
          <w:iCs w:val="false"/>
          <w:sz w:val="22"/>
          <w:szCs w:val="22"/>
        </w:rPr>
        <w:t xml:space="preserve">8</w:t>
      </w:r>
      <w:r>
        <w:rPr>
          <w:rFonts w:ascii="Arial" w:cs="Arial" w:eastAsia="Arial" w:hAnsi="Arial"/>
          <w:b w:val="false"/>
          <w:bCs w:val="false"/>
          <w:i w:val="false"/>
          <w:iCs w:val="false"/>
          <w:sz w:val="22"/>
          <w:szCs w:val="22"/>
        </w:rPr>
        <w:t xml:space="preserve">, 59 (2022).</w:t>
      </w:r>
    </w:p>
    <w:p>
      <w:pPr>
        <w:spacing w:after="60" w:line="240" w:lineRule="auto"/>
        <w:jc w:val="left"/>
      </w:pPr>
      <w:r>
        <w:rPr>
          <w:rFonts w:ascii="Arial" w:cs="Arial" w:eastAsia="Arial" w:hAnsi="Arial"/>
          <w:b w:val="false"/>
          <w:bCs w:val="false"/>
          <w:i w:val="false"/>
          <w:iCs w:val="false"/>
          <w:sz w:val="22"/>
          <w:szCs w:val="22"/>
        </w:rPr>
        <w:t xml:space="preserve">17. Kim, E., Kim, J. &amp; Min, K. Prediction of dielectric constants of ABO</w:t>
      </w:r>
      <w:r>
        <w:rPr>
          <w:rFonts w:ascii="Arial" w:cs="Arial" w:eastAsia="Arial" w:hAnsi="Arial"/>
          <w:b w:val="false"/>
          <w:bCs w:val="false"/>
          <w:i w:val="false"/>
          <w:iCs w:val="false"/>
          <w:sz w:val="22"/>
          <w:szCs w:val="22"/>
          <w:vertAlign w:val="subscript"/>
        </w:rPr>
        <w:t xml:space="preserve">3</w:t>
      </w:r>
      <w:r>
        <w:rPr>
          <w:rFonts w:ascii="Arial" w:cs="Arial" w:eastAsia="Arial" w:hAnsi="Arial"/>
          <w:b w:val="false"/>
          <w:bCs w:val="false"/>
          <w:i w:val="false"/>
          <w:iCs w:val="false"/>
          <w:sz w:val="22"/>
          <w:szCs w:val="22"/>
        </w:rPr>
        <w:t xml:space="preserve">-type perovskites using machine learning and first-principles calculations. </w:t>
      </w:r>
      <w:r>
        <w:rPr>
          <w:rFonts w:ascii="Arial" w:cs="Arial" w:eastAsia="Arial" w:hAnsi="Arial"/>
          <w:b w:val="false"/>
          <w:bCs w:val="false"/>
          <w:i/>
          <w:iCs/>
          <w:sz w:val="22"/>
          <w:szCs w:val="22"/>
        </w:rPr>
        <w:t xml:space="preserve">Phys. Chem. Chem. Phys.</w:t>
      </w:r>
      <w:r>
        <w:rPr>
          <w:rFonts w:ascii="Arial" w:cs="Arial" w:eastAsia="Arial" w:hAnsi="Arial"/>
          <w:b w:val="false"/>
          <w:bCs w:val="false"/>
          <w:i w:val="false"/>
          <w:iCs w:val="false"/>
          <w:sz w:val="22"/>
          <w:szCs w:val="22"/>
        </w:rPr>
        <w:t xml:space="preserve"> </w:t>
      </w:r>
      <w:r>
        <w:rPr>
          <w:rFonts w:ascii="Arial" w:cs="Arial" w:eastAsia="Arial" w:hAnsi="Arial"/>
          <w:b/>
          <w:bCs/>
          <w:i w:val="false"/>
          <w:iCs w:val="false"/>
          <w:sz w:val="22"/>
          <w:szCs w:val="22"/>
        </w:rPr>
        <w:t xml:space="preserve">24</w:t>
      </w:r>
      <w:r>
        <w:rPr>
          <w:rFonts w:ascii="Arial" w:cs="Arial" w:eastAsia="Arial" w:hAnsi="Arial"/>
          <w:b w:val="false"/>
          <w:bCs w:val="false"/>
          <w:i w:val="false"/>
          <w:iCs w:val="false"/>
          <w:sz w:val="22"/>
          <w:szCs w:val="22"/>
        </w:rPr>
        <w:t xml:space="preserve">, 7050–7059 (2022).</w:t>
      </w:r>
    </w:p>
    <w:p>
      <w:pPr>
        <w:spacing w:after="60" w:line="240" w:lineRule="auto"/>
        <w:jc w:val="left"/>
      </w:pPr>
      <w:r>
        <w:rPr>
          <w:rFonts w:ascii="Arial" w:cs="Arial" w:eastAsia="Arial" w:hAnsi="Arial"/>
          <w:b w:val="false"/>
          <w:bCs w:val="false"/>
          <w:i w:val="false"/>
          <w:iCs w:val="false"/>
          <w:sz w:val="22"/>
          <w:szCs w:val="22"/>
        </w:rPr>
        <w:t xml:space="preserve">18. Choudhary, K. et al. High-throughput density functional perturbation theory and machine learning predictions of infrared, piezoelectric, and dielectric responses. </w:t>
      </w:r>
      <w:r>
        <w:rPr>
          <w:rFonts w:ascii="Arial" w:cs="Arial" w:eastAsia="Arial" w:hAnsi="Arial"/>
          <w:b w:val="false"/>
          <w:bCs w:val="false"/>
          <w:i/>
          <w:iCs/>
          <w:sz w:val="22"/>
          <w:szCs w:val="22"/>
        </w:rPr>
        <w:t xml:space="preserve">npj Comput. Mater.</w:t>
      </w:r>
      <w:r>
        <w:rPr>
          <w:rFonts w:ascii="Arial" w:cs="Arial" w:eastAsia="Arial" w:hAnsi="Arial"/>
          <w:b w:val="false"/>
          <w:bCs w:val="false"/>
          <w:i w:val="false"/>
          <w:iCs w:val="false"/>
          <w:sz w:val="22"/>
          <w:szCs w:val="22"/>
        </w:rPr>
        <w:t xml:space="preserve"> </w:t>
      </w:r>
      <w:r>
        <w:rPr>
          <w:rFonts w:ascii="Arial" w:cs="Arial" w:eastAsia="Arial" w:hAnsi="Arial"/>
          <w:b/>
          <w:bCs/>
          <w:i w:val="false"/>
          <w:iCs w:val="false"/>
          <w:sz w:val="22"/>
          <w:szCs w:val="22"/>
        </w:rPr>
        <w:t xml:space="preserve">6</w:t>
      </w:r>
      <w:r>
        <w:rPr>
          <w:rFonts w:ascii="Arial" w:cs="Arial" w:eastAsia="Arial" w:hAnsi="Arial"/>
          <w:b w:val="false"/>
          <w:bCs w:val="false"/>
          <w:i w:val="false"/>
          <w:iCs w:val="false"/>
          <w:sz w:val="22"/>
          <w:szCs w:val="22"/>
        </w:rPr>
        <w:t xml:space="preserve">, 64 (2020).</w:t>
      </w:r>
    </w:p>
    <w:p>
      <w:pPr>
        <w:spacing w:after="60" w:line="240" w:lineRule="auto"/>
        <w:jc w:val="left"/>
      </w:pPr>
      <w:r>
        <w:rPr>
          <w:rFonts w:ascii="Arial" w:cs="Arial" w:eastAsia="Arial" w:hAnsi="Arial"/>
          <w:b w:val="false"/>
          <w:bCs w:val="false"/>
          <w:i w:val="false"/>
          <w:iCs w:val="false"/>
          <w:sz w:val="22"/>
          <w:szCs w:val="22"/>
        </w:rPr>
        <w:t xml:space="preserve">19. Qin, J., Liu, Z., Ma, M. &amp; Li, Y. Optimizing and extending the ionic dielectric polarizability database for microwave frequencies using machine learning. </w:t>
      </w:r>
      <w:r>
        <w:rPr>
          <w:rFonts w:ascii="Arial" w:cs="Arial" w:eastAsia="Arial" w:hAnsi="Arial"/>
          <w:b w:val="false"/>
          <w:bCs w:val="false"/>
          <w:i/>
          <w:iCs/>
          <w:sz w:val="22"/>
          <w:szCs w:val="22"/>
        </w:rPr>
        <w:t xml:space="preserve">npj Comput. Mater.</w:t>
      </w:r>
      <w:r>
        <w:rPr>
          <w:rFonts w:ascii="Arial" w:cs="Arial" w:eastAsia="Arial" w:hAnsi="Arial"/>
          <w:b w:val="false"/>
          <w:bCs w:val="false"/>
          <w:i w:val="false"/>
          <w:iCs w:val="false"/>
          <w:sz w:val="22"/>
          <w:szCs w:val="22"/>
        </w:rPr>
        <w:t xml:space="preserve"> </w:t>
      </w:r>
      <w:r>
        <w:rPr>
          <w:rFonts w:ascii="Arial" w:cs="Arial" w:eastAsia="Arial" w:hAnsi="Arial"/>
          <w:b/>
          <w:bCs/>
          <w:i w:val="false"/>
          <w:iCs w:val="false"/>
          <w:sz w:val="22"/>
          <w:szCs w:val="22"/>
        </w:rPr>
        <w:t xml:space="preserve">9</w:t>
      </w:r>
      <w:r>
        <w:rPr>
          <w:rFonts w:ascii="Arial" w:cs="Arial" w:eastAsia="Arial" w:hAnsi="Arial"/>
          <w:b w:val="false"/>
          <w:bCs w:val="false"/>
          <w:i w:val="false"/>
          <w:iCs w:val="false"/>
          <w:sz w:val="22"/>
          <w:szCs w:val="22"/>
        </w:rPr>
        <w:t xml:space="preserve">, 132 (2023).</w:t>
      </w:r>
    </w:p>
    <w:p>
      <w:pPr>
        <w:spacing w:after="60" w:line="240" w:lineRule="auto"/>
        <w:jc w:val="left"/>
      </w:pPr>
      <w:r>
        <w:rPr>
          <w:rFonts w:ascii="Arial" w:cs="Arial" w:eastAsia="Arial" w:hAnsi="Arial"/>
          <w:b w:val="false"/>
          <w:bCs w:val="false"/>
          <w:i w:val="false"/>
          <w:iCs w:val="false"/>
          <w:sz w:val="22"/>
          <w:szCs w:val="22"/>
        </w:rPr>
        <w:t xml:space="preserve">20. Tao, Q., Xu, P., Li, M. &amp; Lu, W. Machine learning for perovskite materials design and discovery. </w:t>
      </w:r>
      <w:r>
        <w:rPr>
          <w:rFonts w:ascii="Arial" w:cs="Arial" w:eastAsia="Arial" w:hAnsi="Arial"/>
          <w:b w:val="false"/>
          <w:bCs w:val="false"/>
          <w:i/>
          <w:iCs/>
          <w:sz w:val="22"/>
          <w:szCs w:val="22"/>
        </w:rPr>
        <w:t xml:space="preserve">npj Comput. Mater.</w:t>
      </w:r>
      <w:r>
        <w:rPr>
          <w:rFonts w:ascii="Arial" w:cs="Arial" w:eastAsia="Arial" w:hAnsi="Arial"/>
          <w:b w:val="false"/>
          <w:bCs w:val="false"/>
          <w:i w:val="false"/>
          <w:iCs w:val="false"/>
          <w:sz w:val="22"/>
          <w:szCs w:val="22"/>
        </w:rPr>
        <w:t xml:space="preserve"> </w:t>
      </w:r>
      <w:r>
        <w:rPr>
          <w:rFonts w:ascii="Arial" w:cs="Arial" w:eastAsia="Arial" w:hAnsi="Arial"/>
          <w:b/>
          <w:bCs/>
          <w:i w:val="false"/>
          <w:iCs w:val="false"/>
          <w:sz w:val="22"/>
          <w:szCs w:val="22"/>
        </w:rPr>
        <w:t xml:space="preserve">7</w:t>
      </w:r>
      <w:r>
        <w:rPr>
          <w:rFonts w:ascii="Arial" w:cs="Arial" w:eastAsia="Arial" w:hAnsi="Arial"/>
          <w:b w:val="false"/>
          <w:bCs w:val="false"/>
          <w:i w:val="false"/>
          <w:iCs w:val="false"/>
          <w:sz w:val="22"/>
          <w:szCs w:val="22"/>
        </w:rPr>
        <w:t xml:space="preserve">, 23 (2021).</w:t>
      </w:r>
    </w:p>
    <w:p>
      <w:pPr>
        <w:spacing w:after="60" w:line="240" w:lineRule="auto"/>
        <w:jc w:val="left"/>
      </w:pPr>
      <w:r>
        <w:rPr>
          <w:rFonts w:ascii="Arial" w:cs="Arial" w:eastAsia="Arial" w:hAnsi="Arial"/>
          <w:b w:val="false"/>
          <w:bCs w:val="false"/>
          <w:i w:val="false"/>
          <w:iCs w:val="false"/>
          <w:sz w:val="22"/>
          <w:szCs w:val="22"/>
        </w:rPr>
        <w:t xml:space="preserve">21. Ye, Y., Ni, Z., Hu, K., Li, Y., Peng, Y. &amp; Chen, X. Dielectric constant prediction of perovskite microwave dielectric ceramics via machine learning. </w:t>
      </w:r>
      <w:r>
        <w:rPr>
          <w:rFonts w:ascii="Arial" w:cs="Arial" w:eastAsia="Arial" w:hAnsi="Arial"/>
          <w:b w:val="false"/>
          <w:bCs w:val="false"/>
          <w:i/>
          <w:iCs/>
          <w:sz w:val="22"/>
          <w:szCs w:val="22"/>
        </w:rPr>
        <w:t xml:space="preserve">Mater. Today Commun.</w:t>
      </w:r>
      <w:r>
        <w:rPr>
          <w:rFonts w:ascii="Arial" w:cs="Arial" w:eastAsia="Arial" w:hAnsi="Arial"/>
          <w:b w:val="false"/>
          <w:bCs w:val="false"/>
          <w:i w:val="false"/>
          <w:iCs w:val="false"/>
          <w:sz w:val="22"/>
          <w:szCs w:val="22"/>
        </w:rPr>
        <w:t xml:space="preserve"> </w:t>
      </w:r>
      <w:r>
        <w:rPr>
          <w:rFonts w:ascii="Arial" w:cs="Arial" w:eastAsia="Arial" w:hAnsi="Arial"/>
          <w:b/>
          <w:bCs/>
          <w:i w:val="false"/>
          <w:iCs w:val="false"/>
          <w:sz w:val="22"/>
          <w:szCs w:val="22"/>
        </w:rPr>
        <w:t xml:space="preserve">35</w:t>
      </w:r>
      <w:r>
        <w:rPr>
          <w:rFonts w:ascii="Arial" w:cs="Arial" w:eastAsia="Arial" w:hAnsi="Arial"/>
          <w:b w:val="false"/>
          <w:bCs w:val="false"/>
          <w:i w:val="false"/>
          <w:iCs w:val="false"/>
          <w:sz w:val="22"/>
          <w:szCs w:val="22"/>
        </w:rPr>
        <w:t xml:space="preserve">, 105733 (2023).</w:t>
      </w:r>
    </w:p>
    <w:p>
      <w:pPr>
        <w:spacing w:after="60" w:line="240" w:lineRule="auto"/>
        <w:jc w:val="left"/>
      </w:pPr>
      <w:r>
        <w:rPr>
          <w:rFonts w:ascii="Arial" w:cs="Arial" w:eastAsia="Arial" w:hAnsi="Arial"/>
          <w:b w:val="false"/>
          <w:bCs w:val="false"/>
          <w:i w:val="false"/>
          <w:iCs w:val="false"/>
          <w:sz w:val="22"/>
          <w:szCs w:val="22"/>
        </w:rPr>
        <w:t xml:space="preserve">22. Mao, Z., Li, W. &amp; Tan, J. Dielectric tensor prediction for inorganic materials using latent information from preferred potential. </w:t>
      </w:r>
      <w:r>
        <w:rPr>
          <w:rFonts w:ascii="Arial" w:cs="Arial" w:eastAsia="Arial" w:hAnsi="Arial"/>
          <w:b w:val="false"/>
          <w:bCs w:val="false"/>
          <w:i/>
          <w:iCs/>
          <w:sz w:val="22"/>
          <w:szCs w:val="22"/>
        </w:rPr>
        <w:t xml:space="preserve">npj Comput. Mater.</w:t>
      </w:r>
      <w:r>
        <w:rPr>
          <w:rFonts w:ascii="Arial" w:cs="Arial" w:eastAsia="Arial" w:hAnsi="Arial"/>
          <w:b w:val="false"/>
          <w:bCs w:val="false"/>
          <w:i w:val="false"/>
          <w:iCs w:val="false"/>
          <w:sz w:val="22"/>
          <w:szCs w:val="22"/>
        </w:rPr>
        <w:t xml:space="preserve"> </w:t>
      </w:r>
      <w:r>
        <w:rPr>
          <w:rFonts w:ascii="Arial" w:cs="Arial" w:eastAsia="Arial" w:hAnsi="Arial"/>
          <w:b/>
          <w:bCs/>
          <w:i w:val="false"/>
          <w:iCs w:val="false"/>
          <w:sz w:val="22"/>
          <w:szCs w:val="22"/>
        </w:rPr>
        <w:t xml:space="preserve">10</w:t>
      </w:r>
      <w:r>
        <w:rPr>
          <w:rFonts w:ascii="Arial" w:cs="Arial" w:eastAsia="Arial" w:hAnsi="Arial"/>
          <w:b w:val="false"/>
          <w:bCs w:val="false"/>
          <w:i w:val="false"/>
          <w:iCs w:val="false"/>
          <w:sz w:val="22"/>
          <w:szCs w:val="22"/>
        </w:rPr>
        <w:t xml:space="preserve">, 265 (2024).</w:t>
      </w:r>
    </w:p>
    <w:p>
      <w:pPr>
        <w:spacing w:after="60" w:line="240" w:lineRule="auto"/>
        <w:jc w:val="left"/>
      </w:pPr>
      <w:r>
        <w:rPr>
          <w:rFonts w:ascii="Arial" w:cs="Arial" w:eastAsia="Arial" w:hAnsi="Arial"/>
          <w:b w:val="false"/>
          <w:bCs w:val="false"/>
          <w:i w:val="false"/>
          <w:iCs w:val="false"/>
          <w:sz w:val="22"/>
          <w:szCs w:val="22"/>
        </w:rPr>
        <w:t xml:space="preserve">23. Xi, Z. et al. Active learning in latent spaces enables rapid inverse design of ferroelectric ceramics for energy storage. </w:t>
      </w:r>
      <w:r>
        <w:rPr>
          <w:rFonts w:ascii="Arial" w:cs="Arial" w:eastAsia="Arial" w:hAnsi="Arial"/>
          <w:b w:val="false"/>
          <w:bCs w:val="false"/>
          <w:i/>
          <w:iCs/>
          <w:sz w:val="22"/>
          <w:szCs w:val="22"/>
        </w:rPr>
        <w:t xml:space="preserve">Nat. Commun.</w:t>
      </w:r>
      <w:r>
        <w:rPr>
          <w:rFonts w:ascii="Arial" w:cs="Arial" w:eastAsia="Arial" w:hAnsi="Arial"/>
          <w:b w:val="false"/>
          <w:bCs w:val="false"/>
          <w:i w:val="false"/>
          <w:iCs w:val="false"/>
          <w:sz w:val="22"/>
          <w:szCs w:val="22"/>
        </w:rPr>
        <w:t xml:space="preserve"> </w:t>
      </w:r>
      <w:r>
        <w:rPr>
          <w:rFonts w:ascii="Arial" w:cs="Arial" w:eastAsia="Arial" w:hAnsi="Arial"/>
          <w:b/>
          <w:bCs/>
          <w:i w:val="false"/>
          <w:iCs w:val="false"/>
          <w:sz w:val="22"/>
          <w:szCs w:val="22"/>
        </w:rPr>
        <w:t xml:space="preserve">17</w:t>
      </w:r>
      <w:r>
        <w:rPr>
          <w:rFonts w:ascii="Arial" w:cs="Arial" w:eastAsia="Arial" w:hAnsi="Arial"/>
          <w:b w:val="false"/>
          <w:bCs w:val="false"/>
          <w:i w:val="false"/>
          <w:iCs w:val="false"/>
          <w:sz w:val="22"/>
          <w:szCs w:val="22"/>
        </w:rPr>
        <w:t xml:space="preserve">, 4281 (2026).</w:t>
      </w:r>
    </w:p>
    <w:p>
      <w:pPr>
        <w:spacing w:after="60" w:line="240" w:lineRule="auto"/>
        <w:jc w:val="left"/>
      </w:pPr>
      <w:r>
        <w:rPr>
          <w:rFonts w:ascii="Arial" w:cs="Arial" w:eastAsia="Arial" w:hAnsi="Arial"/>
          <w:b w:val="false"/>
          <w:bCs w:val="false"/>
          <w:i w:val="false"/>
          <w:iCs w:val="false"/>
          <w:sz w:val="22"/>
          <w:szCs w:val="22"/>
        </w:rPr>
        <w:t xml:space="preserve">24. Li, W. et al. Generative learning facilitated discovery of high-entropy ceramic dielectrics for capacitive energy storage. </w:t>
      </w:r>
      <w:r>
        <w:rPr>
          <w:rFonts w:ascii="Arial" w:cs="Arial" w:eastAsia="Arial" w:hAnsi="Arial"/>
          <w:b w:val="false"/>
          <w:bCs w:val="false"/>
          <w:i/>
          <w:iCs/>
          <w:sz w:val="22"/>
          <w:szCs w:val="22"/>
        </w:rPr>
        <w:t xml:space="preserve">Nat. Commun.</w:t>
      </w:r>
      <w:r>
        <w:rPr>
          <w:rFonts w:ascii="Arial" w:cs="Arial" w:eastAsia="Arial" w:hAnsi="Arial"/>
          <w:b w:val="false"/>
          <w:bCs w:val="false"/>
          <w:i w:val="false"/>
          <w:iCs w:val="false"/>
          <w:sz w:val="22"/>
          <w:szCs w:val="22"/>
        </w:rPr>
        <w:t xml:space="preserve"> </w:t>
      </w:r>
      <w:r>
        <w:rPr>
          <w:rFonts w:ascii="Arial" w:cs="Arial" w:eastAsia="Arial" w:hAnsi="Arial"/>
          <w:b/>
          <w:bCs/>
          <w:i w:val="false"/>
          <w:iCs w:val="false"/>
          <w:sz w:val="22"/>
          <w:szCs w:val="22"/>
        </w:rPr>
        <w:t xml:space="preserve">15</w:t>
      </w:r>
      <w:r>
        <w:rPr>
          <w:rFonts w:ascii="Arial" w:cs="Arial" w:eastAsia="Arial" w:hAnsi="Arial"/>
          <w:b w:val="false"/>
          <w:bCs w:val="false"/>
          <w:i w:val="false"/>
          <w:iCs w:val="false"/>
          <w:sz w:val="22"/>
          <w:szCs w:val="22"/>
        </w:rPr>
        <w:t xml:space="preserve">, 4940 (2024).</w:t>
      </w:r>
    </w:p>
    <w:p>
      <w:pPr>
        <w:spacing w:after="60" w:line="240" w:lineRule="auto"/>
        <w:jc w:val="left"/>
      </w:pPr>
      <w:r>
        <w:rPr>
          <w:rFonts w:ascii="Arial" w:cs="Arial" w:eastAsia="Arial" w:hAnsi="Arial"/>
          <w:b w:val="false"/>
          <w:bCs w:val="false"/>
          <w:i w:val="false"/>
          <w:iCs w:val="false"/>
          <w:sz w:val="22"/>
          <w:szCs w:val="22"/>
        </w:rPr>
        <w:t xml:space="preserve">25. Bajpai, A. et al. Attention-enhanced variational learning for physically informed discovery of exceptionally hard multicomponent bulk metallic glasses. </w:t>
      </w:r>
      <w:r>
        <w:rPr>
          <w:rFonts w:ascii="Arial" w:cs="Arial" w:eastAsia="Arial" w:hAnsi="Arial"/>
          <w:b w:val="false"/>
          <w:bCs w:val="false"/>
          <w:i/>
          <w:iCs/>
          <w:sz w:val="22"/>
          <w:szCs w:val="22"/>
        </w:rPr>
        <w:t xml:space="preserve">Nat. Commun.</w:t>
      </w:r>
      <w:r>
        <w:rPr>
          <w:rFonts w:ascii="Arial" w:cs="Arial" w:eastAsia="Arial" w:hAnsi="Arial"/>
          <w:b w:val="false"/>
          <w:bCs w:val="false"/>
          <w:i w:val="false"/>
          <w:iCs w:val="false"/>
          <w:sz w:val="22"/>
          <w:szCs w:val="22"/>
        </w:rPr>
        <w:t xml:space="preserve"> </w:t>
      </w:r>
      <w:r>
        <w:rPr>
          <w:rFonts w:ascii="Arial" w:cs="Arial" w:eastAsia="Arial" w:hAnsi="Arial"/>
          <w:b/>
          <w:bCs/>
          <w:i w:val="false"/>
          <w:iCs w:val="false"/>
          <w:sz w:val="22"/>
          <w:szCs w:val="22"/>
        </w:rPr>
        <w:t xml:space="preserve">17</w:t>
      </w:r>
      <w:r>
        <w:rPr>
          <w:rFonts w:ascii="Arial" w:cs="Arial" w:eastAsia="Arial" w:hAnsi="Arial"/>
          <w:b w:val="false"/>
          <w:bCs w:val="false"/>
          <w:i w:val="false"/>
          <w:iCs w:val="false"/>
          <w:sz w:val="22"/>
          <w:szCs w:val="22"/>
        </w:rPr>
        <w:t xml:space="preserve">, 4266 (2026).</w:t>
      </w:r>
    </w:p>
    <w:p>
      <w:pPr>
        <w:spacing w:after="60" w:line="240" w:lineRule="auto"/>
        <w:jc w:val="left"/>
      </w:pPr>
      <w:r>
        <w:rPr>
          <w:rFonts w:ascii="Arial" w:cs="Arial" w:eastAsia="Arial" w:hAnsi="Arial"/>
          <w:b w:val="false"/>
          <w:bCs w:val="false"/>
          <w:i w:val="false"/>
          <w:iCs w:val="false"/>
          <w:sz w:val="22"/>
          <w:szCs w:val="22"/>
        </w:rPr>
        <w:t xml:space="preserve">26. Omidvar, M. et al. Accelerated discovery of perovskite solid solutions through automated materials synthesis and characterization. </w:t>
      </w:r>
      <w:r>
        <w:rPr>
          <w:rFonts w:ascii="Arial" w:cs="Arial" w:eastAsia="Arial" w:hAnsi="Arial"/>
          <w:b w:val="false"/>
          <w:bCs w:val="false"/>
          <w:i/>
          <w:iCs/>
          <w:sz w:val="22"/>
          <w:szCs w:val="22"/>
        </w:rPr>
        <w:t xml:space="preserve">Nat. Commun.</w:t>
      </w:r>
      <w:r>
        <w:rPr>
          <w:rFonts w:ascii="Arial" w:cs="Arial" w:eastAsia="Arial" w:hAnsi="Arial"/>
          <w:b w:val="false"/>
          <w:bCs w:val="false"/>
          <w:i w:val="false"/>
          <w:iCs w:val="false"/>
          <w:sz w:val="22"/>
          <w:szCs w:val="22"/>
        </w:rPr>
        <w:t xml:space="preserve"> </w:t>
      </w:r>
      <w:r>
        <w:rPr>
          <w:rFonts w:ascii="Arial" w:cs="Arial" w:eastAsia="Arial" w:hAnsi="Arial"/>
          <w:b/>
          <w:bCs/>
          <w:i w:val="false"/>
          <w:iCs w:val="false"/>
          <w:sz w:val="22"/>
          <w:szCs w:val="22"/>
        </w:rPr>
        <w:t xml:space="preserve">15</w:t>
      </w:r>
      <w:r>
        <w:rPr>
          <w:rFonts w:ascii="Arial" w:cs="Arial" w:eastAsia="Arial" w:hAnsi="Arial"/>
          <w:b w:val="false"/>
          <w:bCs w:val="false"/>
          <w:i w:val="false"/>
          <w:iCs w:val="false"/>
          <w:sz w:val="22"/>
          <w:szCs w:val="22"/>
        </w:rPr>
        <w:t xml:space="preserve">, 6554 (2024).</w:t>
      </w:r>
    </w:p>
    <w:p>
      <w:pPr>
        <w:spacing w:after="60" w:line="240" w:lineRule="auto"/>
        <w:jc w:val="left"/>
      </w:pPr>
      <w:r>
        <w:rPr>
          <w:rFonts w:ascii="Arial" w:cs="Arial" w:eastAsia="Arial" w:hAnsi="Arial"/>
          <w:b w:val="false"/>
          <w:bCs w:val="false"/>
          <w:i w:val="false"/>
          <w:iCs w:val="false"/>
          <w:sz w:val="22"/>
          <w:szCs w:val="22"/>
        </w:rPr>
        <w:t xml:space="preserve">27. Karniadakis, G. E. et al. Physics-informed machine learning. </w:t>
      </w:r>
      <w:r>
        <w:rPr>
          <w:rFonts w:ascii="Arial" w:cs="Arial" w:eastAsia="Arial" w:hAnsi="Arial"/>
          <w:b w:val="false"/>
          <w:bCs w:val="false"/>
          <w:i/>
          <w:iCs/>
          <w:sz w:val="22"/>
          <w:szCs w:val="22"/>
        </w:rPr>
        <w:t xml:space="preserve">Nat. Rev. Phys.</w:t>
      </w:r>
      <w:r>
        <w:rPr>
          <w:rFonts w:ascii="Arial" w:cs="Arial" w:eastAsia="Arial" w:hAnsi="Arial"/>
          <w:b w:val="false"/>
          <w:bCs w:val="false"/>
          <w:i w:val="false"/>
          <w:iCs w:val="false"/>
          <w:sz w:val="22"/>
          <w:szCs w:val="22"/>
        </w:rPr>
        <w:t xml:space="preserve"> </w:t>
      </w:r>
      <w:r>
        <w:rPr>
          <w:rFonts w:ascii="Arial" w:cs="Arial" w:eastAsia="Arial" w:hAnsi="Arial"/>
          <w:b/>
          <w:bCs/>
          <w:i w:val="false"/>
          <w:iCs w:val="false"/>
          <w:sz w:val="22"/>
          <w:szCs w:val="22"/>
        </w:rPr>
        <w:t xml:space="preserve">3</w:t>
      </w:r>
      <w:r>
        <w:rPr>
          <w:rFonts w:ascii="Arial" w:cs="Arial" w:eastAsia="Arial" w:hAnsi="Arial"/>
          <w:b w:val="false"/>
          <w:bCs w:val="false"/>
          <w:i w:val="false"/>
          <w:iCs w:val="false"/>
          <w:sz w:val="22"/>
          <w:szCs w:val="22"/>
        </w:rPr>
        <w:t xml:space="preserve">, 422–440 (2021).</w:t>
      </w:r>
    </w:p>
    <w:p>
      <w:pPr>
        <w:spacing w:after="60" w:line="240" w:lineRule="auto"/>
        <w:jc w:val="left"/>
      </w:pPr>
      <w:r>
        <w:rPr>
          <w:rFonts w:ascii="Arial" w:cs="Arial" w:eastAsia="Arial" w:hAnsi="Arial"/>
          <w:b w:val="false"/>
          <w:bCs w:val="false"/>
          <w:i w:val="false"/>
          <w:iCs w:val="false"/>
          <w:sz w:val="22"/>
          <w:szCs w:val="22"/>
        </w:rPr>
        <w:t xml:space="preserve">28. Ghosez, P., Michenaud, J.-P. &amp; Gonze, X. Dynamical atomic charges: the case of ABO</w:t>
      </w:r>
      <w:r>
        <w:rPr>
          <w:rFonts w:ascii="Arial" w:cs="Arial" w:eastAsia="Arial" w:hAnsi="Arial"/>
          <w:b w:val="false"/>
          <w:bCs w:val="false"/>
          <w:i w:val="false"/>
          <w:iCs w:val="false"/>
          <w:sz w:val="22"/>
          <w:szCs w:val="22"/>
          <w:vertAlign w:val="subscript"/>
        </w:rPr>
        <w:t xml:space="preserve">3</w:t>
      </w:r>
      <w:r>
        <w:rPr>
          <w:rFonts w:ascii="Arial" w:cs="Arial" w:eastAsia="Arial" w:hAnsi="Arial"/>
          <w:b w:val="false"/>
          <w:bCs w:val="false"/>
          <w:i w:val="false"/>
          <w:iCs w:val="false"/>
          <w:sz w:val="22"/>
          <w:szCs w:val="22"/>
        </w:rPr>
        <w:t xml:space="preserve"> compounds. </w:t>
      </w:r>
      <w:r>
        <w:rPr>
          <w:rFonts w:ascii="Arial" w:cs="Arial" w:eastAsia="Arial" w:hAnsi="Arial"/>
          <w:b w:val="false"/>
          <w:bCs w:val="false"/>
          <w:i/>
          <w:iCs/>
          <w:sz w:val="22"/>
          <w:szCs w:val="22"/>
        </w:rPr>
        <w:t xml:space="preserve">Phys. Rev. B</w:t>
      </w:r>
      <w:r>
        <w:rPr>
          <w:rFonts w:ascii="Arial" w:cs="Arial" w:eastAsia="Arial" w:hAnsi="Arial"/>
          <w:b w:val="false"/>
          <w:bCs w:val="false"/>
          <w:i w:val="false"/>
          <w:iCs w:val="false"/>
          <w:sz w:val="22"/>
          <w:szCs w:val="22"/>
        </w:rPr>
        <w:t xml:space="preserve"> </w:t>
      </w:r>
      <w:r>
        <w:rPr>
          <w:rFonts w:ascii="Arial" w:cs="Arial" w:eastAsia="Arial" w:hAnsi="Arial"/>
          <w:b/>
          <w:bCs/>
          <w:i w:val="false"/>
          <w:iCs w:val="false"/>
          <w:sz w:val="22"/>
          <w:szCs w:val="22"/>
        </w:rPr>
        <w:t xml:space="preserve">58</w:t>
      </w:r>
      <w:r>
        <w:rPr>
          <w:rFonts w:ascii="Arial" w:cs="Arial" w:eastAsia="Arial" w:hAnsi="Arial"/>
          <w:b w:val="false"/>
          <w:bCs w:val="false"/>
          <w:i w:val="false"/>
          <w:iCs w:val="false"/>
          <w:sz w:val="22"/>
          <w:szCs w:val="22"/>
        </w:rPr>
        <w:t xml:space="preserve">, 6224–6240 (1998).</w:t>
      </w:r>
    </w:p>
    <w:p>
      <w:pPr>
        <w:spacing w:after="60" w:line="240" w:lineRule="auto"/>
        <w:jc w:val="left"/>
      </w:pPr>
      <w:r>
        <w:rPr>
          <w:rFonts w:ascii="Arial" w:cs="Arial" w:eastAsia="Arial" w:hAnsi="Arial"/>
          <w:b w:val="false"/>
          <w:bCs w:val="false"/>
          <w:i w:val="false"/>
          <w:iCs w:val="false"/>
          <w:sz w:val="22"/>
          <w:szCs w:val="22"/>
        </w:rPr>
        <w:t xml:space="preserve">29. van Roekeghem, A., Carrete, J., Curtarolo, S. &amp; Mingo, N. High-throughput study of the static dielectric constant at high temperatures in oxide and fluoride cubic perovskites. </w:t>
      </w:r>
      <w:r>
        <w:rPr>
          <w:rFonts w:ascii="Arial" w:cs="Arial" w:eastAsia="Arial" w:hAnsi="Arial"/>
          <w:b w:val="false"/>
          <w:bCs w:val="false"/>
          <w:i/>
          <w:iCs/>
          <w:sz w:val="22"/>
          <w:szCs w:val="22"/>
        </w:rPr>
        <w:t xml:space="preserve">Phys. Rev. Mater.</w:t>
      </w:r>
      <w:r>
        <w:rPr>
          <w:rFonts w:ascii="Arial" w:cs="Arial" w:eastAsia="Arial" w:hAnsi="Arial"/>
          <w:b w:val="false"/>
          <w:bCs w:val="false"/>
          <w:i w:val="false"/>
          <w:iCs w:val="false"/>
          <w:sz w:val="22"/>
          <w:szCs w:val="22"/>
        </w:rPr>
        <w:t xml:space="preserve"> </w:t>
      </w:r>
      <w:r>
        <w:rPr>
          <w:rFonts w:ascii="Arial" w:cs="Arial" w:eastAsia="Arial" w:hAnsi="Arial"/>
          <w:b/>
          <w:bCs/>
          <w:i w:val="false"/>
          <w:iCs w:val="false"/>
          <w:sz w:val="22"/>
          <w:szCs w:val="22"/>
        </w:rPr>
        <w:t xml:space="preserve">4</w:t>
      </w:r>
      <w:r>
        <w:rPr>
          <w:rFonts w:ascii="Arial" w:cs="Arial" w:eastAsia="Arial" w:hAnsi="Arial"/>
          <w:b w:val="false"/>
          <w:bCs w:val="false"/>
          <w:i w:val="false"/>
          <w:iCs w:val="false"/>
          <w:sz w:val="22"/>
          <w:szCs w:val="22"/>
        </w:rPr>
        <w:t xml:space="preserve">, 113804 (2020).</w:t>
      </w:r>
    </w:p>
    <w:p>
      <w:pPr>
        <w:spacing w:after="60" w:line="240" w:lineRule="auto"/>
        <w:jc w:val="left"/>
      </w:pPr>
      <w:r>
        <w:rPr>
          <w:rFonts w:ascii="Arial" w:cs="Arial" w:eastAsia="Arial" w:hAnsi="Arial"/>
          <w:b w:val="false"/>
          <w:bCs w:val="false"/>
          <w:i w:val="false"/>
          <w:iCs w:val="false"/>
          <w:sz w:val="22"/>
          <w:szCs w:val="22"/>
        </w:rPr>
        <w:t xml:space="preserve">30. Thong, H.-C. et al. Increased Curie temperature in lithium-substituted ferroelectric niobate perovskite via soft polar mode enhancement. </w:t>
      </w:r>
      <w:r>
        <w:rPr>
          <w:rFonts w:ascii="Arial" w:cs="Arial" w:eastAsia="Arial" w:hAnsi="Arial"/>
          <w:b w:val="false"/>
          <w:bCs w:val="false"/>
          <w:i/>
          <w:iCs/>
          <w:sz w:val="22"/>
          <w:szCs w:val="22"/>
        </w:rPr>
        <w:t xml:space="preserve">npj Comput. Mater.</w:t>
      </w:r>
      <w:r>
        <w:rPr>
          <w:rFonts w:ascii="Arial" w:cs="Arial" w:eastAsia="Arial" w:hAnsi="Arial"/>
          <w:b w:val="false"/>
          <w:bCs w:val="false"/>
          <w:i w:val="false"/>
          <w:iCs w:val="false"/>
          <w:sz w:val="22"/>
          <w:szCs w:val="22"/>
        </w:rPr>
        <w:t xml:space="preserve"> </w:t>
      </w:r>
      <w:r>
        <w:rPr>
          <w:rFonts w:ascii="Arial" w:cs="Arial" w:eastAsia="Arial" w:hAnsi="Arial"/>
          <w:b/>
          <w:bCs/>
          <w:i w:val="false"/>
          <w:iCs w:val="false"/>
          <w:sz w:val="22"/>
          <w:szCs w:val="22"/>
        </w:rPr>
        <w:t xml:space="preserve">11</w:t>
      </w:r>
      <w:r>
        <w:rPr>
          <w:rFonts w:ascii="Arial" w:cs="Arial" w:eastAsia="Arial" w:hAnsi="Arial"/>
          <w:b w:val="false"/>
          <w:bCs w:val="false"/>
          <w:i w:val="false"/>
          <w:iCs w:val="false"/>
          <w:sz w:val="22"/>
          <w:szCs w:val="22"/>
        </w:rPr>
        <w:t xml:space="preserve">, 92 (2025).</w:t>
      </w:r>
    </w:p>
    <w:p>
      <w:pPr>
        <w:spacing w:after="60" w:line="240" w:lineRule="auto"/>
        <w:jc w:val="left"/>
      </w:pPr>
      <w:r>
        <w:rPr>
          <w:rFonts w:ascii="Arial" w:cs="Arial" w:eastAsia="Arial" w:hAnsi="Arial"/>
          <w:b w:val="false"/>
          <w:bCs w:val="false"/>
          <w:i w:val="false"/>
          <w:iCs w:val="false"/>
          <w:sz w:val="22"/>
          <w:szCs w:val="22"/>
        </w:rPr>
        <w:t xml:space="preserve">31. Azuma, M. et al. Functional transition metal perovskite oxides with 6s</w:t>
      </w:r>
      <w:r>
        <w:rPr>
          <w:rFonts w:ascii="Arial" w:cs="Arial" w:eastAsia="Arial" w:hAnsi="Arial"/>
          <w:b w:val="false"/>
          <w:bCs w:val="false"/>
          <w:i w:val="false"/>
          <w:iCs w:val="false"/>
          <w:sz w:val="22"/>
          <w:szCs w:val="22"/>
          <w:vertAlign w:val="superscript"/>
        </w:rPr>
        <w:t xml:space="preserve">2</w:t>
      </w:r>
      <w:r>
        <w:rPr>
          <w:rFonts w:ascii="Arial" w:cs="Arial" w:eastAsia="Arial" w:hAnsi="Arial"/>
          <w:b w:val="false"/>
          <w:bCs w:val="false"/>
          <w:i w:val="false"/>
          <w:iCs w:val="false"/>
          <w:sz w:val="22"/>
          <w:szCs w:val="22"/>
        </w:rPr>
        <w:t xml:space="preserve"> lone pair activity stabilized by high-pressure synthesis. </w:t>
      </w:r>
      <w:r>
        <w:rPr>
          <w:rFonts w:ascii="Arial" w:cs="Arial" w:eastAsia="Arial" w:hAnsi="Arial"/>
          <w:b w:val="false"/>
          <w:bCs w:val="false"/>
          <w:i/>
          <w:iCs/>
          <w:sz w:val="22"/>
          <w:szCs w:val="22"/>
        </w:rPr>
        <w:t xml:space="preserve">Annu. Rev. Mater. Res.</w:t>
      </w:r>
      <w:r>
        <w:rPr>
          <w:rFonts w:ascii="Arial" w:cs="Arial" w:eastAsia="Arial" w:hAnsi="Arial"/>
          <w:b w:val="false"/>
          <w:bCs w:val="false"/>
          <w:i w:val="false"/>
          <w:iCs w:val="false"/>
          <w:sz w:val="22"/>
          <w:szCs w:val="22"/>
        </w:rPr>
        <w:t xml:space="preserve"> </w:t>
      </w:r>
      <w:r>
        <w:rPr>
          <w:rFonts w:ascii="Arial" w:cs="Arial" w:eastAsia="Arial" w:hAnsi="Arial"/>
          <w:b/>
          <w:bCs/>
          <w:i w:val="false"/>
          <w:iCs w:val="false"/>
          <w:sz w:val="22"/>
          <w:szCs w:val="22"/>
        </w:rPr>
        <w:t xml:space="preserve">51</w:t>
      </w:r>
      <w:r>
        <w:rPr>
          <w:rFonts w:ascii="Arial" w:cs="Arial" w:eastAsia="Arial" w:hAnsi="Arial"/>
          <w:b w:val="false"/>
          <w:bCs w:val="false"/>
          <w:i w:val="false"/>
          <w:iCs w:val="false"/>
          <w:sz w:val="22"/>
          <w:szCs w:val="22"/>
        </w:rPr>
        <w:t xml:space="preserve">, 329–349 (2021).</w:t>
      </w:r>
    </w:p>
    <w:p>
      <w:pPr>
        <w:spacing w:after="60" w:line="240" w:lineRule="auto"/>
        <w:jc w:val="left"/>
      </w:pPr>
      <w:r>
        <w:rPr>
          <w:rFonts w:ascii="Arial" w:cs="Arial" w:eastAsia="Arial" w:hAnsi="Arial"/>
          <w:b w:val="false"/>
          <w:bCs w:val="false"/>
          <w:i w:val="false"/>
          <w:iCs w:val="false"/>
          <w:sz w:val="22"/>
          <w:szCs w:val="22"/>
        </w:rPr>
        <w:t xml:space="preserve">32. Wu, Y., Zhang, P. &amp; Zhang, W. Advancing first-principles dielectric property prediction of complex microwave materials: an elemental-unit decomposition approach. </w:t>
      </w:r>
      <w:r>
        <w:rPr>
          <w:rFonts w:ascii="Arial" w:cs="Arial" w:eastAsia="Arial" w:hAnsi="Arial"/>
          <w:b w:val="false"/>
          <w:bCs w:val="false"/>
          <w:i/>
          <w:iCs/>
          <w:sz w:val="22"/>
          <w:szCs w:val="22"/>
        </w:rPr>
        <w:t xml:space="preserve">npj Comput. Mater.</w:t>
      </w:r>
      <w:r>
        <w:rPr>
          <w:rFonts w:ascii="Arial" w:cs="Arial" w:eastAsia="Arial" w:hAnsi="Arial"/>
          <w:b w:val="false"/>
          <w:bCs w:val="false"/>
          <w:i w:val="false"/>
          <w:iCs w:val="false"/>
          <w:sz w:val="22"/>
          <w:szCs w:val="22"/>
        </w:rPr>
        <w:t xml:space="preserve"> </w:t>
      </w:r>
      <w:r>
        <w:rPr>
          <w:rFonts w:ascii="Arial" w:cs="Arial" w:eastAsia="Arial" w:hAnsi="Arial"/>
          <w:b/>
          <w:bCs/>
          <w:i w:val="false"/>
          <w:iCs w:val="false"/>
          <w:sz w:val="22"/>
          <w:szCs w:val="22"/>
        </w:rPr>
        <w:t xml:space="preserve">10</w:t>
      </w:r>
      <w:r>
        <w:rPr>
          <w:rFonts w:ascii="Arial" w:cs="Arial" w:eastAsia="Arial" w:hAnsi="Arial"/>
          <w:b w:val="false"/>
          <w:bCs w:val="false"/>
          <w:i w:val="false"/>
          <w:iCs w:val="false"/>
          <w:sz w:val="22"/>
          <w:szCs w:val="22"/>
        </w:rPr>
        <w:t xml:space="preserve">, 179 (2024).</w:t>
      </w:r>
    </w:p>
    <w:p>
      <w:pPr>
        <w:spacing w:after="60" w:line="240" w:lineRule="auto"/>
        <w:jc w:val="left"/>
      </w:pPr>
      <w:r>
        <w:rPr>
          <w:rFonts w:ascii="Arial" w:cs="Arial" w:eastAsia="Arial" w:hAnsi="Arial"/>
          <w:b w:val="false"/>
          <w:bCs w:val="false"/>
          <w:i w:val="false"/>
          <w:iCs w:val="false"/>
          <w:sz w:val="22"/>
          <w:szCs w:val="22"/>
        </w:rPr>
        <w:t xml:space="preserve">33. Rodriguez, A., Lin, C., Shen, C. et al. Unlocking phonon properties of a large and diverse set of cubic crystals by indirect bottom-up machine learning approach. </w:t>
      </w:r>
      <w:r>
        <w:rPr>
          <w:rFonts w:ascii="Arial" w:cs="Arial" w:eastAsia="Arial" w:hAnsi="Arial"/>
          <w:b w:val="false"/>
          <w:bCs w:val="false"/>
          <w:i/>
          <w:iCs/>
          <w:sz w:val="22"/>
          <w:szCs w:val="22"/>
        </w:rPr>
        <w:t xml:space="preserve">Commun. Mater.</w:t>
      </w:r>
      <w:r>
        <w:rPr>
          <w:rFonts w:ascii="Arial" w:cs="Arial" w:eastAsia="Arial" w:hAnsi="Arial"/>
          <w:b w:val="false"/>
          <w:bCs w:val="false"/>
          <w:i w:val="false"/>
          <w:iCs w:val="false"/>
          <w:sz w:val="22"/>
          <w:szCs w:val="22"/>
        </w:rPr>
        <w:t xml:space="preserve"> </w:t>
      </w:r>
      <w:r>
        <w:rPr>
          <w:rFonts w:ascii="Arial" w:cs="Arial" w:eastAsia="Arial" w:hAnsi="Arial"/>
          <w:b/>
          <w:bCs/>
          <w:i w:val="false"/>
          <w:iCs w:val="false"/>
          <w:sz w:val="22"/>
          <w:szCs w:val="22"/>
        </w:rPr>
        <w:t xml:space="preserve">4</w:t>
      </w:r>
      <w:r>
        <w:rPr>
          <w:rFonts w:ascii="Arial" w:cs="Arial" w:eastAsia="Arial" w:hAnsi="Arial"/>
          <w:b w:val="false"/>
          <w:bCs w:val="false"/>
          <w:i w:val="false"/>
          <w:iCs w:val="false"/>
          <w:sz w:val="22"/>
          <w:szCs w:val="22"/>
        </w:rPr>
        <w:t xml:space="preserve">, 61 (2023).</w:t>
      </w:r>
    </w:p>
    <w:p>
      <w:pPr>
        <w:spacing w:after="60" w:line="240" w:lineRule="auto"/>
        <w:jc w:val="left"/>
      </w:pPr>
      <w:r>
        <w:rPr>
          <w:rFonts w:ascii="Arial" w:cs="Arial" w:eastAsia="Arial" w:hAnsi="Arial"/>
          <w:b w:val="false"/>
          <w:bCs w:val="false"/>
          <w:i w:val="false"/>
          <w:iCs w:val="false"/>
          <w:sz w:val="22"/>
          <w:szCs w:val="22"/>
        </w:rPr>
        <w:t xml:space="preserve">34. Sartor, D., Sinigaglia, A. &amp; Susto, G. A. Advancing constrained monotonic neural networks: achieving universal approximation beyond bounded activations. Preprint at https://arxiv.org/abs/2505.02537 (2025).</w:t>
      </w:r>
    </w:p>
    <w:p>
      <w:pPr>
        <w:spacing w:after="60" w:line="240" w:lineRule="auto"/>
        <w:jc w:val="left"/>
      </w:pPr>
      <w:r>
        <w:rPr>
          <w:rFonts w:ascii="Arial" w:cs="Arial" w:eastAsia="Arial" w:hAnsi="Arial"/>
          <w:b w:val="false"/>
          <w:bCs w:val="false"/>
          <w:i w:val="false"/>
          <w:iCs w:val="false"/>
          <w:sz w:val="22"/>
          <w:szCs w:val="22"/>
        </w:rPr>
        <w:t xml:space="preserve">35. Angelopoulos, A. N. &amp; Bates, S. A gentle introduction to conformal prediction and distribution-free uncertainty quantification. </w:t>
      </w:r>
      <w:r>
        <w:rPr>
          <w:rFonts w:ascii="Arial" w:cs="Arial" w:eastAsia="Arial" w:hAnsi="Arial"/>
          <w:b w:val="false"/>
          <w:bCs w:val="false"/>
          <w:i/>
          <w:iCs/>
          <w:sz w:val="22"/>
          <w:szCs w:val="22"/>
        </w:rPr>
        <w:t xml:space="preserve">Found. Trends Mach. Learn.</w:t>
      </w:r>
      <w:r>
        <w:rPr>
          <w:rFonts w:ascii="Arial" w:cs="Arial" w:eastAsia="Arial" w:hAnsi="Arial"/>
          <w:b w:val="false"/>
          <w:bCs w:val="false"/>
          <w:i w:val="false"/>
          <w:iCs w:val="false"/>
          <w:sz w:val="22"/>
          <w:szCs w:val="22"/>
        </w:rPr>
        <w:t xml:space="preserve"> </w:t>
      </w:r>
      <w:r>
        <w:rPr>
          <w:rFonts w:ascii="Arial" w:cs="Arial" w:eastAsia="Arial" w:hAnsi="Arial"/>
          <w:b/>
          <w:bCs/>
          <w:i w:val="false"/>
          <w:iCs w:val="false"/>
          <w:sz w:val="22"/>
          <w:szCs w:val="22"/>
        </w:rPr>
        <w:t xml:space="preserve">16</w:t>
      </w:r>
      <w:r>
        <w:rPr>
          <w:rFonts w:ascii="Arial" w:cs="Arial" w:eastAsia="Arial" w:hAnsi="Arial"/>
          <w:b w:val="false"/>
          <w:bCs w:val="false"/>
          <w:i w:val="false"/>
          <w:iCs w:val="false"/>
          <w:sz w:val="22"/>
          <w:szCs w:val="22"/>
        </w:rPr>
        <w:t xml:space="preserve">, 494–591 (2023).</w:t>
      </w:r>
    </w:p>
    <w:p>
      <w:pPr>
        <w:spacing w:after="60" w:line="240" w:lineRule="auto"/>
        <w:jc w:val="left"/>
      </w:pPr>
      <w:r>
        <w:rPr>
          <w:rFonts w:ascii="Arial" w:cs="Arial" w:eastAsia="Arial" w:hAnsi="Arial"/>
          <w:b w:val="false"/>
          <w:bCs w:val="false"/>
          <w:i w:val="false"/>
          <w:iCs w:val="false"/>
          <w:sz w:val="22"/>
          <w:szCs w:val="22"/>
        </w:rPr>
        <w:t xml:space="preserve">36. Sutton, C. et al. Identifying domains of applicability of machine learning models for materials science. </w:t>
      </w:r>
      <w:r>
        <w:rPr>
          <w:rFonts w:ascii="Arial" w:cs="Arial" w:eastAsia="Arial" w:hAnsi="Arial"/>
          <w:b w:val="false"/>
          <w:bCs w:val="false"/>
          <w:i/>
          <w:iCs/>
          <w:sz w:val="22"/>
          <w:szCs w:val="22"/>
        </w:rPr>
        <w:t xml:space="preserve">Nat. Commun.</w:t>
      </w:r>
      <w:r>
        <w:rPr>
          <w:rFonts w:ascii="Arial" w:cs="Arial" w:eastAsia="Arial" w:hAnsi="Arial"/>
          <w:b w:val="false"/>
          <w:bCs w:val="false"/>
          <w:i w:val="false"/>
          <w:iCs w:val="false"/>
          <w:sz w:val="22"/>
          <w:szCs w:val="22"/>
        </w:rPr>
        <w:t xml:space="preserve"> </w:t>
      </w:r>
      <w:r>
        <w:rPr>
          <w:rFonts w:ascii="Arial" w:cs="Arial" w:eastAsia="Arial" w:hAnsi="Arial"/>
          <w:b/>
          <w:bCs/>
          <w:i w:val="false"/>
          <w:iCs w:val="false"/>
          <w:sz w:val="22"/>
          <w:szCs w:val="22"/>
        </w:rPr>
        <w:t xml:space="preserve">11</w:t>
      </w:r>
      <w:r>
        <w:rPr>
          <w:rFonts w:ascii="Arial" w:cs="Arial" w:eastAsia="Arial" w:hAnsi="Arial"/>
          <w:b w:val="false"/>
          <w:bCs w:val="false"/>
          <w:i w:val="false"/>
          <w:iCs w:val="false"/>
          <w:sz w:val="22"/>
          <w:szCs w:val="22"/>
        </w:rPr>
        <w:t xml:space="preserve">, 4428 (2020).</w:t>
      </w:r>
    </w:p>
    <w:p>
      <w:pPr>
        <w:spacing w:after="60" w:line="240" w:lineRule="auto"/>
        <w:jc w:val="left"/>
      </w:pPr>
      <w:r>
        <w:rPr>
          <w:rFonts w:ascii="Arial" w:cs="Arial" w:eastAsia="Arial" w:hAnsi="Arial"/>
          <w:b w:val="false"/>
          <w:bCs w:val="false"/>
          <w:i w:val="false"/>
          <w:iCs w:val="false"/>
          <w:sz w:val="22"/>
          <w:szCs w:val="22"/>
        </w:rPr>
        <w:t xml:space="preserve">37. Schultz, L. E., Wang, Y., Jacobs, R. &amp; Morgan, D. A general approach for determining the applicability domain of machine learning models. </w:t>
      </w:r>
      <w:r>
        <w:rPr>
          <w:rFonts w:ascii="Arial" w:cs="Arial" w:eastAsia="Arial" w:hAnsi="Arial"/>
          <w:b w:val="false"/>
          <w:bCs w:val="false"/>
          <w:i/>
          <w:iCs/>
          <w:sz w:val="22"/>
          <w:szCs w:val="22"/>
        </w:rPr>
        <w:t xml:space="preserve">npj Comput. Mater.</w:t>
      </w:r>
      <w:r>
        <w:rPr>
          <w:rFonts w:ascii="Arial" w:cs="Arial" w:eastAsia="Arial" w:hAnsi="Arial"/>
          <w:b w:val="false"/>
          <w:bCs w:val="false"/>
          <w:i w:val="false"/>
          <w:iCs w:val="false"/>
          <w:sz w:val="22"/>
          <w:szCs w:val="22"/>
        </w:rPr>
        <w:t xml:space="preserve"> </w:t>
      </w:r>
      <w:r>
        <w:rPr>
          <w:rFonts w:ascii="Arial" w:cs="Arial" w:eastAsia="Arial" w:hAnsi="Arial"/>
          <w:b/>
          <w:bCs/>
          <w:i w:val="false"/>
          <w:iCs w:val="false"/>
          <w:sz w:val="22"/>
          <w:szCs w:val="22"/>
        </w:rPr>
        <w:t xml:space="preserve">11</w:t>
      </w:r>
      <w:r>
        <w:rPr>
          <w:rFonts w:ascii="Arial" w:cs="Arial" w:eastAsia="Arial" w:hAnsi="Arial"/>
          <w:b w:val="false"/>
          <w:bCs w:val="false"/>
          <w:i w:val="false"/>
          <w:iCs w:val="false"/>
          <w:sz w:val="22"/>
          <w:szCs w:val="22"/>
        </w:rPr>
        <w:t xml:space="preserve">, 95 (2025).</w:t>
      </w:r>
    </w:p>
    <w:p>
      <w:pPr>
        <w:spacing w:after="60" w:line="240" w:lineRule="auto"/>
        <w:jc w:val="left"/>
      </w:pPr>
      <w:r>
        <w:rPr>
          <w:rFonts w:ascii="Arial" w:cs="Arial" w:eastAsia="Arial" w:hAnsi="Arial"/>
          <w:b w:val="false"/>
          <w:bCs w:val="false"/>
          <w:i w:val="false"/>
          <w:iCs w:val="false"/>
          <w:sz w:val="22"/>
          <w:szCs w:val="22"/>
        </w:rPr>
        <w:t xml:space="preserve">38. Li, K. et al. Probing out-of-distribution generalization in machine learning for materials. </w:t>
      </w:r>
      <w:r>
        <w:rPr>
          <w:rFonts w:ascii="Arial" w:cs="Arial" w:eastAsia="Arial" w:hAnsi="Arial"/>
          <w:b w:val="false"/>
          <w:bCs w:val="false"/>
          <w:i/>
          <w:iCs/>
          <w:sz w:val="22"/>
          <w:szCs w:val="22"/>
        </w:rPr>
        <w:t xml:space="preserve">Commun. Mater.</w:t>
      </w:r>
      <w:r>
        <w:rPr>
          <w:rFonts w:ascii="Arial" w:cs="Arial" w:eastAsia="Arial" w:hAnsi="Arial"/>
          <w:b w:val="false"/>
          <w:bCs w:val="false"/>
          <w:i w:val="false"/>
          <w:iCs w:val="false"/>
          <w:sz w:val="22"/>
          <w:szCs w:val="22"/>
        </w:rPr>
        <w:t xml:space="preserve"> </w:t>
      </w:r>
      <w:r>
        <w:rPr>
          <w:rFonts w:ascii="Arial" w:cs="Arial" w:eastAsia="Arial" w:hAnsi="Arial"/>
          <w:b/>
          <w:bCs/>
          <w:i w:val="false"/>
          <w:iCs w:val="false"/>
          <w:sz w:val="22"/>
          <w:szCs w:val="22"/>
        </w:rPr>
        <w:t xml:space="preserve">6</w:t>
      </w:r>
      <w:r>
        <w:rPr>
          <w:rFonts w:ascii="Arial" w:cs="Arial" w:eastAsia="Arial" w:hAnsi="Arial"/>
          <w:b w:val="false"/>
          <w:bCs w:val="false"/>
          <w:i w:val="false"/>
          <w:iCs w:val="false"/>
          <w:sz w:val="22"/>
          <w:szCs w:val="22"/>
        </w:rPr>
        <w:t xml:space="preserve">, 9 (2025).</w:t>
      </w:r>
    </w:p>
    <w:p>
      <w:pPr>
        <w:spacing w:after="60" w:line="240" w:lineRule="auto"/>
        <w:jc w:val="left"/>
      </w:pPr>
      <w:r>
        <w:rPr>
          <w:rFonts w:ascii="Arial" w:cs="Arial" w:eastAsia="Arial" w:hAnsi="Arial"/>
          <w:b w:val="false"/>
          <w:bCs w:val="false"/>
          <w:i w:val="false"/>
          <w:iCs w:val="false"/>
          <w:sz w:val="22"/>
          <w:szCs w:val="22"/>
        </w:rPr>
        <w:t xml:space="preserve">39. Omee, S. S., Fu, N., Dong, R., Hu, M. &amp; Hu, J. Structure-based out-of-distribution (OOD) materials property prediction: a benchmark study. </w:t>
      </w:r>
      <w:r>
        <w:rPr>
          <w:rFonts w:ascii="Arial" w:cs="Arial" w:eastAsia="Arial" w:hAnsi="Arial"/>
          <w:b w:val="false"/>
          <w:bCs w:val="false"/>
          <w:i/>
          <w:iCs/>
          <w:sz w:val="22"/>
          <w:szCs w:val="22"/>
        </w:rPr>
        <w:t xml:space="preserve">npj Comput. Mater.</w:t>
      </w:r>
      <w:r>
        <w:rPr>
          <w:rFonts w:ascii="Arial" w:cs="Arial" w:eastAsia="Arial" w:hAnsi="Arial"/>
          <w:b w:val="false"/>
          <w:bCs w:val="false"/>
          <w:i w:val="false"/>
          <w:iCs w:val="false"/>
          <w:sz w:val="22"/>
          <w:szCs w:val="22"/>
        </w:rPr>
        <w:t xml:space="preserve"> </w:t>
      </w:r>
      <w:r>
        <w:rPr>
          <w:rFonts w:ascii="Arial" w:cs="Arial" w:eastAsia="Arial" w:hAnsi="Arial"/>
          <w:b/>
          <w:bCs/>
          <w:i w:val="false"/>
          <w:iCs w:val="false"/>
          <w:sz w:val="22"/>
          <w:szCs w:val="22"/>
        </w:rPr>
        <w:t xml:space="preserve">10</w:t>
      </w:r>
      <w:r>
        <w:rPr>
          <w:rFonts w:ascii="Arial" w:cs="Arial" w:eastAsia="Arial" w:hAnsi="Arial"/>
          <w:b w:val="false"/>
          <w:bCs w:val="false"/>
          <w:i w:val="false"/>
          <w:iCs w:val="false"/>
          <w:sz w:val="22"/>
          <w:szCs w:val="22"/>
        </w:rPr>
        <w:t xml:space="preserve">, 144 (2024).</w:t>
      </w:r>
    </w:p>
    <w:p>
      <w:pPr>
        <w:spacing w:after="60" w:line="240" w:lineRule="auto"/>
        <w:jc w:val="left"/>
      </w:pPr>
      <w:r>
        <w:rPr>
          <w:rFonts w:ascii="Arial" w:cs="Arial" w:eastAsia="Arial" w:hAnsi="Arial"/>
          <w:b w:val="false"/>
          <w:bCs w:val="false"/>
          <w:i w:val="false"/>
          <w:iCs w:val="false"/>
          <w:sz w:val="22"/>
          <w:szCs w:val="22"/>
        </w:rPr>
        <w:t xml:space="preserve">40. Eiben, A. E. &amp; Smith, J. E. </w:t>
      </w:r>
      <w:r>
        <w:rPr>
          <w:rFonts w:ascii="Arial" w:cs="Arial" w:eastAsia="Arial" w:hAnsi="Arial"/>
          <w:b w:val="false"/>
          <w:bCs w:val="false"/>
          <w:i/>
          <w:iCs/>
          <w:sz w:val="22"/>
          <w:szCs w:val="22"/>
        </w:rPr>
        <w:t xml:space="preserve">Introduction to Evolutionary Computing</w:t>
      </w:r>
      <w:r>
        <w:rPr>
          <w:rFonts w:ascii="Arial" w:cs="Arial" w:eastAsia="Arial" w:hAnsi="Arial"/>
          <w:b w:val="false"/>
          <w:bCs w:val="false"/>
          <w:i w:val="false"/>
          <w:iCs w:val="false"/>
          <w:sz w:val="22"/>
          <w:szCs w:val="22"/>
        </w:rPr>
        <w:t xml:space="preserve"> 2nd edn (Springer, 2015).</w:t>
      </w:r>
    </w:p>
    <w:p>
      <w:pPr>
        <w:spacing w:after="60" w:line="240" w:lineRule="auto"/>
        <w:jc w:val="left"/>
      </w:pPr>
      <w:r>
        <w:rPr>
          <w:rFonts w:ascii="Arial" w:cs="Arial" w:eastAsia="Arial" w:hAnsi="Arial"/>
          <w:b w:val="false"/>
          <w:bCs w:val="false"/>
          <w:i w:val="false"/>
          <w:iCs w:val="false"/>
          <w:sz w:val="22"/>
          <w:szCs w:val="22"/>
        </w:rPr>
        <w:t xml:space="preserve">41. Hylton-Farrington, C. M. &amp; Remsing, R. C. Octahedral tilting and B-site off-centering in halide perovskites are not coupled. </w:t>
      </w:r>
      <w:r>
        <w:rPr>
          <w:rFonts w:ascii="Arial" w:cs="Arial" w:eastAsia="Arial" w:hAnsi="Arial"/>
          <w:b w:val="false"/>
          <w:bCs w:val="false"/>
          <w:i/>
          <w:iCs/>
          <w:sz w:val="22"/>
          <w:szCs w:val="22"/>
        </w:rPr>
        <w:t xml:space="preserve">Nat. Commun.</w:t>
      </w:r>
      <w:r>
        <w:rPr>
          <w:rFonts w:ascii="Arial" w:cs="Arial" w:eastAsia="Arial" w:hAnsi="Arial"/>
          <w:b w:val="false"/>
          <w:bCs w:val="false"/>
          <w:i w:val="false"/>
          <w:iCs w:val="false"/>
          <w:sz w:val="22"/>
          <w:szCs w:val="22"/>
        </w:rPr>
        <w:t xml:space="preserve"> </w:t>
      </w:r>
      <w:r>
        <w:rPr>
          <w:rFonts w:ascii="Arial" w:cs="Arial" w:eastAsia="Arial" w:hAnsi="Arial"/>
          <w:b/>
          <w:bCs/>
          <w:i w:val="false"/>
          <w:iCs w:val="false"/>
          <w:sz w:val="22"/>
          <w:szCs w:val="22"/>
        </w:rPr>
        <w:t xml:space="preserve">17</w:t>
      </w:r>
      <w:r>
        <w:rPr>
          <w:rFonts w:ascii="Arial" w:cs="Arial" w:eastAsia="Arial" w:hAnsi="Arial"/>
          <w:b w:val="false"/>
          <w:bCs w:val="false"/>
          <w:i w:val="false"/>
          <w:iCs w:val="false"/>
          <w:sz w:val="22"/>
          <w:szCs w:val="22"/>
        </w:rPr>
        <w:t xml:space="preserve">, 4345 (2026).</w:t>
      </w:r>
    </w:p>
    <w:p>
      <w:pPr>
        <w:spacing w:after="60" w:line="240" w:lineRule="auto"/>
        <w:jc w:val="left"/>
      </w:pPr>
      <w:r>
        <w:rPr>
          <w:rFonts w:ascii="Arial" w:cs="Arial" w:eastAsia="Arial" w:hAnsi="Arial"/>
          <w:b w:val="false"/>
          <w:bCs w:val="false"/>
          <w:i w:val="false"/>
          <w:iCs w:val="false"/>
          <w:sz w:val="22"/>
          <w:szCs w:val="22"/>
        </w:rPr>
        <w:t xml:space="preserve">42. Agarwal, R. et al. Neural additive models: interpretable machine learning with neural nets. In </w:t>
      </w:r>
      <w:r>
        <w:rPr>
          <w:rFonts w:ascii="Arial" w:cs="Arial" w:eastAsia="Arial" w:hAnsi="Arial"/>
          <w:b w:val="false"/>
          <w:bCs w:val="false"/>
          <w:i/>
          <w:iCs/>
          <w:sz w:val="22"/>
          <w:szCs w:val="22"/>
        </w:rPr>
        <w:t xml:space="preserve">Advances in Neural Information Processing Systems</w:t>
      </w:r>
      <w:r>
        <w:rPr>
          <w:rFonts w:ascii="Arial" w:cs="Arial" w:eastAsia="Arial" w:hAnsi="Arial"/>
          <w:b w:val="false"/>
          <w:bCs w:val="false"/>
          <w:i w:val="false"/>
          <w:iCs w:val="false"/>
          <w:sz w:val="22"/>
          <w:szCs w:val="22"/>
        </w:rPr>
        <w:t xml:space="preserve"> </w:t>
      </w:r>
      <w:r>
        <w:rPr>
          <w:rFonts w:ascii="Arial" w:cs="Arial" w:eastAsia="Arial" w:hAnsi="Arial"/>
          <w:b/>
          <w:bCs/>
          <w:i w:val="false"/>
          <w:iCs w:val="false"/>
          <w:sz w:val="22"/>
          <w:szCs w:val="22"/>
        </w:rPr>
        <w:t xml:space="preserve">34</w:t>
      </w:r>
      <w:r>
        <w:rPr>
          <w:rFonts w:ascii="Arial" w:cs="Arial" w:eastAsia="Arial" w:hAnsi="Arial"/>
          <w:b w:val="false"/>
          <w:bCs w:val="false"/>
          <w:i w:val="false"/>
          <w:iCs w:val="false"/>
          <w:sz w:val="22"/>
          <w:szCs w:val="22"/>
        </w:rPr>
        <w:t xml:space="preserve">, 4699–4711 (2021).</w:t>
      </w:r>
    </w:p>
    <w:p>
      <w:pPr>
        <w:spacing w:after="60" w:line="240" w:lineRule="auto"/>
        <w:jc w:val="left"/>
      </w:pPr>
      <w:r>
        <w:rPr>
          <w:rFonts w:ascii="Arial" w:cs="Arial" w:eastAsia="Arial" w:hAnsi="Arial"/>
          <w:b w:val="false"/>
          <w:bCs w:val="false"/>
          <w:i w:val="false"/>
          <w:iCs w:val="false"/>
          <w:sz w:val="22"/>
          <w:szCs w:val="22"/>
        </w:rPr>
        <w:t xml:space="preserve">43. Zhao, W. et al. A physics-informed machine learning framework for accelerated discovery of single-phase B2 multi-principal element intermetallics. </w:t>
      </w:r>
      <w:r>
        <w:rPr>
          <w:rFonts w:ascii="Arial" w:cs="Arial" w:eastAsia="Arial" w:hAnsi="Arial"/>
          <w:b w:val="false"/>
          <w:bCs w:val="false"/>
          <w:i/>
          <w:iCs/>
          <w:sz w:val="22"/>
          <w:szCs w:val="22"/>
        </w:rPr>
        <w:t xml:space="preserve">npj Comput. Mater.</w:t>
      </w:r>
      <w:r>
        <w:rPr>
          <w:rFonts w:ascii="Arial" w:cs="Arial" w:eastAsia="Arial" w:hAnsi="Arial"/>
          <w:b w:val="false"/>
          <w:bCs w:val="false"/>
          <w:i w:val="false"/>
          <w:iCs w:val="false"/>
          <w:sz w:val="22"/>
          <w:szCs w:val="22"/>
        </w:rPr>
        <w:t xml:space="preserve"> </w:t>
      </w:r>
      <w:r>
        <w:rPr>
          <w:rFonts w:ascii="Arial" w:cs="Arial" w:eastAsia="Arial" w:hAnsi="Arial"/>
          <w:b/>
          <w:bCs/>
          <w:i w:val="false"/>
          <w:iCs w:val="false"/>
          <w:sz w:val="22"/>
          <w:szCs w:val="22"/>
        </w:rPr>
        <w:t xml:space="preserve">11</w:t>
      </w:r>
      <w:r>
        <w:rPr>
          <w:rFonts w:ascii="Arial" w:cs="Arial" w:eastAsia="Arial" w:hAnsi="Arial"/>
          <w:b w:val="false"/>
          <w:bCs w:val="false"/>
          <w:i w:val="false"/>
          <w:iCs w:val="false"/>
          <w:sz w:val="22"/>
          <w:szCs w:val="22"/>
        </w:rPr>
        <w:t xml:space="preserve">, 278 (2025).</w:t>
      </w:r>
    </w:p>
    <w:p>
      <w:pPr>
        <w:spacing w:after="60" w:line="240" w:lineRule="auto"/>
        <w:jc w:val="left"/>
      </w:pPr>
      <w:r>
        <w:rPr>
          <w:rFonts w:ascii="Arial" w:cs="Arial" w:eastAsia="Arial" w:hAnsi="Arial"/>
          <w:b w:val="false"/>
          <w:bCs w:val="false"/>
          <w:i w:val="false"/>
          <w:iCs w:val="false"/>
          <w:sz w:val="22"/>
          <w:szCs w:val="22"/>
        </w:rPr>
        <w:t xml:space="preserve">44. Li, C. et al. Improved physics-based structural descriptors of perovskite materials enable higher accuracy of machine learning. </w:t>
      </w:r>
      <w:r>
        <w:rPr>
          <w:rFonts w:ascii="Arial" w:cs="Arial" w:eastAsia="Arial" w:hAnsi="Arial"/>
          <w:b w:val="false"/>
          <w:bCs w:val="false"/>
          <w:i/>
          <w:iCs/>
          <w:sz w:val="22"/>
          <w:szCs w:val="22"/>
        </w:rPr>
        <w:t xml:space="preserve">Comput. Mater. Sci.</w:t>
      </w:r>
      <w:r>
        <w:rPr>
          <w:rFonts w:ascii="Arial" w:cs="Arial" w:eastAsia="Arial" w:hAnsi="Arial"/>
          <w:b w:val="false"/>
          <w:bCs w:val="false"/>
          <w:i w:val="false"/>
          <w:iCs w:val="false"/>
          <w:sz w:val="22"/>
          <w:szCs w:val="22"/>
        </w:rPr>
        <w:t xml:space="preserve"> </w:t>
      </w:r>
      <w:r>
        <w:rPr>
          <w:rFonts w:ascii="Arial" w:cs="Arial" w:eastAsia="Arial" w:hAnsi="Arial"/>
          <w:b/>
          <w:bCs/>
          <w:i w:val="false"/>
          <w:iCs w:val="false"/>
          <w:sz w:val="22"/>
          <w:szCs w:val="22"/>
        </w:rPr>
        <w:t xml:space="preserve">198</w:t>
      </w:r>
      <w:r>
        <w:rPr>
          <w:rFonts w:ascii="Arial" w:cs="Arial" w:eastAsia="Arial" w:hAnsi="Arial"/>
          <w:b w:val="false"/>
          <w:bCs w:val="false"/>
          <w:i w:val="false"/>
          <w:iCs w:val="false"/>
          <w:sz w:val="22"/>
          <w:szCs w:val="22"/>
        </w:rPr>
        <w:t xml:space="preserve">, 110714 (2021).</w:t>
      </w:r>
    </w:p>
    <w:p>
      <w:pPr>
        <w:spacing w:after="60" w:line="240" w:lineRule="auto"/>
        <w:jc w:val="left"/>
      </w:pPr>
      <w:r>
        <w:rPr>
          <w:rFonts w:ascii="Arial" w:cs="Arial" w:eastAsia="Arial" w:hAnsi="Arial"/>
          <w:b w:val="false"/>
          <w:bCs w:val="false"/>
          <w:i w:val="false"/>
          <w:iCs w:val="false"/>
          <w:sz w:val="22"/>
          <w:szCs w:val="22"/>
        </w:rPr>
        <w:t xml:space="preserve">45. Shukla, R. et al. Structural manipulation and tailoring of dielectric properties in SrTi</w:t>
      </w:r>
      <w:r>
        <w:rPr>
          <w:rFonts w:ascii="Arial" w:cs="Arial" w:eastAsia="Arial" w:hAnsi="Arial"/>
          <w:b w:val="false"/>
          <w:bCs w:val="false"/>
          <w:i w:val="false"/>
          <w:iCs w:val="false"/>
          <w:sz w:val="22"/>
          <w:szCs w:val="22"/>
          <w:vertAlign w:val="subscript"/>
        </w:rPr>
        <w:t xml:space="preserve">1−x</w:t>
      </w:r>
      <w:r>
        <w:rPr>
          <w:rFonts w:ascii="Arial" w:cs="Arial" w:eastAsia="Arial" w:hAnsi="Arial"/>
          <w:b w:val="false"/>
          <w:bCs w:val="false"/>
          <w:i w:val="false"/>
          <w:iCs w:val="false"/>
          <w:sz w:val="22"/>
          <w:szCs w:val="22"/>
        </w:rPr>
        <w:t xml:space="preserve">Fe</w:t>
      </w:r>
      <w:r>
        <w:rPr>
          <w:rFonts w:ascii="Arial" w:cs="Arial" w:eastAsia="Arial" w:hAnsi="Arial"/>
          <w:b w:val="false"/>
          <w:bCs w:val="false"/>
          <w:i w:val="false"/>
          <w:iCs w:val="false"/>
          <w:sz w:val="22"/>
          <w:szCs w:val="22"/>
          <w:vertAlign w:val="subscript"/>
        </w:rPr>
        <w:t xml:space="preserve">x</w:t>
      </w:r>
      <w:r>
        <w:rPr>
          <w:rFonts w:ascii="Arial" w:cs="Arial" w:eastAsia="Arial" w:hAnsi="Arial"/>
          <w:b w:val="false"/>
          <w:bCs w:val="false"/>
          <w:i w:val="false"/>
          <w:iCs w:val="false"/>
          <w:sz w:val="22"/>
          <w:szCs w:val="22"/>
        </w:rPr>
        <w:t xml:space="preserve">Ta</w:t>
      </w:r>
      <w:r>
        <w:rPr>
          <w:rFonts w:ascii="Arial" w:cs="Arial" w:eastAsia="Arial" w:hAnsi="Arial"/>
          <w:b w:val="false"/>
          <w:bCs w:val="false"/>
          <w:i w:val="false"/>
          <w:iCs w:val="false"/>
          <w:sz w:val="22"/>
          <w:szCs w:val="22"/>
          <w:vertAlign w:val="subscript"/>
        </w:rPr>
        <w:t xml:space="preserve">x</w:t>
      </w:r>
      <w:r>
        <w:rPr>
          <w:rFonts w:ascii="Arial" w:cs="Arial" w:eastAsia="Arial" w:hAnsi="Arial"/>
          <w:b w:val="false"/>
          <w:bCs w:val="false"/>
          <w:i w:val="false"/>
          <w:iCs w:val="false"/>
          <w:sz w:val="22"/>
          <w:szCs w:val="22"/>
        </w:rPr>
        <w:t xml:space="preserve">O</w:t>
      </w:r>
      <w:r>
        <w:rPr>
          <w:rFonts w:ascii="Arial" w:cs="Arial" w:eastAsia="Arial" w:hAnsi="Arial"/>
          <w:b w:val="false"/>
          <w:bCs w:val="false"/>
          <w:i w:val="false"/>
          <w:iCs w:val="false"/>
          <w:sz w:val="22"/>
          <w:szCs w:val="22"/>
          <w:vertAlign w:val="subscript"/>
        </w:rPr>
        <w:t xml:space="preserve">3</w:t>
      </w:r>
      <w:r>
        <w:rPr>
          <w:rFonts w:ascii="Arial" w:cs="Arial" w:eastAsia="Arial" w:hAnsi="Arial"/>
          <w:b w:val="false"/>
          <w:bCs w:val="false"/>
          <w:i w:val="false"/>
          <w:iCs w:val="false"/>
          <w:sz w:val="22"/>
          <w:szCs w:val="22"/>
        </w:rPr>
        <w:t xml:space="preserve"> perovskites: design of new lead-free relaxors. </w:t>
      </w:r>
      <w:r>
        <w:rPr>
          <w:rFonts w:ascii="Arial" w:cs="Arial" w:eastAsia="Arial" w:hAnsi="Arial"/>
          <w:b w:val="false"/>
          <w:bCs w:val="false"/>
          <w:i/>
          <w:iCs/>
          <w:sz w:val="22"/>
          <w:szCs w:val="22"/>
        </w:rPr>
        <w:t xml:space="preserve">Sci. Rep.</w:t>
      </w:r>
      <w:r>
        <w:rPr>
          <w:rFonts w:ascii="Arial" w:cs="Arial" w:eastAsia="Arial" w:hAnsi="Arial"/>
          <w:b w:val="false"/>
          <w:bCs w:val="false"/>
          <w:i w:val="false"/>
          <w:iCs w:val="false"/>
          <w:sz w:val="22"/>
          <w:szCs w:val="22"/>
        </w:rPr>
        <w:t xml:space="preserve"> </w:t>
      </w:r>
      <w:r>
        <w:rPr>
          <w:rFonts w:ascii="Arial" w:cs="Arial" w:eastAsia="Arial" w:hAnsi="Arial"/>
          <w:b/>
          <w:bCs/>
          <w:i w:val="false"/>
          <w:iCs w:val="false"/>
          <w:sz w:val="22"/>
          <w:szCs w:val="22"/>
        </w:rPr>
        <w:t xml:space="preserve">6</w:t>
      </w:r>
      <w:r>
        <w:rPr>
          <w:rFonts w:ascii="Arial" w:cs="Arial" w:eastAsia="Arial" w:hAnsi="Arial"/>
          <w:b w:val="false"/>
          <w:bCs w:val="false"/>
          <w:i w:val="false"/>
          <w:iCs w:val="false"/>
          <w:sz w:val="22"/>
          <w:szCs w:val="22"/>
        </w:rPr>
        <w:t xml:space="preserve">, 31597 (2016).</w:t>
      </w:r>
    </w:p>
    <w:p>
      <w:pPr>
        <w:spacing w:after="60" w:line="240" w:lineRule="auto"/>
        <w:jc w:val="left"/>
      </w:pPr>
      <w:r>
        <w:rPr>
          <w:rFonts w:ascii="Arial" w:cs="Arial" w:eastAsia="Arial" w:hAnsi="Arial"/>
          <w:b w:val="false"/>
          <w:bCs w:val="false"/>
          <w:i w:val="false"/>
          <w:iCs w:val="false"/>
          <w:sz w:val="22"/>
          <w:szCs w:val="22"/>
        </w:rPr>
        <w:t xml:space="preserve">46. Goldschmidt, V. M. Die Gesetze der Krystallochemie. </w:t>
      </w:r>
      <w:r>
        <w:rPr>
          <w:rFonts w:ascii="Arial" w:cs="Arial" w:eastAsia="Arial" w:hAnsi="Arial"/>
          <w:b w:val="false"/>
          <w:bCs w:val="false"/>
          <w:i/>
          <w:iCs/>
          <w:sz w:val="22"/>
          <w:szCs w:val="22"/>
        </w:rPr>
        <w:t xml:space="preserve">Naturwissenschaften</w:t>
      </w:r>
      <w:r>
        <w:rPr>
          <w:rFonts w:ascii="Arial" w:cs="Arial" w:eastAsia="Arial" w:hAnsi="Arial"/>
          <w:b w:val="false"/>
          <w:bCs w:val="false"/>
          <w:i w:val="false"/>
          <w:iCs w:val="false"/>
          <w:sz w:val="22"/>
          <w:szCs w:val="22"/>
        </w:rPr>
        <w:t xml:space="preserve"> </w:t>
      </w:r>
      <w:r>
        <w:rPr>
          <w:rFonts w:ascii="Arial" w:cs="Arial" w:eastAsia="Arial" w:hAnsi="Arial"/>
          <w:b/>
          <w:bCs/>
          <w:i w:val="false"/>
          <w:iCs w:val="false"/>
          <w:sz w:val="22"/>
          <w:szCs w:val="22"/>
        </w:rPr>
        <w:t xml:space="preserve">14</w:t>
      </w:r>
      <w:r>
        <w:rPr>
          <w:rFonts w:ascii="Arial" w:cs="Arial" w:eastAsia="Arial" w:hAnsi="Arial"/>
          <w:b w:val="false"/>
          <w:bCs w:val="false"/>
          <w:i w:val="false"/>
          <w:iCs w:val="false"/>
          <w:sz w:val="22"/>
          <w:szCs w:val="22"/>
        </w:rPr>
        <w:t xml:space="preserve">, 477–485 (1926).</w:t>
      </w:r>
    </w:p>
    <w:p>
      <w:pPr>
        <w:spacing w:after="60" w:line="240" w:lineRule="auto"/>
        <w:jc w:val="left"/>
      </w:pPr>
      <w:r>
        <w:rPr>
          <w:rFonts w:ascii="Arial" w:cs="Arial" w:eastAsia="Arial" w:hAnsi="Arial"/>
          <w:b w:val="false"/>
          <w:bCs w:val="false"/>
          <w:i w:val="false"/>
          <w:iCs w:val="false"/>
          <w:sz w:val="22"/>
          <w:szCs w:val="22"/>
        </w:rPr>
        <w:t xml:space="preserve">47. Yamada, I., Takamatsu, A. &amp; Ikeno, H. Complementary evaluation of structure stability of perovskite oxides using bond-valence and density-functional-theory calculations. </w:t>
      </w:r>
      <w:r>
        <w:rPr>
          <w:rFonts w:ascii="Arial" w:cs="Arial" w:eastAsia="Arial" w:hAnsi="Arial"/>
          <w:b w:val="false"/>
          <w:bCs w:val="false"/>
          <w:i/>
          <w:iCs/>
          <w:sz w:val="22"/>
          <w:szCs w:val="22"/>
        </w:rPr>
        <w:t xml:space="preserve">Sci. Technol. Adv. Mater.</w:t>
      </w:r>
      <w:r>
        <w:rPr>
          <w:rFonts w:ascii="Arial" w:cs="Arial" w:eastAsia="Arial" w:hAnsi="Arial"/>
          <w:b w:val="false"/>
          <w:bCs w:val="false"/>
          <w:i w:val="false"/>
          <w:iCs w:val="false"/>
          <w:sz w:val="22"/>
          <w:szCs w:val="22"/>
        </w:rPr>
        <w:t xml:space="preserve"> </w:t>
      </w:r>
      <w:r>
        <w:rPr>
          <w:rFonts w:ascii="Arial" w:cs="Arial" w:eastAsia="Arial" w:hAnsi="Arial"/>
          <w:b/>
          <w:bCs/>
          <w:i w:val="false"/>
          <w:iCs w:val="false"/>
          <w:sz w:val="22"/>
          <w:szCs w:val="22"/>
        </w:rPr>
        <w:t xml:space="preserve">19</w:t>
      </w:r>
      <w:r>
        <w:rPr>
          <w:rFonts w:ascii="Arial" w:cs="Arial" w:eastAsia="Arial" w:hAnsi="Arial"/>
          <w:b w:val="false"/>
          <w:bCs w:val="false"/>
          <w:i w:val="false"/>
          <w:iCs w:val="false"/>
          <w:sz w:val="22"/>
          <w:szCs w:val="22"/>
        </w:rPr>
        <w:t xml:space="preserve">, 101–107 (2018).</w:t>
      </w:r>
    </w:p>
    <w:p>
      <w:pPr>
        <w:spacing w:after="60" w:line="240" w:lineRule="auto"/>
        <w:jc w:val="left"/>
      </w:pPr>
      <w:r>
        <w:rPr>
          <w:rFonts w:ascii="Arial" w:cs="Arial" w:eastAsia="Arial" w:hAnsi="Arial"/>
          <w:b w:val="false"/>
          <w:bCs w:val="false"/>
          <w:i w:val="false"/>
          <w:iCs w:val="false"/>
          <w:sz w:val="22"/>
          <w:szCs w:val="22"/>
        </w:rPr>
        <w:t xml:space="preserve">48. Chen, T. &amp; Guestrin, C. XGBoost: a scalable tree boosting system. In </w:t>
      </w:r>
      <w:r>
        <w:rPr>
          <w:rFonts w:ascii="Arial" w:cs="Arial" w:eastAsia="Arial" w:hAnsi="Arial"/>
          <w:b w:val="false"/>
          <w:bCs w:val="false"/>
          <w:i/>
          <w:iCs/>
          <w:sz w:val="22"/>
          <w:szCs w:val="22"/>
        </w:rPr>
        <w:t xml:space="preserve">Proc. 22nd ACM SIGKDD International Conference on Knowledge Discovery and Data Mining</w:t>
      </w:r>
      <w:r>
        <w:rPr>
          <w:rFonts w:ascii="Arial" w:cs="Arial" w:eastAsia="Arial" w:hAnsi="Arial"/>
          <w:b w:val="false"/>
          <w:bCs w:val="false"/>
          <w:i w:val="false"/>
          <w:iCs w:val="false"/>
          <w:sz w:val="22"/>
          <w:szCs w:val="22"/>
        </w:rPr>
        <w:t xml:space="preserve"> 785–794 (ACM, 2016).</w:t>
      </w:r>
    </w:p>
    <w:p>
      <w:pPr>
        <w:spacing w:after="60" w:line="240" w:lineRule="auto"/>
        <w:jc w:val="left"/>
      </w:pPr>
      <w:r>
        <w:rPr>
          <w:rFonts w:ascii="Arial" w:cs="Arial" w:eastAsia="Arial" w:hAnsi="Arial"/>
          <w:b w:val="false"/>
          <w:bCs w:val="false"/>
          <w:i w:val="false"/>
          <w:iCs w:val="false"/>
          <w:sz w:val="22"/>
          <w:szCs w:val="22"/>
        </w:rPr>
        <w:t xml:space="preserve">49. Prokhorenkova, L., Gusev, G., Vorobev, A., Dorogush, A. V. &amp; Gulin, A. CatBoost: unbiased boosting with categorical features. In </w:t>
      </w:r>
      <w:r>
        <w:rPr>
          <w:rFonts w:ascii="Arial" w:cs="Arial" w:eastAsia="Arial" w:hAnsi="Arial"/>
          <w:b w:val="false"/>
          <w:bCs w:val="false"/>
          <w:i/>
          <w:iCs/>
          <w:sz w:val="22"/>
          <w:szCs w:val="22"/>
        </w:rPr>
        <w:t xml:space="preserve">Advances in Neural Information Processing Systems</w:t>
      </w:r>
      <w:r>
        <w:rPr>
          <w:rFonts w:ascii="Arial" w:cs="Arial" w:eastAsia="Arial" w:hAnsi="Arial"/>
          <w:b w:val="false"/>
          <w:bCs w:val="false"/>
          <w:i w:val="false"/>
          <w:iCs w:val="false"/>
          <w:sz w:val="22"/>
          <w:szCs w:val="22"/>
        </w:rPr>
        <w:t xml:space="preserve"> </w:t>
      </w:r>
      <w:r>
        <w:rPr>
          <w:rFonts w:ascii="Arial" w:cs="Arial" w:eastAsia="Arial" w:hAnsi="Arial"/>
          <w:b/>
          <w:bCs/>
          <w:i w:val="false"/>
          <w:iCs w:val="false"/>
          <w:sz w:val="22"/>
          <w:szCs w:val="22"/>
        </w:rPr>
        <w:t xml:space="preserve">31</w:t>
      </w:r>
      <w:r>
        <w:rPr>
          <w:rFonts w:ascii="Arial" w:cs="Arial" w:eastAsia="Arial" w:hAnsi="Arial"/>
          <w:b w:val="false"/>
          <w:bCs w:val="false"/>
          <w:i w:val="false"/>
          <w:iCs w:val="false"/>
          <w:sz w:val="22"/>
          <w:szCs w:val="22"/>
        </w:rPr>
        <w:t xml:space="preserve"> (2018).</w:t>
      </w:r>
    </w:p>
    <w:p>
      <w:pPr>
        <w:spacing w:after="60" w:line="240" w:lineRule="auto"/>
        <w:jc w:val="left"/>
      </w:pPr>
      <w:r>
        <w:rPr>
          <w:rFonts w:ascii="Arial" w:cs="Arial" w:eastAsia="Arial" w:hAnsi="Arial"/>
          <w:b w:val="false"/>
          <w:bCs w:val="false"/>
          <w:i w:val="false"/>
          <w:iCs w:val="false"/>
          <w:sz w:val="22"/>
          <w:szCs w:val="22"/>
        </w:rPr>
        <w:t xml:space="preserve">50. Segal, N., Netanyahu, A., Greenman, K. P., Agrawal, P. &amp; Gómez-Bombarelli, R. Known unknowns: out-of-distribution property prediction in materials and molecules. </w:t>
      </w:r>
      <w:r>
        <w:rPr>
          <w:rFonts w:ascii="Arial" w:cs="Arial" w:eastAsia="Arial" w:hAnsi="Arial"/>
          <w:b w:val="false"/>
          <w:bCs w:val="false"/>
          <w:i/>
          <w:iCs/>
          <w:sz w:val="22"/>
          <w:szCs w:val="22"/>
        </w:rPr>
        <w:t xml:space="preserve">npj Comput. Mater.</w:t>
      </w:r>
      <w:r>
        <w:rPr>
          <w:rFonts w:ascii="Arial" w:cs="Arial" w:eastAsia="Arial" w:hAnsi="Arial"/>
          <w:b w:val="false"/>
          <w:bCs w:val="false"/>
          <w:i w:val="false"/>
          <w:iCs w:val="false"/>
          <w:sz w:val="22"/>
          <w:szCs w:val="22"/>
        </w:rPr>
        <w:t xml:space="preserve"> </w:t>
      </w:r>
      <w:r>
        <w:rPr>
          <w:rFonts w:ascii="Arial" w:cs="Arial" w:eastAsia="Arial" w:hAnsi="Arial"/>
          <w:b/>
          <w:bCs/>
          <w:i w:val="false"/>
          <w:iCs w:val="false"/>
          <w:sz w:val="22"/>
          <w:szCs w:val="22"/>
        </w:rPr>
        <w:t xml:space="preserve">11</w:t>
      </w:r>
      <w:r>
        <w:rPr>
          <w:rFonts w:ascii="Arial" w:cs="Arial" w:eastAsia="Arial" w:hAnsi="Arial"/>
          <w:b w:val="false"/>
          <w:bCs w:val="false"/>
          <w:i w:val="false"/>
          <w:iCs w:val="false"/>
          <w:sz w:val="22"/>
          <w:szCs w:val="22"/>
        </w:rPr>
        <w:t xml:space="preserve">, 345 (2025).</w:t>
      </w:r>
    </w:p>
    <w:p>
      <w:pPr>
        <w:spacing w:after="60" w:line="240" w:lineRule="auto"/>
        <w:jc w:val="left"/>
      </w:pPr>
      <w:r>
        <w:rPr>
          <w:rFonts w:ascii="Arial" w:cs="Arial" w:eastAsia="Arial" w:hAnsi="Arial"/>
          <w:b w:val="false"/>
          <w:bCs w:val="false"/>
          <w:i w:val="false"/>
          <w:iCs w:val="false"/>
          <w:sz w:val="22"/>
          <w:szCs w:val="22"/>
        </w:rPr>
        <w:t xml:space="preserve">51. Panapitiya, G. &amp; Saldanha, E. Outlier-based domain of applicability identification for materials property prediction models. Preprint at https://arxiv.org/abs/2302.06454 (2023).</w:t>
      </w:r>
    </w:p>
    <w:p>
      <w:pPr>
        <w:pStyle w:val="Heading1"/>
        <w:spacing w:after="240" w:before="360" w:line="480" w:lineRule="auto"/>
      </w:pPr>
      <w:r>
        <w:rPr>
          <w:rFonts w:ascii="Arial" w:cs="Arial" w:eastAsia="Arial" w:hAnsi="Arial"/>
          <w:b/>
          <w:bCs/>
          <w:color w:val="000000"/>
          <w:sz w:val="28"/>
          <w:szCs w:val="28"/>
        </w:rPr>
        <w:t xml:space="preserve">Acknowledgements</w:t>
      </w:r>
    </w:p>
    <w:p>
      <w:pPr>
        <w:spacing w:after="0" w:line="480" w:lineRule="auto"/>
        <w:jc w:val="left"/>
      </w:pPr>
      <w:r>
        <w:rPr>
          <w:rFonts w:ascii="Arial" w:cs="Arial" w:eastAsia="Arial" w:hAnsi="Arial"/>
          <w:i/>
          <w:iCs/>
          <w:sz w:val="22"/>
          <w:szCs w:val="22"/>
        </w:rPr>
        <w:t xml:space="preserve">The authors acknowledge [funding source 1] (grant [###]) and [funding source 2] (grant [###]) for financial support. Computational resources were provided by [computing facility]. We thank [colleagues, if any, for intellectual input not warranting authorship].</w:t>
      </w:r>
    </w:p>
    <w:p>
      <w:pPr>
        <w:pStyle w:val="Heading1"/>
        <w:spacing w:after="240" w:before="360" w:line="480" w:lineRule="auto"/>
      </w:pPr>
      <w:r>
        <w:rPr>
          <w:rFonts w:ascii="Arial" w:cs="Arial" w:eastAsia="Arial" w:hAnsi="Arial"/>
          <w:b/>
          <w:bCs/>
          <w:color w:val="000000"/>
          <w:sz w:val="28"/>
          <w:szCs w:val="28"/>
        </w:rPr>
        <w:t xml:space="preserve">Author contributions</w:t>
      </w:r>
    </w:p>
    <w:p>
      <w:pPr>
        <w:spacing w:after="0" w:line="480" w:lineRule="auto"/>
        <w:jc w:val="left"/>
      </w:pPr>
      <w:r>
        <w:rPr>
          <w:rFonts w:ascii="Arial" w:cs="Arial" w:eastAsia="Arial" w:hAnsi="Arial"/>
          <w:i/>
          <w:iCs/>
          <w:sz w:val="22"/>
          <w:szCs w:val="22"/>
        </w:rPr>
        <w:t xml:space="preserve">[A.B.] conceived the project, designed the PCNN architecture, performed model training, cross-validation, applicability-domain analysis and inverse design, and wrote the manuscript. [C.D.] curated the dataset and the feature-engineering pipeline. [E.F.] supervised the work and contributed to interpretation. All authors discussed the results and approved the final manuscript. (CRediT taxonomy: insert specific role assignments — Conceptualization, Methodology, Software, Investigation, Formal analysis, Writing — original draft, Writing — review and editing, Visualization, Supervision, Funding acquisition.)</w:t>
      </w:r>
    </w:p>
    <w:p>
      <w:pPr>
        <w:pStyle w:val="Heading1"/>
        <w:spacing w:after="240" w:before="360" w:line="480" w:lineRule="auto"/>
      </w:pPr>
      <w:r>
        <w:rPr>
          <w:rFonts w:ascii="Arial" w:cs="Arial" w:eastAsia="Arial" w:hAnsi="Arial"/>
          <w:b/>
          <w:bCs/>
          <w:color w:val="000000"/>
          <w:sz w:val="28"/>
          <w:szCs w:val="28"/>
        </w:rPr>
        <w:t xml:space="preserve">Competing interests</w:t>
      </w:r>
    </w:p>
    <w:p>
      <w:pPr>
        <w:spacing w:after="0" w:line="480" w:lineRule="auto"/>
        <w:jc w:val="left"/>
      </w:pPr>
      <w:r>
        <w:rPr>
          <w:rFonts w:ascii="Arial" w:cs="Arial" w:eastAsia="Arial" w:hAnsi="Arial"/>
          <w:sz w:val="22"/>
          <w:szCs w:val="22"/>
        </w:rPr>
        <w:t xml:space="preserve">The authors declare no competing interests.</w:t>
      </w:r>
    </w:p>
    <w:p>
      <w:pPr>
        <w:pStyle w:val="Heading1"/>
        <w:spacing w:after="240" w:before="360" w:line="480" w:lineRule="auto"/>
      </w:pPr>
      <w:r>
        <w:rPr>
          <w:rFonts w:ascii="Arial" w:cs="Arial" w:eastAsia="Arial" w:hAnsi="Arial"/>
          <w:b/>
          <w:bCs/>
          <w:color w:val="000000"/>
          <w:sz w:val="28"/>
          <w:szCs w:val="28"/>
        </w:rPr>
        <w:t xml:space="preserve">Materials &amp; Correspondence</w:t>
      </w:r>
    </w:p>
    <w:p>
      <w:pPr>
        <w:spacing w:after="0" w:line="480" w:lineRule="auto"/>
        <w:jc w:val="left"/>
      </w:pPr>
      <w:r>
        <w:rPr>
          <w:rFonts w:ascii="Arial" w:cs="Arial" w:eastAsia="Arial" w:hAnsi="Arial"/>
          <w:i/>
          <w:iCs/>
          <w:sz w:val="22"/>
          <w:szCs w:val="22"/>
        </w:rPr>
        <w:t xml:space="preserve">Correspondence and material requests should be addressed to [Corresponding Author Name] ([corresponding.author@institution.tld]).</w:t>
      </w:r>
    </w:p>
    <w:sectPr>
      <w:footerReference w:type="default" r:id="rId20"/>
      <w:type w:val="continuous"/>
      <w:pgSz w:w="12240" w:h="15840" w:orient="portrait"/>
      <w:pgMar w:top="1296" w:right="1296" w:bottom="1296" w:left="1296"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fldChar w:fldCharType="begin"/>
      <w:instrText xml:space="preserve">PAGE</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fldChar w:fldCharType="begin"/>
      <w:instrText xml:space="preserve">PAGE</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fldChar w:fldCharType="begin"/>
      <w:instrText xml:space="preserve">PAGE</w:instrText>
      <w:fldChar w:fldCharType="separate"/>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fldChar w:fldCharType="begin"/>
      <w:instrText xml:space="preserve">PAGE</w:instrText>
      <w:fldChar w:fldCharType="separate"/>
      <w:fldChar w:fldCharType="end"/>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fldChar w:fldCharType="begin"/>
      <w:instrText xml:space="preserve">PAGE</w:instrText>
      <w:fldChar w:fldCharType="separate"/>
      <w:fldChar w:fldCharType="end"/>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fldChar w:fldCharType="begin"/>
      <w:instrText xml:space="preserve">PAGE</w:instrText>
      <w:fldChar w:fldCharType="separate"/>
      <w:fldChar w:fldCharType="end"/>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fldChar w:fldCharType="begin"/>
      <w:instrText xml:space="preserve">PAGE</w:instrText>
      <w:fldChar w:fldCharType="separate"/>
      <w:fldChar w:fldCharType="end"/>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fldChar w:fldCharType="begin"/>
      <w:instrText xml:space="preserve">PAGE</w:instrText>
      <w:fldChar w:fldCharType="separate"/>
      <w:fldChar w:fldCharType="end"/>
    </w: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fldChar w:fldCharType="begin"/>
      <w:instrText xml:space="preserve">PAGE</w:instrText>
      <w:fldChar w:fldCharType="separate"/>
      <w:fldChar w:fldCharType="end"/>
    </w:r>
  </w:p>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lang w:val="en-US"/>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oter" Target="footer4.xml"/><Relationship Id="rId11" Type="http://schemas.openxmlformats.org/officeDocument/2006/relationships/footer" Target="footer5.xml"/><Relationship Id="rId12" Type="http://schemas.openxmlformats.org/officeDocument/2006/relationships/footer" Target="footer6.xml"/><Relationship Id="rId13" Type="http://schemas.openxmlformats.org/officeDocument/2006/relationships/footer" Target="footer7.xml"/><Relationship Id="rId14" Type="http://schemas.openxmlformats.org/officeDocument/2006/relationships/footer" Target="footer8.xml"/><Relationship Id="rId15" Type="http://schemas.openxmlformats.org/officeDocument/2006/relationships/footer" Target="footer9.xml"/><Relationship Id="rId16" Type="http://schemas.openxmlformats.org/officeDocument/2006/relationships/footer" Target="footer10.xml"/><Relationship Id="rId17" Type="http://schemas.openxmlformats.org/officeDocument/2006/relationships/footer" Target="footer11.xml"/><Relationship Id="rId18" Type="http://schemas.openxmlformats.org/officeDocument/2006/relationships/footer" Target="footer12.xml"/><Relationship Id="rId19" Type="http://schemas.openxmlformats.org/officeDocument/2006/relationships/footer" Target="footer13.xml"/><Relationship Id="rId20" Type="http://schemas.openxmlformats.org/officeDocument/2006/relationships/footer" Target="footer14.xml"/><Relationship Id="rId21" Type="http://schemas.openxmlformats.org/officeDocument/2006/relationships/image" Target="media/ae8952f122d8e70636387ed078ef645ac95faba4.png"/><Relationship Id="rId22" Type="http://schemas.openxmlformats.org/officeDocument/2006/relationships/image" Target="media/01b4bf5b385ca3369ca14ac29a0dd4739537e766.png"/><Relationship Id="rId23" Type="http://schemas.openxmlformats.org/officeDocument/2006/relationships/image" Target="media/5cda7953102159c5e92468df1c820b2038d0542b.png"/><Relationship Id="rId24" Type="http://schemas.openxmlformats.org/officeDocument/2006/relationships/image" Target="media/70ef8188732fa8d923ade84c9570efb3757b9edb.png"/><Relationship Id="rId25" Type="http://schemas.openxmlformats.org/officeDocument/2006/relationships/image" Target="media/b55964bd8409d71ad526b563a6b882b78cb379ba.png"/><Relationship Id="rId26" Type="http://schemas.openxmlformats.org/officeDocument/2006/relationships/image" Target="media/4ba7a03e49993f81f9694b6caf4903488750f4e0.png"/><Relationship Id="rId2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er9.xml.rels><?xml version="1.0" encoding="UTF-8"?><Relationships xmlns="http://schemas.openxmlformats.org/package/2006/relationships"/>
</file>

<file path=word/_rels/footer10.xml.rels><?xml version="1.0" encoding="UTF-8"?><Relationships xmlns="http://schemas.openxmlformats.org/package/2006/relationships"/>
</file>

<file path=word/_rels/footer11.xml.rels><?xml version="1.0" encoding="UTF-8"?><Relationships xmlns="http://schemas.openxmlformats.org/package/2006/relationships"/>
</file>

<file path=word/_rels/footer12.xml.rels><?xml version="1.0" encoding="UTF-8"?><Relationships xmlns="http://schemas.openxmlformats.org/package/2006/relationships"/>
</file>

<file path=word/_rels/footer13.xml.rels><?xml version="1.0" encoding="UTF-8"?><Relationships xmlns="http://schemas.openxmlformats.org/package/2006/relationships"/>
</file>

<file path=word/_rels/footer14.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PCNN ABO3 Manuscript</dc:title>
  <dc:creator>PCNN Authors</dc:creator>
  <dc:description>Manuscript draft, intended for Nature Communications</dc:description>
  <cp:lastModifiedBy>Un-named</cp:lastModifiedBy>
  <cp:revision>1</cp:revision>
  <dcterms:created xsi:type="dcterms:W3CDTF">2026-05-28T04:00:14.452Z</dcterms:created>
  <dcterms:modified xsi:type="dcterms:W3CDTF">2026-05-28T04:00:14.453Z</dcterms:modified>
</cp:coreProperties>
</file>

<file path=docProps/custom.xml><?xml version="1.0" encoding="utf-8"?>
<Properties xmlns="http://schemas.openxmlformats.org/officeDocument/2006/custom-properties" xmlns:vt="http://schemas.openxmlformats.org/officeDocument/2006/docPropsVTypes"/>
</file>