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Supplementary Information</w:t>
      </w:r>
    </w:p>
    <w:p>
      <w:pPr>
        <w:spacing w:after="240" w:before="120" w:line="360"/>
        <w:jc w:val="center"/>
      </w:pPr>
      <w:r>
        <w:rPr>
          <w:rFonts w:ascii="Arial" w:cs="Arial" w:eastAsia="Arial" w:hAnsi="Arial"/>
          <w:i/>
          <w:iCs/>
          <w:color w:val="000000"/>
          <w:sz w:val="26"/>
          <w:szCs w:val="26"/>
        </w:rPr>
        <w:t xml:space="preserve">Physics-constrained neural decomposition reveals an A-site chemistry hierarchy for soft-mode dielectric amplification in ABO₃ microwave ceramics</w:t>
      </w:r>
    </w:p>
    <w:p>
      <w:pPr>
        <w:spacing w:after="360"/>
        <w:jc w:val="center"/>
      </w:pPr>
      <w:r>
        <w:rPr>
          <w:rFonts w:ascii="Arial" w:cs="Arial" w:eastAsia="Arial" w:hAnsi="Arial"/>
          <w:sz w:val="22"/>
          <w:szCs w:val="22"/>
        </w:rPr>
        <w:t xml:space="preserve">[Author Name]¹*, [Author Name]¹, [Author Name]²</w:t>
      </w:r>
    </w:p>
    <w:p>
      <w:r>
        <w:br w:type="page"/>
      </w:r>
    </w:p>
    <w:p>
      <w:pPr>
        <w:pStyle w:val="Heading1"/>
        <w:spacing w:after="240" w:before="480" w:line="480" w:lineRule="auto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Contents</w:t>
      </w:r>
    </w:p>
    <w:p>
      <w:pPr>
        <w:spacing w:after="0" w:line="36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Supplementary Note 1: CM evaluation procedure (1,124 CM-computable compositions)</w:t>
      </w:r>
    </w:p>
    <w:p>
      <w:pPr>
        <w:spacing w:after="0" w:line="36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Supplementary Note 2: Theoretical foundations and regularisation of the physics-constrained decomposition</w:t>
      </w:r>
    </w:p>
    <w:p>
      <w:pPr>
        <w:spacing w:after="0" w:line="36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Supplementary Note 3: Model algorithms (PCNN training, conformal calibration, inverse design, applicability domain)</w:t>
      </w:r>
    </w:p>
    <w:p>
      <w:pPr>
        <w:spacing w:after="0" w:line="36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Supplementary Table 1: Hyperparameter search results (Optuna 100 trials)</w:t>
      </w:r>
    </w:p>
    <w:p>
      <w:pPr>
        <w:spacing w:after="0" w:line="36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Supplementary Table 2: Extended baseline comparison metrics</w:t>
      </w:r>
    </w:p>
    <w:p>
      <w:pPr>
        <w:spacing w:after="0" w:line="36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Supplementary Table 3: Top Pb-free virtual screening candidates</w:t>
      </w:r>
    </w:p>
    <w:p>
      <w:pPr>
        <w:spacing w:after="0" w:line="36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Supplementary Table 4: Signed-error and coverage by ε_r subset</w:t>
      </w:r>
    </w:p>
    <w:p>
      <w:pPr>
        <w:spacing w:after="0" w:line="36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Supplementary Table 5: Baseline model hyperparameters</w:t>
      </w:r>
    </w:p>
    <w:p>
      <w:pPr>
        <w:spacing w:after="0" w:line="36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Supplementary Table 6: PCNN per-layer architecture</w:t>
      </w:r>
    </w:p>
    <w:p>
      <w:pPr>
        <w:spacing w:after="0" w:line="36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Supplementary Figs. 1–23: Detailed diagnostics, ablations, and validation</w:t>
      </w:r>
    </w:p>
    <w:p>
      <w:pPr>
        <w:spacing w:after="0" w:line="36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Supplementary References: dataset source list (deposited with the dataset)</w:t>
      </w:r>
    </w:p>
    <w:p>
      <w:r>
        <w:br w:type="page"/>
      </w:r>
    </w:p>
    <w:p>
      <w:pPr>
        <w:pStyle w:val="Heading1"/>
        <w:spacing w:after="240" w:before="480" w:line="480" w:lineRule="auto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Supplementary Note 1 | Clausius–Mossotti evaluation procedure</w:t>
      </w:r>
    </w:p>
    <w:p>
      <w:pPr>
        <w:spacing w:after="0" w:line="36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The Clausius–Mossotti (CM) relation was evaluated on each ABO₃ composition by summing the Shannon-tabulated ionic polarizabilities of the constituent A-, B-, and oxygen ions, scaled by stoichiometric occupancy. The molar volume V_m was computed from the experimental unit-cell volume reported in each source where available, or from a Vegard-rule estimate using Shannon ionic radii where unavailable. Compositions for which one or more ionic species lacked a tabulated Shannon polarizability (e.g., uncommon oxidation states, transition metals in unusual coordination) were routed through the no-CM fallback network. Of the 1,304 compositions in the cleaned corpus, 1,124 admit a valid CM evaluation: 973 with an exact Shannon-polarizability CM and 151 double perovskites (A₂BB′O₆) evaluated under a virtual-crystal approximation. The remaining 180 compositions route through the no-CM fallback network. The CM baseline benchmark (Fig. 1, main text) is evaluated on all 1,124 CM-computable compositions, on which the parameter-free CM relation yields R² = −0.584 (MAPE 45.9%).</w:t>
      </w:r>
    </w:p>
    <w:p>
      <w:r>
        <w:br w:type="page"/>
      </w:r>
    </w:p>
    <w:p>
      <w:pPr>
        <w:pStyle w:val="Heading1"/>
        <w:spacing w:after="240" w:before="480" w:line="480" w:lineRule="auto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Supplementary Note 2 | Theoretical foundations and regularisation of the physics-constrained decomposition</w:t>
      </w:r>
    </w:p>
    <w:p>
      <w:pPr>
        <w:spacing w:after="240" w:line="36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PCNN expresses the static relative permittivity as an additive sum of four physically interpretable contributions, each mapped to a distinct polarisation mechanism in ABO₃ perovskites:</w:t>
      </w:r>
    </w:p>
    <w:p>
      <w:pPr>
        <w:tabs>
          <w:tab w:val="center" w:pos="4824"/>
          <w:tab w:val="right" w:pos="9648"/>
        </w:tabs>
        <w:spacing w:after="240" w:before="240" w:line="36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ε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= ε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CM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+ δ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LST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+ δ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tilt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+ δ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res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sz w:val="22"/>
          <w:szCs w:val="22"/>
        </w:rPr>
        <w:t xml:space="preserve">(S1)</w:t>
      </w:r>
    </w:p>
    <w:p>
      <w:pPr>
        <w:spacing w:after="240" w:line="36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where ε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CM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(eq. 1, main text) captures the electronic and static-ionic polarisability packed into the unit cell, is computed analytically from Shannon polarizabilities with no learnable parameters, and serves as a fixed, parameter-free physical anchor. The three neural correction branches account for the lattice-dynamical contributions the CM formalism omits.</w:t>
      </w:r>
    </w:p>
    <w:p>
      <w:pPr>
        <w:spacing w:after="240" w:line="36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Each correction branch carries a hard sign constraint matched to the direction of its physical effect, enforced architecturally through the output activation rather than through a soft loss penalty. The Lyddane–Sachs–Teller branch is non-negative,</w:t>
      </w:r>
    </w:p>
    <w:p>
      <w:pPr>
        <w:tabs>
          <w:tab w:val="center" w:pos="4824"/>
          <w:tab w:val="right" w:pos="9648"/>
        </w:tabs>
        <w:spacing w:after="240" w:before="240" w:line="36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δ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LST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= Softplus(h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LST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) ≥ 0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sz w:val="22"/>
          <w:szCs w:val="22"/>
        </w:rPr>
        <w:t xml:space="preserve">(S2)</w:t>
      </w:r>
    </w:p>
    <w:p>
      <w:pPr>
        <w:spacing w:after="240" w:line="36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because the soft-mode contribution to the static permittivity is an amplification above the high-frequency electronic ceiling — the LST relation ε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/ε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∞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= (ω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LO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/ω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TO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)² ≥ 1 (eq. 2, main text) implies that the lattice term can only raise ε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 The octahedral-tilt branch is non-positive,</w:t>
      </w:r>
    </w:p>
    <w:p>
      <w:pPr>
        <w:tabs>
          <w:tab w:val="center" w:pos="4824"/>
          <w:tab w:val="right" w:pos="9648"/>
        </w:tabs>
        <w:spacing w:after="240" w:before="240" w:line="36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δ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tilt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= −Softplus(h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tilt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) ≤ 0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sz w:val="22"/>
          <w:szCs w:val="22"/>
        </w:rPr>
        <w:t xml:space="preserve">(S3)</w:t>
      </w:r>
    </w:p>
    <w:p>
      <w:pPr>
        <w:spacing w:after="240" w:line="36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because cooperative tilting stiffens the polar soft mode and suppresses the dielectric response. The residual branch is bounded and gated,</w:t>
      </w:r>
    </w:p>
    <w:p>
      <w:pPr>
        <w:tabs>
          <w:tab w:val="center" w:pos="4824"/>
          <w:tab w:val="right" w:pos="9648"/>
        </w:tabs>
        <w:spacing w:after="240" w:before="240" w:line="36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δ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res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= σ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conf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· tanh(h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res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) · 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res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sz w:val="22"/>
          <w:szCs w:val="22"/>
        </w:rPr>
        <w:t xml:space="preserve">(S4)</w:t>
      </w:r>
    </w:p>
    <w:p>
      <w:pPr>
        <w:spacing w:after="240" w:line="36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where σ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conf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is a fixed physics-based confidence gate (eq. 9, main text) that suppresses the residual where the CM baseline is approximate or the structure is unstable, confining δ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res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to a small safety valve and preventing it from absorbing physics that should be attributed to the named LST or tilt branches.</w:t>
      </w:r>
    </w:p>
    <w:p>
      <w:pPr>
        <w:spacing w:after="240" w:line="36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This places the PCNN in the architecture-constrained family of physics-informed models, in which the physical sign of each mechanism is guaranteed by construction, rather than the loss-penalised family, in which it is only encouraged and can be violated. Imposing hard sign constraints preserves expressivity: sign-restricted (monotone) neural networks retain universal-approximation capacity, so each branch can represent any continuous mapping consistent with its physical sign.</w:t>
      </w:r>
    </w:p>
    <w:p>
      <w:pPr>
        <w:spacing w:after="240" w:line="36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data fidelity term convexly blends a log-domain and a standard mean-squared error (weight α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log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= 0.505 on the log term, which down-weights the leverage of the few very-high-permittivity compositions; eq. 11, main text), and three physics-motivated penalties regularise the attribution. The LST capacity penalty</w:t>
      </w:r>
    </w:p>
    <w:p>
      <w:pPr>
        <w:tabs>
          <w:tab w:val="center" w:pos="4824"/>
          <w:tab w:val="right" w:pos="9648"/>
        </w:tabs>
        <w:spacing w:after="240" w:before="240" w:line="36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LST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= ⟨ ReLU(δ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LST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− 5 ε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CM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)² ⟩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sz w:val="22"/>
          <w:szCs w:val="22"/>
        </w:rPr>
        <w:t xml:space="preserve">(S5)</w:t>
      </w:r>
    </w:p>
    <w:p>
      <w:pPr>
        <w:spacing w:after="240" w:line="36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is a fixed proxy for the Lyddane–Sachs–Teller capacity (ω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LO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/ω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TO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)² − 1, preventing the soft-mode branch from exceeding its physically admissible upper bound. The GII stability penalty</w:t>
      </w:r>
    </w:p>
    <w:p>
      <w:pPr>
        <w:tabs>
          <w:tab w:val="center" w:pos="4824"/>
          <w:tab w:val="right" w:pos="9648"/>
        </w:tabs>
        <w:spacing w:after="240" w:before="240" w:line="36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GII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= ⟨ ReLU(ε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CM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− ε̂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)² 𝕀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GII&lt;0.3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⟩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sz w:val="22"/>
          <w:szCs w:val="22"/>
        </w:rPr>
        <w:t xml:space="preserve">(S6)</w:t>
      </w:r>
    </w:p>
    <w:p>
      <w:pPr>
        <w:spacing w:after="240" w:line="36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penalises predictions below the electronic CM floor for compositions with a low global instability index (GII &lt; 0.3, structurally stable perovskites), encoding the expectation that stable, weakly anharmonic compositions retain at least their CM permittivity. The VCA consistency penalty</w:t>
      </w:r>
    </w:p>
    <w:p>
      <w:pPr>
        <w:tabs>
          <w:tab w:val="center" w:pos="4824"/>
          <w:tab w:val="right" w:pos="9648"/>
        </w:tabs>
        <w:spacing w:after="240" w:before="240" w:line="36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VCA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= ⟨ δ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res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² 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approx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⟩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sz w:val="22"/>
          <w:szCs w:val="22"/>
        </w:rPr>
        <w:t xml:space="preserve">(S7)</w:t>
      </w:r>
    </w:p>
    <w:p>
      <w:pPr>
        <w:spacing w:after="240" w:line="36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suppresses the residual branch where the CM baseline is virtual-crystal-approximated, preventing δ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res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from absorbing uncertainty that should remain attributed to the approximate baseline (c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approx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is the binary VCA flag of eq. 9, main text). Together these penalties make the four-way attribution identifiable while keeping every contribution within physically admissible bounds.</w:t>
      </w:r>
    </w:p>
    <w:p>
      <w:r>
        <w:br w:type="page"/>
      </w:r>
    </w:p>
    <w:p>
      <w:pPr>
        <w:pStyle w:val="Heading1"/>
        <w:spacing w:after="240" w:before="480" w:line="480" w:lineRule="auto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Supplementary Note 3 | Model algorithms</w:t>
      </w:r>
    </w:p>
    <w:p>
      <w:pPr>
        <w:spacing w:after="240" w:line="36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four core procedures of the framework are summarised below; full parameter values are given in Methods.</w:t>
      </w:r>
    </w:p>
    <w:p>
      <w:pPr>
        <w:spacing w:after="200" w:before="320" w:line="48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Algorithm S1 | PCNN forward pass and ensemble training</w:t>
      </w:r>
    </w:p>
    <w:p>
      <w:pPr>
        <w:spacing w:after="240" w:line="360" w:lineRule="auto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Inputs: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LST/tilt/residual feature partition (30/30/43); analytic CM baseline ε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CM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and CM-validity flag; regime indicators; measured ε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240" w:line="360" w:lineRule="auto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Procedure:</w:t>
      </w:r>
    </w:p>
    <w:p>
      <w:pPr>
        <w:spacing w:after="20" w:line="288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1. Shared trunk: 103 features → residual MLP → 192-dimensional representation t.</w:t>
      </w:r>
    </w:p>
    <w:p>
      <w:pPr>
        <w:spacing w:after="20" w:line="288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2. δ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LST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= regime_scale · Softplus(h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LST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(t, LST features))   (≥ 0).</w:t>
      </w:r>
    </w:p>
    <w:p>
      <w:pPr>
        <w:spacing w:after="20" w:line="288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3. δ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tilt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= −Softplus(h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tilt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(t, tilt features))   (≤ 0).</w:t>
      </w:r>
    </w:p>
    <w:p>
      <w:pPr>
        <w:spacing w:after="20" w:line="288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4. σ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conf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= sigmoid(β · [CM-approx, GII, phase])   (fixed gate);   δ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res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= σ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conf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· Tanh(h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res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(t, residual features, context)) · 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res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20" w:line="288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5. ε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= ε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CM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+ δ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LST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+ δ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tilt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+ δ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res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for CM-computable compositions; no-CM fallback MLP otherwise.</w:t>
      </w:r>
    </w:p>
    <w:p>
      <w:pPr>
        <w:spacing w:after="20" w:line="288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6. Optimise the eq. (9) loss with AdamW + cosine schedule, mixup and stochastic weight averaging; repeat for 5 independently seeded models.</w:t>
      </w:r>
    </w:p>
    <w:p>
      <w:pPr>
        <w:spacing w:after="240" w:line="360" w:lineRule="auto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Outputs: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5-seed ensemble (prediction = seed mean); per-composition decomposition (ε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CM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δ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LST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δ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tilt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δ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res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); ensemble standard deviation σ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ML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200" w:before="320" w:line="48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Algorithm S2 | Split conformal calibration</w:t>
      </w:r>
    </w:p>
    <w:p>
      <w:pPr>
        <w:spacing w:after="240" w:line="360" w:lineRule="auto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Inputs: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family-disjoint calibration set (n = 116) with ensemble predictions; nominal level 1 − α.</w:t>
      </w:r>
    </w:p>
    <w:p>
      <w:pPr>
        <w:spacing w:after="240" w:line="360" w:lineRule="auto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Procedure:</w:t>
      </w:r>
    </w:p>
    <w:p>
      <w:pPr>
        <w:spacing w:after="20" w:line="288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1. Nonconformity scores 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= |ε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r,i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− ε̂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r,i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|.</w:t>
      </w:r>
    </w:p>
    <w:p>
      <w:pPr>
        <w:spacing w:after="20" w:line="288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2. q̂(1−α) = the ⌈(n+1)(1−α)⌉/n empirical quantile of {s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}.</w:t>
      </w:r>
    </w:p>
    <w:p>
      <w:pPr>
        <w:spacing w:after="20" w:line="288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3. Prediction interval = [ε̂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− q̂, ε̂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+ q̂].</w:t>
      </w:r>
    </w:p>
    <w:p>
      <w:pPr>
        <w:spacing w:after="240" w:line="360" w:lineRule="auto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Outputs: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calibrated intervals (q̂₉₀ = 14.38 ε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units); coverage validated out of calibration over repeated disjoint calibration/coverage splits of the holdout (Methods).</w:t>
      </w:r>
    </w:p>
    <w:p>
      <w:pPr>
        <w:spacing w:after="200" w:before="320" w:line="48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Algorithm S3 | Physics-constrained genetic-algorithm inverse design</w:t>
      </w:r>
    </w:p>
    <w:p>
      <w:pPr>
        <w:spacing w:after="240" w:line="360" w:lineRule="auto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Inputs: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trained ensemble; A- and B-site composition simplices; hard validity constraints (charge balance |z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+ z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− 6| ≤ 0.1, Goldschmidt tolerance factor in [0.85, 1.05], d⁰ B-site fraction ≥ 0.5); fitness f = ε̂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− 0.5 σ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ML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240" w:line="360" w:lineRule="auto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Procedure:</w:t>
      </w:r>
    </w:p>
    <w:p>
      <w:pPr>
        <w:spacing w:after="20" w:line="288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1. Initialise a population of 100 physically valid compositions.</w:t>
      </w:r>
    </w:p>
    <w:p>
      <w:pPr>
        <w:spacing w:after="20" w:line="288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2. For 50 generations: tournament selection (k = 3), uniform crossover (rate 0.70), Gaussian composition mutation (rate 0.30, σ = 0.05), elitism (5), 5% random immigration.</w:t>
      </w:r>
    </w:p>
    <w:p>
      <w:pPr>
        <w:spacing w:after="20" w:line="288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3. Project each candidate to enforce charge balance; reject candidates that violate the validity constraints.</w:t>
      </w:r>
    </w:p>
    <w:p>
      <w:pPr>
        <w:spacing w:after="20" w:line="288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4. Evaluate fitness with the ensemble (≈ 5,000 forward evaluations per run).</w:t>
      </w:r>
    </w:p>
    <w:p>
      <w:pPr>
        <w:spacing w:after="240" w:line="360" w:lineRule="auto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Outputs: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per-run optimum with its 90% conformal interval; post-hoc applicability-domain and nearest-neighbour assessment of each candidate.</w:t>
      </w:r>
    </w:p>
    <w:p>
      <w:pPr>
        <w:spacing w:after="200" w:before="320" w:line="48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Algorithm S4 | Two-layer applicability domain</w:t>
      </w:r>
    </w:p>
    <w:p>
      <w:pPr>
        <w:spacing w:after="240" w:line="360" w:lineRule="auto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Inputs: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trained ensemble; standardised 103-feature inputs.</w:t>
      </w:r>
    </w:p>
    <w:p>
      <w:pPr>
        <w:spacing w:after="240" w:line="360" w:lineRule="auto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Procedure:</w:t>
      </w:r>
    </w:p>
    <w:p>
      <w:pPr>
        <w:spacing w:after="20" w:line="288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1. Physics gate: in-domain iff σ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conf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&lt; 0.35.</w:t>
      </w:r>
    </w:p>
    <w:p>
      <w:pPr>
        <w:spacing w:after="20" w:line="288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2. Density gate: Gaussian-kernel log-density on the standardised features exceeds the 10th percentile of the training distribution.</w:t>
      </w:r>
    </w:p>
    <w:p>
      <w:pPr>
        <w:spacing w:after="20" w:line="288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3. Applicability domain = intersection of the physics and density gates.</w:t>
      </w:r>
    </w:p>
    <w:p>
      <w:pPr>
        <w:spacing w:after="240" w:line="360" w:lineRule="auto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Outputs: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in-domain / out-of-domain label per composition; partitioned performance R²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in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versus R²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vertAlign w:val="subscript"/>
        </w:rPr>
        <w:t xml:space="preserve">out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r>
        <w:br w:type="page"/>
      </w:r>
    </w:p>
    <w:p>
      <w:pPr>
        <w:pStyle w:val="Heading1"/>
        <w:spacing w:after="240" w:before="480" w:line="480" w:lineRule="auto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Supplementary Table 1 | Hyperparameter search results</w:t>
      </w:r>
    </w:p>
    <w:p>
      <w:pPr>
        <w:spacing w:after="0" w:line="36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Optuna 100-trial search (TPE sampler) hyperparameters. Final reported values correspond to trial 97 of the search.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Trunk hidden units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384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Tuned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Trunk residual blocks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Tuned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LST branch hidden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96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Tuned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Tilt branch hidden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Tuned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Residual branch hidden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256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Tuned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Residual scale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44.9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Tuned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Dropout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0.167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Tuned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Hidden activation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SiLU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Normalisation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LayerNorm per branch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Optimiser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AdamW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Learning rate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1.107 × 10⁻³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Tuned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Weight decay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2.301 × 10⁻⁵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Tuned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Batch size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128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Tuned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Training epochs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Early stopping patience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Mixup α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0.025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Tuned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SWA start fraction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0.765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Tuned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SWA learning rate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2.513 × 10⁻⁵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Tuned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λ_LST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1.484 × 10⁻³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Tuned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λ_GII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0.030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Tuned (grid)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λ_VCA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4.470 × 10⁻²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Tuned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Log-loss α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0.505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Tuned</w:t>
            </w:r>
          </w:p>
        </w:tc>
      </w:tr>
    </w:tbl>
    <w:p>
      <w:r>
        <w:br w:type="page"/>
      </w:r>
    </w:p>
    <w:p>
      <w:pPr>
        <w:pStyle w:val="Heading1"/>
        <w:spacing w:after="240" w:before="480" w:line="480" w:lineRule="auto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Supplementary Table 2 | Baseline comparison: extended metrics</w:t>
      </w:r>
    </w:p>
    <w:p>
      <w:pPr>
        <w:spacing w:after="0" w:line="36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Stratified Family-GroupShuffleSplit cross-validation (n_train = 1,188, 5 folds) and held-out evaluation (n_holdout = 116) for seven baselines plus the PCNN. CV→Holdout gap indicates train-to-test stability; positive values mean the model improves on holdout (over-cautious CV); negative values indicate in-family memorisation.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080"/>
        <w:gridCol w:w="1664"/>
        <w:gridCol w:w="1664"/>
        <w:gridCol w:w="2080"/>
      </w:tblGrid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CV R² ± std</w:t>
            </w:r>
          </w:p>
        </w:tc>
        <w:tc>
          <w:tcPr>
            <w:tcW w:type="dxa" w:w="16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Holdout R²</w:t>
            </w:r>
          </w:p>
        </w:tc>
        <w:tc>
          <w:tcPr>
            <w:tcW w:type="dxa" w:w="16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Holdout MAE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CV→Holdout gap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CM-only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−0.862 ± 0.355</w:t>
            </w:r>
          </w:p>
        </w:tc>
        <w:tc>
          <w:tcPr>
            <w:tcW w:type="dxa" w:w="16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−0.492</w:t>
            </w:r>
          </w:p>
        </w:tc>
        <w:tc>
          <w:tcPr>
            <w:tcW w:type="dxa" w:w="16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26.59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+0.370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Ridge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0.721 ± 0.190</w:t>
            </w:r>
          </w:p>
        </w:tc>
        <w:tc>
          <w:tcPr>
            <w:tcW w:type="dxa" w:w="16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0.867</w:t>
            </w:r>
          </w:p>
        </w:tc>
        <w:tc>
          <w:tcPr>
            <w:tcW w:type="dxa" w:w="16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9.19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+0.146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0.901 ± 0.057</w:t>
            </w:r>
          </w:p>
        </w:tc>
        <w:tc>
          <w:tcPr>
            <w:tcW w:type="dxa" w:w="16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0.894</w:t>
            </w:r>
          </w:p>
        </w:tc>
        <w:tc>
          <w:tcPr>
            <w:tcW w:type="dxa" w:w="16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7.87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−0.007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XGBoost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0.928 ± 0.053</w:t>
            </w:r>
          </w:p>
        </w:tc>
        <w:tc>
          <w:tcPr>
            <w:tcW w:type="dxa" w:w="16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0.879</w:t>
            </w:r>
          </w:p>
        </w:tc>
        <w:tc>
          <w:tcPr>
            <w:tcW w:type="dxa" w:w="16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8.08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−0.049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CatBoost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0.930 ± 0.041</w:t>
            </w:r>
          </w:p>
        </w:tc>
        <w:tc>
          <w:tcPr>
            <w:tcW w:type="dxa" w:w="16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0.910</w:t>
            </w:r>
          </w:p>
        </w:tc>
        <w:tc>
          <w:tcPr>
            <w:tcW w:type="dxa" w:w="16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7.04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−0.020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BPNN (MLP)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0.914 ± 0.093</w:t>
            </w:r>
          </w:p>
        </w:tc>
        <w:tc>
          <w:tcPr>
            <w:tcW w:type="dxa" w:w="16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0.957</w:t>
            </w:r>
          </w:p>
        </w:tc>
        <w:tc>
          <w:tcPr>
            <w:tcW w:type="dxa" w:w="16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5.40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+0.043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PIRNN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0.863 ± 0.181</w:t>
            </w:r>
          </w:p>
        </w:tc>
        <w:tc>
          <w:tcPr>
            <w:tcW w:type="dxa" w:w="16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0.937</w:t>
            </w:r>
          </w:p>
        </w:tc>
        <w:tc>
          <w:tcPr>
            <w:tcW w:type="dxa" w:w="16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6.01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+0.074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PCNN (ours)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0.893 ± 0.043</w:t>
            </w:r>
          </w:p>
        </w:tc>
        <w:tc>
          <w:tcPr>
            <w:tcW w:type="dxa" w:w="16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0.941</w:t>
            </w:r>
          </w:p>
        </w:tc>
        <w:tc>
          <w:tcPr>
            <w:tcW w:type="dxa" w:w="16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5.77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+0.048</w:t>
            </w:r>
          </w:p>
        </w:tc>
      </w:tr>
    </w:tbl>
    <w:p>
      <w:r>
        <w:br w:type="page"/>
      </w:r>
    </w:p>
    <w:p>
      <w:pPr>
        <w:pStyle w:val="Heading1"/>
        <w:spacing w:after="240" w:before="480" w:line="480" w:lineRule="auto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Supplementary Table 3 | Top-20 Pb-free virtual screening candidates</w:t>
      </w:r>
    </w:p>
    <w:p>
      <w:pPr>
        <w:spacing w:after="0" w:line="36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Top candidates from uncertainty-aware virtual screening. Filter: predicted ε_r ≥ 80 AND 90% conformal lower bound ≥ 65. Conformal width: 28.75 ε_r units (q̂₉₀ = 14.38).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2"/>
        <w:gridCol w:w="2912"/>
        <w:gridCol w:w="1456"/>
        <w:gridCol w:w="1664"/>
        <w:gridCol w:w="1248"/>
        <w:gridCol w:w="1248"/>
      </w:tblGrid>
      <w:tr>
        <w:tc>
          <w:tcPr>
            <w:tcW w:type="dxa" w:w="8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Rank</w:t>
            </w:r>
          </w:p>
        </w:tc>
        <w:tc>
          <w:tcPr>
            <w:tcW w:type="dxa" w:w="29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Composition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Predicted ε_r</w:t>
            </w:r>
          </w:p>
        </w:tc>
        <w:tc>
          <w:tcPr>
            <w:tcW w:type="dxa" w:w="16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90% CI</w:t>
            </w:r>
          </w:p>
        </w:tc>
        <w:tc>
          <w:tcPr>
            <w:tcW w:type="dxa" w:w="12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δ_LST</w:t>
            </w:r>
          </w:p>
        </w:tc>
        <w:tc>
          <w:tcPr>
            <w:tcW w:type="dxa" w:w="12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Family</w:t>
            </w:r>
          </w:p>
        </w:tc>
      </w:tr>
      <w:tr>
        <w:tc>
          <w:tcPr>
            <w:tcW w:type="dxa" w:w="8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9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Sr₀.₈₅Ca₀.₁₅TiO₃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140.1</w:t>
            </w:r>
          </w:p>
        </w:tc>
        <w:tc>
          <w:tcPr>
            <w:tcW w:type="dxa" w:w="16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[126, 154]</w:t>
            </w:r>
          </w:p>
        </w:tc>
        <w:tc>
          <w:tcPr>
            <w:tcW w:type="dxa" w:w="12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98.7</w:t>
            </w:r>
          </w:p>
        </w:tc>
        <w:tc>
          <w:tcPr>
            <w:tcW w:type="dxa" w:w="12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Sr-Ca-Ti</w:t>
            </w:r>
          </w:p>
        </w:tc>
      </w:tr>
      <w:tr>
        <w:tc>
          <w:tcPr>
            <w:tcW w:type="dxa" w:w="8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9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Sr₀.₉Ca₀.₁TiO₃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140.1</w:t>
            </w:r>
          </w:p>
        </w:tc>
        <w:tc>
          <w:tcPr>
            <w:tcW w:type="dxa" w:w="16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[126, 154]</w:t>
            </w:r>
          </w:p>
        </w:tc>
        <w:tc>
          <w:tcPr>
            <w:tcW w:type="dxa" w:w="12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97.8</w:t>
            </w:r>
          </w:p>
        </w:tc>
        <w:tc>
          <w:tcPr>
            <w:tcW w:type="dxa" w:w="12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Sr-Ca-Ti</w:t>
            </w:r>
          </w:p>
        </w:tc>
      </w:tr>
      <w:tr>
        <w:tc>
          <w:tcPr>
            <w:tcW w:type="dxa" w:w="8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9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Sr₀.₉₅Ca₀.₀₅TiO₃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139.9</w:t>
            </w:r>
          </w:p>
        </w:tc>
        <w:tc>
          <w:tcPr>
            <w:tcW w:type="dxa" w:w="16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[126, 154]</w:t>
            </w:r>
          </w:p>
        </w:tc>
        <w:tc>
          <w:tcPr>
            <w:tcW w:type="dxa" w:w="12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96.7</w:t>
            </w:r>
          </w:p>
        </w:tc>
        <w:tc>
          <w:tcPr>
            <w:tcW w:type="dxa" w:w="12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Sr-Ca-Ti</w:t>
            </w:r>
          </w:p>
        </w:tc>
      </w:tr>
      <w:tr>
        <w:tc>
          <w:tcPr>
            <w:tcW w:type="dxa" w:w="8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9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Sr₀.₅Ca₀.₅TiO₃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138.4</w:t>
            </w:r>
          </w:p>
        </w:tc>
        <w:tc>
          <w:tcPr>
            <w:tcW w:type="dxa" w:w="16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[124, 153]</w:t>
            </w:r>
          </w:p>
        </w:tc>
        <w:tc>
          <w:tcPr>
            <w:tcW w:type="dxa" w:w="12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102.4</w:t>
            </w:r>
          </w:p>
        </w:tc>
        <w:tc>
          <w:tcPr>
            <w:tcW w:type="dxa" w:w="12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Sr-Ca-Ti</w:t>
            </w:r>
          </w:p>
        </w:tc>
      </w:tr>
      <w:tr>
        <w:tc>
          <w:tcPr>
            <w:tcW w:type="dxa" w:w="8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9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Ca₀.₉₅Sm₀.₀₅Zr₀.₂Ti₀.₈O₃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135.4</w:t>
            </w:r>
          </w:p>
        </w:tc>
        <w:tc>
          <w:tcPr>
            <w:tcW w:type="dxa" w:w="16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[121, 150]</w:t>
            </w:r>
          </w:p>
        </w:tc>
        <w:tc>
          <w:tcPr>
            <w:tcW w:type="dxa" w:w="12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104.9</w:t>
            </w:r>
          </w:p>
        </w:tc>
        <w:tc>
          <w:tcPr>
            <w:tcW w:type="dxa" w:w="12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Ca-Sm-Zr-Ti</w:t>
            </w:r>
          </w:p>
        </w:tc>
      </w:tr>
      <w:tr>
        <w:tc>
          <w:tcPr>
            <w:tcW w:type="dxa" w:w="8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9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Ca₀.₉₅Nd₀.₀₅Zr₀.₂Ti₀.₈O₃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135.4</w:t>
            </w:r>
          </w:p>
        </w:tc>
        <w:tc>
          <w:tcPr>
            <w:tcW w:type="dxa" w:w="16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[121, 150]</w:t>
            </w:r>
          </w:p>
        </w:tc>
        <w:tc>
          <w:tcPr>
            <w:tcW w:type="dxa" w:w="12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105.0</w:t>
            </w:r>
          </w:p>
        </w:tc>
        <w:tc>
          <w:tcPr>
            <w:tcW w:type="dxa" w:w="12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Ca-Nd-Zr-Ti</w:t>
            </w:r>
          </w:p>
        </w:tc>
      </w:tr>
      <w:tr>
        <w:tc>
          <w:tcPr>
            <w:tcW w:type="dxa" w:w="8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9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Sr₀.₈₂Ce₀.₁₈TiO₃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132.8</w:t>
            </w:r>
          </w:p>
        </w:tc>
        <w:tc>
          <w:tcPr>
            <w:tcW w:type="dxa" w:w="16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[118, 147]</w:t>
            </w:r>
          </w:p>
        </w:tc>
        <w:tc>
          <w:tcPr>
            <w:tcW w:type="dxa" w:w="12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82.7</w:t>
            </w:r>
          </w:p>
        </w:tc>
        <w:tc>
          <w:tcPr>
            <w:tcW w:type="dxa" w:w="12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Sr-Ce-Ti</w:t>
            </w:r>
          </w:p>
        </w:tc>
      </w:tr>
      <w:tr>
        <w:tc>
          <w:tcPr>
            <w:tcW w:type="dxa" w:w="8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9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La₀.₄Na₀.₆TiO₃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130.1</w:t>
            </w:r>
          </w:p>
        </w:tc>
        <w:tc>
          <w:tcPr>
            <w:tcW w:type="dxa" w:w="16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[116, 144]</w:t>
            </w:r>
          </w:p>
        </w:tc>
        <w:tc>
          <w:tcPr>
            <w:tcW w:type="dxa" w:w="12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111.0</w:t>
            </w:r>
          </w:p>
        </w:tc>
        <w:tc>
          <w:tcPr>
            <w:tcW w:type="dxa" w:w="12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La-Na-Ti</w:t>
            </w:r>
          </w:p>
        </w:tc>
      </w:tr>
      <w:tr>
        <w:tc>
          <w:tcPr>
            <w:tcW w:type="dxa" w:w="8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9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Ca₀.₆Li₀.₁₄Nd₀.₁₈Sm₀.₀₈TiO₃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129.7</w:t>
            </w:r>
          </w:p>
        </w:tc>
        <w:tc>
          <w:tcPr>
            <w:tcW w:type="dxa" w:w="16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[115, 144]</w:t>
            </w:r>
          </w:p>
        </w:tc>
        <w:tc>
          <w:tcPr>
            <w:tcW w:type="dxa" w:w="12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98.9</w:t>
            </w:r>
          </w:p>
        </w:tc>
        <w:tc>
          <w:tcPr>
            <w:tcW w:type="dxa" w:w="12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Ca-Li-Nd-Sm-Ti</w:t>
            </w:r>
          </w:p>
        </w:tc>
      </w:tr>
      <w:tr>
        <w:tc>
          <w:tcPr>
            <w:tcW w:type="dxa" w:w="8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9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Ca₀.₇₅Li₀.₀₆₂Sm₀.₁₈₈TiO₃</w:t>
            </w:r>
          </w:p>
        </w:tc>
        <w:tc>
          <w:tcPr>
            <w:tcW w:type="dxa" w:w="1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129.6</w:t>
            </w:r>
          </w:p>
        </w:tc>
        <w:tc>
          <w:tcPr>
            <w:tcW w:type="dxa" w:w="16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[115, 144]</w:t>
            </w:r>
          </w:p>
        </w:tc>
        <w:tc>
          <w:tcPr>
            <w:tcW w:type="dxa" w:w="12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97.7</w:t>
            </w:r>
          </w:p>
        </w:tc>
        <w:tc>
          <w:tcPr>
            <w:tcW w:type="dxa" w:w="12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Ca-Li-Sm-Ti</w:t>
            </w:r>
          </w:p>
        </w:tc>
      </w:tr>
    </w:tbl>
    <w:p>
      <w:r>
        <w:br w:type="page"/>
      </w:r>
    </w:p>
    <w:p>
      <w:pPr>
        <w:pStyle w:val="Heading1"/>
        <w:spacing w:after="240" w:before="480" w:line="480" w:lineRule="auto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Supplementary Table 4 | Signed-error and coverage by ε_r subset</w:t>
      </w:r>
    </w:p>
    <w:p>
      <w:pPr>
        <w:spacing w:after="0" w:line="36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Bias diagnostics on the 116-sample family-disjoint holdout, stratified by measured ε_r. Signed error = mean(predicted − measured): a small positive value indicates near-unbiased prediction; negative values indicate under-prediction. The model is near-unbiased overall and mildly under-predicts the highest-ε_r compositions, where the conformal-band coverage also softens.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2200"/>
        <w:gridCol w:w="1760"/>
        <w:gridCol w:w="180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Subset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Signed error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Within 90% band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holdout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+0.54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5.77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0.91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Top-20% ε_r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−4.05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7.50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0.79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Top-10% ε_r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−5.06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7.35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0.75</w:t>
            </w:r>
          </w:p>
        </w:tc>
      </w:tr>
    </w:tbl>
    <w:p>
      <w:r>
        <w:br w:type="page"/>
      </w:r>
    </w:p>
    <w:p>
      <w:pPr>
        <w:pStyle w:val="Heading1"/>
        <w:spacing w:after="240" w:before="480" w:line="480" w:lineRule="auto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Supplementary Table 5 | Baseline model hyperparameters</w:t>
      </w:r>
    </w:p>
    <w:p>
      <w:pPr>
        <w:spacing w:after="0" w:line="36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Fixed hyperparameters of the seven comparison baselines (Supplementary Table 2). These are standard, robust settings held constant across all folds; every baseline uses the identical 103-feature inputs, scalers, and train/calibration split as the PCNN.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Fixed hyperparameters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CM-only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Analytic Clausius–Mossotti; no learnable parameters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Ridge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α = 10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 trees; max-features 0.33; min-samples-leaf 2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XGBoost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800 trees; max-depth 6; learning rate 0.05; subsample 0.8; colsample 0.8; λ = 2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CatBoost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1,000 iterations; depth 7; learning rate 0.05; l2-leaf-reg 3; subsample 0.8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BPNN / MLP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hidden layers (256, 256, 128); SiLU; dropout 0.15; AdamW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PIRNN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Shared encoder (256) → sign-constrained heads; no feature partition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PCNN (ours)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See Supplementary Table 1 and Supplementary Note 3</w:t>
            </w:r>
          </w:p>
        </w:tc>
      </w:tr>
    </w:tbl>
    <w:p>
      <w:r>
        <w:br w:type="page"/>
      </w:r>
    </w:p>
    <w:p>
      <w:pPr>
        <w:pStyle w:val="Heading1"/>
        <w:spacing w:after="240" w:before="480" w:line="480" w:lineRule="auto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Supplementary Table 6 | PCNN per-layer architecture</w:t>
      </w:r>
    </w:p>
    <w:p>
      <w:pPr>
        <w:spacing w:after="0" w:line="36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Layer-by-layer widths for the four-branch CMLTRPCNN. Total: 11 hidden layers and 2,224 hidden neurons (384 + 384 + 384 + 192 + 96 + 48 + 64 + 32 + 256 + 256 + 128) summed over parallel trunk + branch paths. The deepest single computational path (trunk + residual branch) is 7 hidden layers. Hidden activations: SiLU. Normalisation: LayerNorm per branch.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1100"/>
        <w:gridCol w:w="246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Hidden widths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 / sign constraint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Shared trunk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384 → 384 → 384 → 192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192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Two central 384-width layers form a residual block (skip connection)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LST branch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192 + 30 = 222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96 → 48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(scalar)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Softplus → δ_LST ≥ 0 (eq. 6)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Tilt branch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192 + 30 = 222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 → 32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(scalar)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−Softplus → δ_tilt ≤ 0 (eq. 7)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Residual branch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192 + 43 + 1 = 236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256 → 256 → 128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(scalar)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σ_conf × Tanh × s_res (eq. 8); σ_conf is fixed (no learnable parameters)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No-CM fallback MLP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256 → 64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(scalar)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Engaged when CM is undefined (≈14% of compositions)</w:t>
            </w:r>
          </w:p>
        </w:tc>
      </w:tr>
    </w:tbl>
    <w:p>
      <w:r>
        <w:br w:type="page"/>
      </w:r>
    </w:p>
    <w:p>
      <w:pPr>
        <w:pStyle w:val="Heading1"/>
        <w:spacing w:after="240" w:before="480" w:line="480" w:lineRule="auto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Supplementary Figures</w:t>
      </w:r>
    </w:p>
    <w:p>
      <w:pPr>
        <w:spacing w:after="0" w:before="4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40" w:before="0"/>
        <w:jc w:val="center"/>
      </w:pPr>
      <w:r>
        <w:drawing>
          <wp:inline distT="0" distB="0" distL="0" distR="0">
            <wp:extent cx="5943600" cy="2371725"/>
            <wp:effectExtent t="0" r="0" b="0" l="0"/>
            <wp:docPr id="1" name="figS1_dataset_statistics.png" descr="Supplementary Figure" title="figS1_dataset_statisti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0" w:before="0" w:line="280" w:lineRule="auto"/>
      </w:pP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Supplementary Fig. 1 | Dataset statistics.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Distribution of measured ε_r (panel 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, 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= 1,304 with median 37.0 and interquartile range [27.5, 49.4]), Reaney regime composition (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, Ia 60, Ib 354, II 331, III 559), and primary A-site occupancy (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, Ba 436, Ca 421, Sr 180, La 125, Pb 86, and 56 mixed La/Na/Bi/K-co-occupied compositions).</w:t>
      </w:r>
    </w:p>
    <w:p>
      <w:pPr>
        <w:spacing w:after="0" w:before="4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40" w:before="0"/>
        <w:jc w:val="center"/>
      </w:pPr>
      <w:r>
        <w:drawing>
          <wp:inline distT="0" distB="0" distL="0" distR="0">
            <wp:extent cx="5943600" cy="3133725"/>
            <wp:effectExtent t="0" r="0" b="0" l="0"/>
            <wp:docPr id="1" name="figS2_error_stratification.png" descr="Supplementary Figure" title="figS2_error_stratific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0" w:before="0" w:line="280" w:lineRule="auto"/>
      </w:pP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Supplementary Fig. 2 | Error stratification by regime and A-site.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Holdout (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= 116) predicted-vs-measured ε_r, with PCNN predictions coloured separately by Reaney regime (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) and A-site cation (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). Regime III dominates the holdout (74/116 = 64%) and shows the tightest agreement (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² = 0.95); Regime Ib (12/116) is sample-limited (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² = 0.13). Per-A-site holdout 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² ranges from 0.78 (Ca) to 0.96 (Sr).</w:t>
      </w:r>
    </w:p>
    <w:p>
      <w:pPr>
        <w:spacing w:after="0" w:before="4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40" w:before="0"/>
        <w:jc w:val="center"/>
      </w:pPr>
      <w:r>
        <w:drawing>
          <wp:inline distT="0" distB="0" distL="0" distR="0">
            <wp:extent cx="5943600" cy="3219450"/>
            <wp:effectExtent t="0" r="0" b="0" l="0"/>
            <wp:docPr id="1" name="figS3_optuna_convergence.png" descr="Supplementary Figure" title="figS3_optuna_converge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0" w:before="0" w:line="280" w:lineRule="auto"/>
      </w:pP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Supplementary Fig. 3 | Optuna hyperparameter convergence.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Hyperparameter search history across the 99 completed Optuna trials (of 100 sampled; TPE sampler). Best-trial formula-split 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² as a function of trial number, converging by trial ~60 to the best configuration (trial 98, 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² = 0.928).</w:t>
      </w:r>
    </w:p>
    <w:p>
      <w:pPr>
        <w:spacing w:after="0" w:before="4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40" w:before="0"/>
        <w:jc w:val="center"/>
      </w:pPr>
      <w:r>
        <w:drawing>
          <wp:inline distT="0" distB="0" distL="0" distR="0">
            <wp:extent cx="5943600" cy="3133725"/>
            <wp:effectExtent t="0" r="0" b="0" l="0"/>
            <wp:docPr id="1" name="figS4_cv_folds.png" descr="Supplementary Figure" title="figS4_cv_fold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0" w:before="0" w:line="280" w:lineRule="auto"/>
      </w:pP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Supplementary Fig. 4 | Cross-validation diagnostics across folds.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, Per-fold formula-split CV 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² (mean 0.946, SD 0.008) and Strat-GSS CV 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² (mean 0.893, SD 0.043) for the PCNN. 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, Per-fold Strat-GSS (grouped-shuffle) cross-validation 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² under the out-of-distribution split, showing fold-to-fold stability about the 0.893 mean.</w:t>
      </w:r>
    </w:p>
    <w:p>
      <w:pPr>
        <w:spacing w:after="0" w:before="4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40" w:before="0"/>
        <w:jc w:val="center"/>
      </w:pPr>
      <w:r>
        <w:drawing>
          <wp:inline distT="0" distB="0" distL="0" distR="0">
            <wp:extent cx="5943600" cy="2638425"/>
            <wp:effectExtent t="0" r="0" b="0" l="0"/>
            <wp:docPr id="1" name="figS5_residuals.png" descr="Supplementary Figure" title="figS5_residua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0" w:before="0" w:line="280" w:lineRule="auto"/>
      </w:pP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Supplementary Fig. 5 | Residual diagnostics.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, PCNN holdout residuals (measured − predicted ε_r) versus predicted ε_r, coloured by Reaney regime, with no strong heteroscedastic structure (Spearman 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between |residual| and predicted σ = 0.28). 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, Residual distribution (mean −0.54, SD 8.03, skew 0.62) with a Gaussian fit, indicating a slight negative bias. 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, Normal quantile–quantile plot of the residuals (linear-fit 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= 0.976), near-Gaussian in the central region with mildly heavier tails consistent with the Regime III-heavy holdout composition.</w:t>
      </w:r>
    </w:p>
    <w:p>
      <w:pPr>
        <w:spacing w:after="0" w:before="4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40" w:before="0"/>
        <w:jc w:val="center"/>
      </w:pPr>
      <w:r>
        <w:drawing>
          <wp:inline distT="0" distB="0" distL="0" distR="0">
            <wp:extent cx="5943600" cy="2847975"/>
            <wp:effectExtent t="0" r="0" b="0" l="0"/>
            <wp:docPr id="1" name="figS6_baseline_comparison.png" descr="Supplementary Figure" title="figS6_baseline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0" w:before="0" w:line="280" w:lineRule="auto"/>
      </w:pP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Supplementary Fig. 6 | Baseline comparison, full Strat-GSS + holdout.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Per-baseline (CM-only, Ridge, Random Forest, XGBoost, CatBoost, BPNN/MLP, PIRNN, PCNN) Strat-GSS five-fold cross-validation 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² (mean ± SD as error bars, 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), holdout 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² (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) and holdout MAE (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). Several flexible baselines match or slightly exceed the PCNN on raw holdout accuracy (e.g. BPNN/MLP 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² = 0.957 vs PCNN 0.941), but the PCNN attains the lowest out-of-distribution cross-validation variance (SD 0.043 vs 0.181 for PIRNN) — the physics constraints buy generalisation stability at no cost to point accuracy.</w:t>
      </w:r>
    </w:p>
    <w:p>
      <w:pPr>
        <w:spacing w:after="0" w:before="4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40" w:before="0"/>
        <w:jc w:val="center"/>
      </w:pPr>
      <w:r>
        <w:drawing>
          <wp:inline distT="0" distB="0" distL="0" distR="0">
            <wp:extent cx="5943600" cy="2638425"/>
            <wp:effectExtent t="0" r="0" b="0" l="0"/>
            <wp:docPr id="1" name="figS7_conformal.png" descr="Supplementary Figure" title="figS7_conform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0" w:before="0" w:line="280" w:lineRule="auto"/>
      </w:pP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Supplementary Fig. 7 | Conformal calibration details.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, Empirical versus nominal coverage at α = 0.20, 0.15, 0.10, 0.05 (80.2 / 85.3 / 90.5 / 95.7%) for both absolute and relative conformal variants, tracking the ideal diagonal. 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, Absolute residual |ε_r,pred − ε_r,measured| versus predicted ε_r, with the 90% conformal threshold (±14.4 ε_r units) and the 27%-relative band marked. 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, Conformal parity: predicted ε_r with its 90% band (±14.4) versus measured ε_r, illustrating interval width across the prediction range.</w:t>
      </w:r>
    </w:p>
    <w:p>
      <w:pPr>
        <w:spacing w:after="0" w:before="4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40" w:before="0"/>
        <w:jc w:val="center"/>
      </w:pPr>
      <w:r>
        <w:drawing>
          <wp:inline distT="0" distB="0" distL="0" distR="0">
            <wp:extent cx="5943600" cy="3133725"/>
            <wp:effectExtent t="0" r="0" b="0" l="0"/>
            <wp:docPr id="1" name="figS8_lofo.png" descr="Supplementary Figure" title="figS8_lof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0" w:before="0" w:line="280" w:lineRule="auto"/>
      </w:pP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Supplementary Fig. 8 | Leave-one-family-out (LOFO) generalisability, detailed.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, A-site leave-one-family-out (LOFO) holdout 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²: La 0.849 (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= 125), Ca 0.610 (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= 421), Sr 0.434 (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= 180), Ba 0.008 (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= 436), Pb −0.097 (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= 86). 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, Regime LOFO holdout 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²: II 0.654 (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= 331), III 0.490 (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= 559), Ib −0.158 (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= 354), Ia −7.378 (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= 60). Transfer collapses for the extrapolative Pb family and the tilt-free Regime Ia, consistent with their data sparsity and out-of-distribution character.</w:t>
      </w:r>
    </w:p>
    <w:p>
      <w:pPr>
        <w:spacing w:after="0" w:before="4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40" w:before="0"/>
        <w:jc w:val="center"/>
      </w:pPr>
      <w:r>
        <w:drawing>
          <wp:inline distT="0" distB="0" distL="0" distR="0">
            <wp:extent cx="5943600" cy="2667000"/>
            <wp:effectExtent t="0" r="0" b="0" l="0"/>
            <wp:docPr id="1" name="figS9_applicability_domain.png" descr="Supplementary Figure" title="figS9_applicability_doma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0" w:before="0" w:line="280" w:lineRule="auto"/>
      </w:pP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Supplementary Fig. 9 | Applicability domain, physics and density gates.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Dual-layer applicability domain (Layer 1: physics-mechanism gate σ_conf; Layer 2: PCA + KDE density). 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, In-domain coverage of each layer — physics gate 56.4%, KDE density 94.9% and the combined domain 52.8% of the corpus. 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, Holdout reliability inside versus outside each domain (Layer 1 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²_in 0.967 / 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²_out 0.554; Layer 2 0.954 / 0.870; combined 0.933 / 0.858), confirming that in-domain predictions are markedly more reliable. 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, Combined in-domain fraction resolved by A-site cation (Pb 74%, La 72%, Ba 58%, Ca 53%, Sr 23%); Sr-rich compositions fall outside the domain most often.</w:t>
      </w:r>
    </w:p>
    <w:p>
      <w:pPr>
        <w:spacing w:after="0" w:before="4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40" w:before="0"/>
        <w:jc w:val="center"/>
      </w:pPr>
      <w:r>
        <w:drawing>
          <wp:inline distT="0" distB="0" distL="0" distR="0">
            <wp:extent cx="5943600" cy="2857500"/>
            <wp:effectExtent t="0" r="0" b="0" l="0"/>
            <wp:docPr id="1" name="figS10_feature_partition.png" descr="Supplementary Figure" title="figS10_feature_parti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0" w:before="0" w:line="280" w:lineRule="auto"/>
      </w:pP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Supplementary Fig. 10 | Feature partition and crystal-system ablation.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, The strict 30/30/43 LST/tilt/residual partition of the 103 physics features feeding the zero-parameter Clausius–Mossotti anchor; no feature appears in more than one branch. 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, Crystal-system feature ablation: holdout 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² (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= 116) with the 8 crystal-system features zeroed (0.941 → 0.935, Δ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² = −0.006, ΔMAE = +0.33), showing the crystal-system features have a minor, non-zero impact — the model is crystal-system-agnostic.</w:t>
      </w:r>
    </w:p>
    <w:p>
      <w:pPr>
        <w:spacing w:after="0" w:before="4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40" w:before="0"/>
        <w:jc w:val="center"/>
      </w:pPr>
      <w:r>
        <w:drawing>
          <wp:inline distT="0" distB="0" distL="0" distR="0">
            <wp:extent cx="5943600" cy="4457700"/>
            <wp:effectExtent t="0" r="0" b="0" l="0"/>
            <wp:docPr id="1" name="figS11_shap_importance.png" descr="Supplementary Figure" title="figS11_shap_import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0" w:before="0" w:line="280" w:lineRule="auto"/>
      </w:pP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Supplementary Fig. 11 | SHAP feature attribution.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GradientExplainer SHAP values over 400 test compositions (108 input features). 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, Top-20 features by mean |SHAP|, colour-coded by physics branch, with arrows giving the sign of the mean effect on ε_r; the leading individual predictors are the Clausius–Mossotti baseline (er_CM, 4.98), the tolerance-weighted soft-mode term (3.21) and the second-order Jahn–Teller weighting (weighted_SOJT, 3.15). 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, Aggregated mean |SHAP| by branch (LST 42.6 &gt; residual 22.0 &gt; tilt 15.4 &gt; auxiliary 2.1), confirming that the soft-mode (LST) features carry the largest share of the model's feature attribution, consistent with the LST-branch dominance reported in Fig. 2.</w:t>
      </w:r>
    </w:p>
    <w:p>
      <w:pPr>
        <w:spacing w:after="0" w:before="4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40" w:before="0"/>
        <w:jc w:val="center"/>
      </w:pPr>
      <w:r>
        <w:drawing>
          <wp:inline distT="0" distB="0" distL="0" distR="0">
            <wp:extent cx="5943600" cy="3181350"/>
            <wp:effectExtent t="0" r="0" b="0" l="0"/>
            <wp:docPr id="1" name="figS12_lofo_parity.png" descr="Supplementary Figure" title="figS12_lofo_par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0" w:before="0" w:line="280" w:lineRule="auto"/>
      </w:pP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Supplementary Fig. 12 | LOFO parity diagnostics.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Leave-one-family-out predicted-vs-measured ε_r parity, with the 1:1 line, resolved by A-site cation (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; per-family holdout 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² in the legend: La 0.849, Ca 0.610, Sr 0.434, Ba 0.008, Pb −0.097) and by Reaney regime (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; Ia −7.38, Ib −0.16, II 0.65, III 0.49). The held-out Pb series (panel 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) is systematically underpredicted across the Pb-containing composition range.</w:t>
      </w:r>
    </w:p>
    <w:p>
      <w:pPr>
        <w:spacing w:after="0" w:before="4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40" w:before="0"/>
        <w:jc w:val="center"/>
      </w:pPr>
      <w:r>
        <w:drawing>
          <wp:inline distT="0" distB="0" distL="0" distR="0">
            <wp:extent cx="5943600" cy="4810125"/>
            <wp:effectExtent t="0" r="0" b="0" l="0"/>
            <wp:docPr id="1" name="figS13_counterfactual_heatmap.png" descr="Supplementary Figure" title="figS13_counterfactual_heat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0" w:before="0" w:line="280" w:lineRule="auto"/>
      </w:pP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Supplementary Fig. 13 | Counterfactual permutation analysis.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For each B-site family, the fraction of Δε_r assigned to the LST branch under permuted input. Mean across families = 96.0%; minimum = 80.3% (Y), confirming A-site control of the LST channel is B-site-independent.</w:t>
      </w:r>
    </w:p>
    <w:p>
      <w:pPr>
        <w:spacing w:after="0" w:before="4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40" w:before="0"/>
        <w:jc w:val="center"/>
      </w:pPr>
      <w:r>
        <w:drawing>
          <wp:inline distT="0" distB="0" distL="0" distR="0">
            <wp:extent cx="5943600" cy="2971800"/>
            <wp:effectExtent t="0" r="0" b="0" l="0"/>
            <wp:docPr id="1" name="figS14_permutation_null.png" descr="Supplementary Figure" title="figS14_permutation_nu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0" w:before="0" w:line="280" w:lineRule="auto"/>
      </w:pP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Supplementary Fig. 14 | Permutation null distributions.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Null distribution of the family-mean 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_LST range under 2,000 random permutations of the grouping labels. 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, A-site permutation null: the observed range (1.622; Pb 2.28 → Ba 0.66) lies far in the tail (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≈ 17σ, 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&lt; 0.0005; 0 of 2,000 permutations as extreme). 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, Regime permutation null: observed range 1.136 (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≈ 9σ, 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&lt; 0.0005). Because A-site identity co-varies with Reaney regime across the corpus, the regime result corroborates rather than independently confirms the A-site ranking.</w:t>
      </w:r>
    </w:p>
    <w:p>
      <w:pPr>
        <w:spacing w:after="0" w:before="4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40" w:before="0"/>
        <w:jc w:val="center"/>
      </w:pPr>
      <w:r>
        <w:drawing>
          <wp:inline distT="0" distB="0" distL="0" distR="0">
            <wp:extent cx="5943600" cy="3181350"/>
            <wp:effectExtent t="0" r="0" b="0" l="0"/>
            <wp:docPr id="1" name="figS15_sigma_conf_vs_error.png" descr="Supplementary Figure" title="figS15_sigma_conf_vs_err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0" w:before="0" w:line="280" w:lineRule="auto"/>
      </w:pP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Supplementary Fig. 15 | σ_conf vs absolute prediction error.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, Per-composition predictive confidence σ_conf against |ε_r,pred − ε_r,measured| on the holdout set, coloured by Reaney regime, with the conformal q̂₉₀ = 14.38 and the Layer-1 physics gate (σ_conf = 0.35) marked. 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, Binned mean error versus σ_conf, which rises with σ_conf — showing σ_conf is a meaningful (physics-aware, epistemic) uncertainty signal rather than a perfect error predictor.</w:t>
      </w:r>
    </w:p>
    <w:p>
      <w:pPr>
        <w:spacing w:after="0" w:before="4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40" w:before="0"/>
        <w:jc w:val="center"/>
      </w:pPr>
      <w:r>
        <w:drawing>
          <wp:inline distT="0" distB="0" distL="0" distR="0">
            <wp:extent cx="5943600" cy="4391025"/>
            <wp:effectExtent t="0" r="0" b="0" l="0"/>
            <wp:docPr id="1" name="figS16_reaney_plot.png" descr="Supplementary Figure" title="figS16_reaney_pl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0" w:before="0" w:line="280" w:lineRule="auto"/>
      </w:pP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Supplementary Fig. 16 | Reaney-regime plot.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Predicted ε_r as a function of Goldschmidt tolerance factor 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, with regime boundaries (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= 0.965, 0.985) from Reaney 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et al.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[4] marked. Compositions are coloured by A-site cation. Soft-mode-active regimes (Ib, II, III) show ε_r values 1.5–2.5× larger than untilted Regime Ia, consistent with the dominance of the LST contribution.</w:t>
      </w:r>
    </w:p>
    <w:p>
      <w:pPr>
        <w:spacing w:after="0" w:before="4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40" w:before="0"/>
        <w:jc w:val="center"/>
      </w:pPr>
      <w:r>
        <w:drawing>
          <wp:inline distT="0" distB="0" distL="0" distR="0">
            <wp:extent cx="5943600" cy="4486275"/>
            <wp:effectExtent t="0" r="0" b="0" l="0"/>
            <wp:docPr id="1" name="figS17_asite_radius_trend.png" descr="Supplementary Figure" title="figS17_asite_radius_tre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0" w:before="0" w:line="280" w:lineRule="auto"/>
      </w:pP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Supplementary Fig. 17 | A-site ionic radius trend.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Per-A-site 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_LST versus 12-coordinate Shannon ionic radius, with Pb shown as an off-trend outlier. Across the Ba→Sr→La→Ca segment, 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_LST increases monotonically as the radius contracts (Pearson 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≈ −0.85 across the four family means).</w:t>
      </w:r>
    </w:p>
    <w:p>
      <w:pPr>
        <w:spacing w:after="0" w:before="4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40" w:before="0"/>
        <w:jc w:val="center"/>
      </w:pPr>
      <w:r>
        <w:drawing>
          <wp:inline distT="0" distB="0" distL="0" distR="0">
            <wp:extent cx="5943600" cy="4114800"/>
            <wp:effectExtent t="0" r="0" b="0" l="0"/>
            <wp:docPr id="1" name="figS18_srca_discovery_map.png" descr="Supplementary Figure" title="figS18_srca_discovery_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0" w:before="0" w:line="280" w:lineRule="auto"/>
      </w:pP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Supplementary Fig. 18 | Sr-Ca-Ti discovery map.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Predicted ε_r over the Sr_(1−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)Ca_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TiO₃ pseudobinary, with 90% conformal intervals. The maximum ε_r ≈ 140.1 occurs at 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= 0.10 (Sr_0.9Ca_0.1TiO₃), with a 90% lower confidence bound LCB₉₀ = 125.7.</w:t>
      </w:r>
    </w:p>
    <w:p>
      <w:pPr>
        <w:spacing w:after="0" w:before="4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40" w:before="0"/>
        <w:jc w:val="center"/>
      </w:pPr>
      <w:r>
        <w:drawing>
          <wp:inline distT="0" distB="0" distL="0" distR="0">
            <wp:extent cx="5943600" cy="3752850"/>
            <wp:effectExtent t="0" r="0" b="0" l="0"/>
            <wp:docPr id="1" name="figS19_tolerance_histogram.png" descr="Supplementary Figure" title="figS19_tolerance_histo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0" w:before="0" w:line="280" w:lineRule="auto"/>
      </w:pP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Supplementary Fig. 19 | Tolerance-factor histogram.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Distribution of 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across the corpus, stacked by primary A-site cation (Ba 436, Ca 421, Sr 180, La 125, Pb 86; the 56 mixed-A-site compositions are omitted), with the Reaney regime boundaries[4] (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= 0.965, 0.985) marked. Regime III (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≤ 0.965, 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= 559) is the largest regime population and Regime Ia (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= 60) the smallest.</w:t>
      </w:r>
    </w:p>
    <w:p>
      <w:pPr>
        <w:spacing w:after="0" w:before="4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40" w:before="0"/>
        <w:jc w:val="center"/>
      </w:pPr>
      <w:r>
        <w:drawing>
          <wp:inline distT="0" distB="0" distL="0" distR="0">
            <wp:extent cx="5943600" cy="3848100"/>
            <wp:effectExtent t="0" r="0" b="0" l="0"/>
            <wp:docPr id="1" name="figS20_crystal_structure.png" descr="Supplementary Figure" title="figS20_crystal_stru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0" w:before="0" w:line="280" w:lineRule="auto"/>
      </w:pP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Supplementary Fig. 20 | The three physics mechanisms encoded in the PCNN.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Schematic of the ABO₃ perovskite responses the model decomposes: (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) the ideal cubic lattice setting the Clausius–Mossotti baseline ε_r,CM (polarizability of the static lattice); (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) soft-mode (B-site off-centering) displacement giving the Lyddane–Sachs–Teller enhancement δ_LST ∝ 1/ω²_TO; and (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) octahedral tilting (Goldschmidt/Reaney, tolerance factor 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&lt; 1) that suppresses ε_r (δ_tilt). A-site, B-site and oxygen sites are indicated in the legend.</w:t>
      </w:r>
    </w:p>
    <w:p>
      <w:pPr>
        <w:spacing w:after="0" w:before="4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40" w:before="0"/>
        <w:jc w:val="center"/>
      </w:pPr>
      <w:r>
        <w:drawing>
          <wp:inline distT="0" distB="0" distL="0" distR="0">
            <wp:extent cx="5943600" cy="5172075"/>
            <wp:effectExtent t="0" r="0" b="0" l="0"/>
            <wp:docPr id="1" name="figS21_descriptor_panels.png" descr="Supplementary Figure" title="figS21_descriptor_pane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0" w:before="0" w:line="280" w:lineRule="auto"/>
      </w:pP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Supplementary Fig. 21 | Structure-property correlations between 12 physical descriptors and PCNN-predicted ε_r.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Each panel (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–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) shows the predicted ε_r against one descriptor across all 1,304 ABO₃-type compositions, with points coloured by Reaney regime (Ia, Ib, II, III). The annotated Spearman rank correlation 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ρ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quantifies the monotonic relation between each descriptor and the predicted permittivity. Panels: 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, Goldschmidt tolerance factor 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(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ρ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= −0.04). 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, Clausius–Mossotti baseline ε_r,CM (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ρ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= +0.41). 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, soft-mode branch δ_LST (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ρ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= +0.87, the strongest single predictor, consistent with the LST-dominated mechanism reported in the main text). 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, octahedral tilt branch δ_tilt (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ρ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= +0.48). 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, residual branch δ_res (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ρ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= +0.61). 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, predictive confidence σ_conf (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ρ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= −0.06). 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, soft-mode enhancement factor 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_LST = δ_LST / ε_r,CM (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ρ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= +0.76). 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, B-site d⁰ fraction (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ρ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= +0.61). 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, total ionic polarizability α_total (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ρ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= −0.02). 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, A-site electronegativity χ_A (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ρ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= +0.41). 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, global instability index GII (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ρ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= −0.15). 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, ensemble standard deviation σ_ML (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ρ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= +0.48). The ranking δ_LST &gt; 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_LST &gt; δ_res ≈ d⁰_per_field &gt; χ_A confirms that the soft-mode channel carries the largest single contribution to permittivity, in agreement with the SHAP attribution in Supplementary Fig. 11 and the branch-decomposition statistics in the main text.</w:t>
      </w:r>
    </w:p>
    <w:p>
      <w:pPr>
        <w:spacing w:after="0" w:before="4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40" w:before="0"/>
        <w:jc w:val="center"/>
      </w:pPr>
      <w:r>
        <w:drawing>
          <wp:inline distT="0" distB="0" distL="0" distR="0">
            <wp:extent cx="5943600" cy="3143250"/>
            <wp:effectExtent t="0" r="0" b="0" l="0"/>
            <wp:docPr id="1" name="figS22_element_attribution.png" descr="Supplementary Figure" title="figS22_element_attrib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0" w:before="0" w:line="280" w:lineRule="auto"/>
      </w:pP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Supplementary Fig. 22 | A-site-resolved physics decomposition.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Mean CM, LST, tilt and residual contributions to ε_r resolved by primary A-site cation, computed across all compositions of each family. 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, Stacked decomposition (ε_r,CM baseline plus δ_LST, δ_tilt, δ_res) per A-site, ordered by soft-mode enhancement: Pb (total ε_r ≈ 93, 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= 83), Ca (55, 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= 343), La (42, 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= 121), Sr (38, 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= 159), Ba (33, 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= 368). 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, The corresponding soft-mode enhancement factor 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_LST = ⟨δ_LST/ε_r,CM⟩ (Pb 2.28 &gt; Ca 1.66 &gt; La 1.13 &gt; Sr 0.91 &gt; Ba 0.66), reproducing the A-site hierarchy of Fig. 2a.</w:t>
      </w:r>
    </w:p>
    <w:p>
      <w:pPr>
        <w:spacing w:after="0" w:before="4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40" w:before="0"/>
        <w:jc w:val="center"/>
      </w:pPr>
      <w:r>
        <w:drawing>
          <wp:inline distT="0" distB="0" distL="0" distR="0">
            <wp:extent cx="5943600" cy="2343150"/>
            <wp:effectExtent t="0" r="0" b="0" l="0"/>
            <wp:docPr id="1" name="figS23_latent_space.png" descr="Supplementary Figure" title="figS23_latent_spa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0" w:before="0" w:line="280" w:lineRule="auto"/>
      </w:pP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Supplementary Fig. 23 | Latent representation analysis.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Two-dimensional PCA projection of the 192-dimensional trunk representation (PC1 43%, PC2 27% of variance; trunk hidden state averaged across 5 seeds), coloured by measured ε_r (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), Reaney regime (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) and A-site cation (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). The trunk learns chemically coherent clusters that align with A-site identity (panel 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) more than with regime, consistent with A-site dominance in the soft-mode channel.</w:t>
      </w:r>
    </w:p>
    <w:p>
      <w:r>
        <w:br w:type="page"/>
      </w:r>
    </w:p>
    <w:p>
      <w:pPr>
        <w:pStyle w:val="Heading1"/>
        <w:spacing w:after="240" w:before="480" w:line="480" w:lineRule="auto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Supplementary References</w:t>
      </w:r>
    </w:p>
    <w:p>
      <w:pPr>
        <w:spacing w:after="0" w:line="360" w:lineRule="auto"/>
        <w:jc w:val="lef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 microwave-dielectric permittivity dataset (n = 1,304 ABO₃-type compositions) was compiled from a microwave-dielectric ceramics handbook and approximately 200 primary experimental literature sources. The complete enumerated list of these data sources is deposited together with the cleaned dataset at Zenodo [DOI placeholder] and will be inserted here in full upon finalisation.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Supplementary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7de18602c3b8f53bcad50a9f86836644e47415d.png"/><Relationship Id="rId9" Type="http://schemas.openxmlformats.org/officeDocument/2006/relationships/image" Target="media/38dfe5565edbb5451a51a405abe3a65077e60694.png"/><Relationship Id="rId10" Type="http://schemas.openxmlformats.org/officeDocument/2006/relationships/image" Target="media/4671e813b8787878be1865ac105c57c46f43d554.png"/><Relationship Id="rId11" Type="http://schemas.openxmlformats.org/officeDocument/2006/relationships/image" Target="media/5846960a6da4f4cbe1d116a738b051e7fbdadc6f.png"/><Relationship Id="rId12" Type="http://schemas.openxmlformats.org/officeDocument/2006/relationships/image" Target="media/3ba519c178dd35bda191e61ea719892f4fa5829a.png"/><Relationship Id="rId13" Type="http://schemas.openxmlformats.org/officeDocument/2006/relationships/image" Target="media/f7ec9d653a26fde5d2c035e97d6e4ab57016761d.png"/><Relationship Id="rId14" Type="http://schemas.openxmlformats.org/officeDocument/2006/relationships/image" Target="media/670ee0bbceec7b712dff4a699f0913f26f7a161b.png"/><Relationship Id="rId15" Type="http://schemas.openxmlformats.org/officeDocument/2006/relationships/image" Target="media/3d8565316455ec50930b9b48955d0d7a13c72eae.png"/><Relationship Id="rId16" Type="http://schemas.openxmlformats.org/officeDocument/2006/relationships/image" Target="media/c873961457210a13163552e58fa88865fe55cd64.png"/><Relationship Id="rId17" Type="http://schemas.openxmlformats.org/officeDocument/2006/relationships/image" Target="media/ee2d8f4ee8f2ce504ff31a43cde56ec4aee55640.png"/><Relationship Id="rId18" Type="http://schemas.openxmlformats.org/officeDocument/2006/relationships/image" Target="media/a098a7d9fa8929e9089ce8feec1ca6805d7cf2af.png"/><Relationship Id="rId19" Type="http://schemas.openxmlformats.org/officeDocument/2006/relationships/image" Target="media/1ca80dfc8e0e66947d12b310d724b5b56161aa6e.png"/><Relationship Id="rId20" Type="http://schemas.openxmlformats.org/officeDocument/2006/relationships/image" Target="media/51e86fb0d9b2fceaddd3555d319b450b46f1faed.png"/><Relationship Id="rId21" Type="http://schemas.openxmlformats.org/officeDocument/2006/relationships/image" Target="media/490c8af07600ca8cd55867e4c635311738ad94ee.png"/><Relationship Id="rId22" Type="http://schemas.openxmlformats.org/officeDocument/2006/relationships/image" Target="media/8fa3ee328ae64e9ec89261d38aa9b94c8749f756.png"/><Relationship Id="rId23" Type="http://schemas.openxmlformats.org/officeDocument/2006/relationships/image" Target="media/4d278f061e0814e22f6be23888bca60f1916f54f.png"/><Relationship Id="rId24" Type="http://schemas.openxmlformats.org/officeDocument/2006/relationships/image" Target="media/2d4e9ea537e1ccd5b4e86882aab30857b9d9cc98.png"/><Relationship Id="rId25" Type="http://schemas.openxmlformats.org/officeDocument/2006/relationships/image" Target="media/f64baa9282161227f31d191a7978164ca29fad71.png"/><Relationship Id="rId26" Type="http://schemas.openxmlformats.org/officeDocument/2006/relationships/image" Target="media/6a4ab3343cef8bb6fdc252501636ad8d9bf53100.png"/><Relationship Id="rId27" Type="http://schemas.openxmlformats.org/officeDocument/2006/relationships/image" Target="media/75714b89e3da11c9c0a0be13c2635cc936b0a56c.png"/><Relationship Id="rId28" Type="http://schemas.openxmlformats.org/officeDocument/2006/relationships/image" Target="media/582a052cba8da7705701c29f46678e2c3d62feac.png"/><Relationship Id="rId29" Type="http://schemas.openxmlformats.org/officeDocument/2006/relationships/image" Target="media/8243c1fef6b15fb1d14d06a4ae75fd64fcbde94c.png"/><Relationship Id="rId30" Type="http://schemas.openxmlformats.org/officeDocument/2006/relationships/image" Target="media/884b685d361263fa34e6c897126c0b16d0a377df.pn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PCNN ABO3 Supplementary Information</dc:title>
  <dc:creator>PCNN Authors</dc:creator>
  <dc:description>Nature Communications submission, supplementary</dc:description>
  <cp:lastModifiedBy>Un-named</cp:lastModifiedBy>
  <cp:revision>1</cp:revision>
  <dcterms:created xsi:type="dcterms:W3CDTF">2026-05-28T03:26:21.956Z</dcterms:created>
  <dcterms:modified xsi:type="dcterms:W3CDTF">2026-05-28T03:26:21.956Z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