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line="360" w:lineRule="auto"/>
        <w:jc w:val="left"/>
      </w:pPr>
      <w:r>
        <w:rPr>
          <w:rFonts w:ascii="Arial" w:cs="Arial" w:eastAsia="Arial" w:hAnsi="Arial"/>
          <w:b/>
          <w:bCs/>
          <w:sz w:val="30"/>
          <w:szCs w:val="30"/>
        </w:rPr>
        <w:t xml:space="preserve">Physics-constrained decomposition identifies an A-site chemistry hierarchy associated with model-attributed soft-mode amplification in ABO</w:t>
      </w:r>
      <w:r>
        <w:rPr>
          <w:rFonts w:ascii="Arial" w:cs="Arial" w:eastAsia="Arial" w:hAnsi="Arial"/>
          <w:b/>
          <w:bCs/>
          <w:sz w:val="30"/>
          <w:szCs w:val="30"/>
          <w:vertAlign w:val="subscript"/>
        </w:rPr>
        <w:t xml:space="preserve">3</w:t>
      </w:r>
      <w:r>
        <w:rPr>
          <w:rFonts w:ascii="Arial" w:cs="Arial" w:eastAsia="Arial" w:hAnsi="Arial"/>
          <w:b/>
          <w:bCs/>
          <w:sz w:val="30"/>
          <w:szCs w:val="30"/>
        </w:rPr>
        <w:t xml:space="preserve"> microwave permittivity</w:t>
      </w:r>
    </w:p>
    <w:p>
      <w:pPr>
        <w:spacing w:after="120" w:before="240" w:line="360"/>
        <w:jc w:val="center"/>
      </w:pPr>
      <w:r>
        <w:rPr>
          <w:rFonts w:ascii="Arial" w:cs="Arial" w:eastAsia="Arial" w:hAnsi="Arial"/>
          <w:sz w:val="22"/>
          <w:szCs w:val="22"/>
        </w:rPr>
        <w:t xml:space="preserve">[Author Name]</w:t>
      </w:r>
      <w:r>
        <w:rPr>
          <w:rFonts w:ascii="Arial" w:cs="Arial" w:eastAsia="Arial" w:hAnsi="Arial"/>
          <w:sz w:val="22"/>
          <w:szCs w:val="22"/>
          <w:vertAlign w:val="superscript"/>
        </w:rPr>
        <w:t xml:space="preserve">1</w:t>
      </w:r>
      <w:r>
        <w:rPr>
          <w:rFonts w:ascii="Arial" w:cs="Arial" w:eastAsia="Arial" w:hAnsi="Arial"/>
          <w:sz w:val="22"/>
          <w:szCs w:val="22"/>
        </w:rPr>
        <w:t xml:space="preserve">*, [Author Name]</w:t>
      </w:r>
      <w:r>
        <w:rPr>
          <w:rFonts w:ascii="Arial" w:cs="Arial" w:eastAsia="Arial" w:hAnsi="Arial"/>
          <w:sz w:val="22"/>
          <w:szCs w:val="22"/>
          <w:vertAlign w:val="superscript"/>
        </w:rPr>
        <w:t xml:space="preserve">1</w:t>
      </w:r>
      <w:r>
        <w:rPr>
          <w:rFonts w:ascii="Arial" w:cs="Arial" w:eastAsia="Arial" w:hAnsi="Arial"/>
          <w:sz w:val="22"/>
          <w:szCs w:val="22"/>
        </w:rPr>
        <w:t xml:space="preserve">, [Author Name]</w:t>
      </w:r>
      <w:r>
        <w:rPr>
          <w:rFonts w:ascii="Arial" w:cs="Arial" w:eastAsia="Arial" w:hAnsi="Arial"/>
          <w:sz w:val="22"/>
          <w:szCs w:val="22"/>
          <w:vertAlign w:val="superscript"/>
        </w:rPr>
        <w:t xml:space="preserve">2</w:t>
      </w:r>
    </w:p>
    <w:p>
      <w:pPr>
        <w:spacing w:after="120" w:before="120" w:line="360"/>
        <w:jc w:val="center"/>
      </w:pPr>
      <w:r>
        <w:rPr>
          <w:rFonts w:ascii="Arial" w:cs="Arial" w:eastAsia="Arial" w:hAnsi="Arial"/>
          <w:sz w:val="20"/>
          <w:szCs w:val="20"/>
          <w:vertAlign w:val="superscript"/>
        </w:rPr>
        <w:t xml:space="preserve">1</w:t>
      </w:r>
      <w:r>
        <w:rPr>
          <w:rFonts w:ascii="Arial" w:cs="Arial" w:eastAsia="Arial" w:hAnsi="Arial"/>
          <w:sz w:val="20"/>
          <w:szCs w:val="20"/>
        </w:rPr>
        <w:t xml:space="preserve">[Institution 1, City, Country]    </w:t>
      </w:r>
      <w:r>
        <w:rPr>
          <w:rFonts w:ascii="Arial" w:cs="Arial" w:eastAsia="Arial" w:hAnsi="Arial"/>
          <w:sz w:val="20"/>
          <w:szCs w:val="20"/>
          <w:vertAlign w:val="superscript"/>
        </w:rPr>
        <w:t xml:space="preserve">2</w:t>
      </w:r>
      <w:r>
        <w:rPr>
          <w:rFonts w:ascii="Arial" w:cs="Arial" w:eastAsia="Arial" w:hAnsi="Arial"/>
          <w:sz w:val="20"/>
          <w:szCs w:val="20"/>
        </w:rPr>
        <w:t xml:space="preserve">[Institution 2, City, Country]</w:t>
      </w:r>
    </w:p>
    <w:p>
      <w:pPr>
        <w:spacing w:after="240" w:before="120" w:line="360"/>
        <w:jc w:val="center"/>
      </w:pPr>
      <w:r>
        <w:rPr>
          <w:rFonts w:ascii="Arial" w:cs="Arial" w:eastAsia="Arial" w:hAnsi="Arial"/>
          <w:i/>
          <w:iCs/>
          <w:sz w:val="20"/>
          <w:szCs w:val="20"/>
        </w:rPr>
        <w:t xml:space="preserve">*Corresponding author: [email]</w:t>
      </w:r>
    </w:p>
    <w:p>
      <w:pPr>
        <w:pStyle w:val="Heading1"/>
        <w:spacing w:after="240" w:before="360" w:line="480" w:lineRule="auto"/>
      </w:pPr>
      <w:r>
        <w:rPr>
          <w:rFonts w:ascii="Arial" w:cs="Arial" w:eastAsia="Arial" w:hAnsi="Arial"/>
          <w:b/>
          <w:bCs/>
          <w:color w:val="000000"/>
          <w:sz w:val="28"/>
          <w:szCs w:val="28"/>
        </w:rPr>
        <w:t xml:space="preserve">Abstract</w:t>
      </w:r>
    </w:p>
    <w:p>
      <w:pPr>
        <w:spacing w:after="120" w:line="252" w:lineRule="auto"/>
        <w:jc w:val="left"/>
      </w:pPr>
      <w:r>
        <w:rPr>
          <w:rFonts w:ascii="Arial" w:cs="Arial" w:eastAsia="Arial" w:hAnsi="Arial"/>
          <w:b w:val="false"/>
          <w:bCs w:val="false"/>
          <w:i w:val="false"/>
          <w:iCs w:val="false"/>
          <w:sz w:val="22"/>
          <w:szCs w:val="22"/>
        </w:rPr>
        <w:t xml:space="preserve">Soft-mode amplification is widely held to govern the static permittivity of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ceramics, yet a composition-resolved attribution is lacking. We train a physics-constrained neural network (PCNN) that decomposes each prediction into named contributions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ε</w:t>
      </w:r>
      <w:r>
        <w:rPr>
          <w:rFonts w:ascii="Arial" w:cs="Arial" w:eastAsia="Arial" w:hAnsi="Arial"/>
          <w:b w:val="false"/>
          <w:bCs w:val="false"/>
          <w:i w:val="false"/>
          <w:iCs w:val="false"/>
          <w:sz w:val="22"/>
          <w:szCs w:val="22"/>
          <w:vertAlign w:val="subscript"/>
        </w:rPr>
        <w:t xml:space="preserve">CM</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(held-out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0.941; bootstrap-validated coverage 89.9 ± 5.7% at 90%) across 1,304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dielectrics. Under hard sign and confidence-gate priors, the decomposition attributes 54.1% of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(1,124 CM-computable) to a positive LST-aligned branch — a </w:t>
      </w:r>
      <w:r>
        <w:rPr>
          <w:rFonts w:ascii="Arial" w:cs="Arial" w:eastAsia="Arial" w:hAnsi="Arial"/>
          <w:b w:val="false"/>
          <w:bCs w:val="false"/>
          <w:i/>
          <w:iCs/>
          <w:sz w:val="22"/>
          <w:szCs w:val="22"/>
        </w:rPr>
        <w:t xml:space="preserve">model-attributed</w:t>
      </w:r>
      <w:r>
        <w:rPr>
          <w:rFonts w:ascii="Arial" w:cs="Arial" w:eastAsia="Arial" w:hAnsi="Arial"/>
          <w:b w:val="false"/>
          <w:bCs w:val="false"/>
          <w:i w:val="false"/>
          <w:iCs w:val="false"/>
          <w:sz w:val="22"/>
          <w:szCs w:val="22"/>
        </w:rPr>
        <w:t xml:space="preserve"> allocation, not a measurement. An A-site hierarchy Pb &gt; Ca &gt; La &gt; Sr &gt; Ba (permutation p &lt; 5 × 10</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emerges; Pb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−0.097) and Ba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0.008) mark distinct extrapolation boundaries — from 6s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 physics and complex-perovskite corpus composition. Physics-constrained inverse design identifies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147, LCB 132; 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2.85) at the extrapolation frontier as a synthesis target awaiting Q×f / τ</w:t>
      </w:r>
      <w:r>
        <w:rPr>
          <w:rFonts w:ascii="Arial" w:cs="Arial" w:eastAsia="Arial" w:hAnsi="Arial"/>
          <w:b w:val="false"/>
          <w:bCs w:val="false"/>
          <w:i w:val="false"/>
          <w:iCs w:val="false"/>
          <w:sz w:val="22"/>
          <w:szCs w:val="22"/>
          <w:vertAlign w:val="subscript"/>
        </w:rPr>
        <w:t xml:space="preserve">f</w:t>
      </w:r>
      <w:r>
        <w:rPr>
          <w:rFonts w:ascii="Arial" w:cs="Arial" w:eastAsia="Arial" w:hAnsi="Arial"/>
          <w:b w:val="false"/>
          <w:bCs w:val="false"/>
          <w:i w:val="false"/>
          <w:iCs w:val="false"/>
          <w:sz w:val="22"/>
          <w:szCs w:val="22"/>
        </w:rPr>
        <w:t xml:space="preserve"> characterisation.</w:t>
      </w:r>
    </w:p>
    <w:p>
      <w:pPr>
        <w:sectPr>
          <w:footerReference w:type="default" r:id="rId7"/>
          <w:pgSz w:w="12240" w:h="15840" w:orient="portrait"/>
          <w:pgMar w:top="1296" w:right="1296" w:bottom="1296" w:left="1296" w:header="708" w:footer="708" w:gutter="0"/>
          <w:pgNumType/>
          <w:docGrid w:linePitch="360"/>
        </w:sectPr>
      </w:pPr>
    </w:p>
    <w:p>
      <w:pPr>
        <w:pStyle w:val="Heading1"/>
        <w:spacing w:after="240" w:before="360" w:line="480" w:lineRule="auto"/>
      </w:pPr>
      <w:r>
        <w:rPr>
          <w:rFonts w:ascii="Arial" w:cs="Arial" w:eastAsia="Arial" w:hAnsi="Arial"/>
          <w:b/>
          <w:bCs/>
          <w:color w:val="000000"/>
          <w:sz w:val="28"/>
          <w:szCs w:val="28"/>
        </w:rPr>
        <w:t xml:space="preserve">Introduction</w:t>
      </w:r>
    </w:p>
    <w:p>
      <w:pPr>
        <w:spacing w:after="120" w:line="252" w:lineRule="auto"/>
        <w:jc w:val="left"/>
      </w:pPr>
      <w:r>
        <w:rPr>
          <w:rFonts w:ascii="Arial" w:cs="Arial" w:eastAsia="Arial" w:hAnsi="Arial"/>
          <w:b w:val="false"/>
          <w:bCs w:val="false"/>
          <w:i w:val="false"/>
          <w:iCs w:val="false"/>
          <w:sz w:val="22"/>
          <w:szCs w:val="22"/>
        </w:rPr>
        <w:t xml:space="preserve">Microwave dielectric ceramics underpin 5G filters and satellite resonators</w:t>
      </w:r>
      <w:r>
        <w:rPr>
          <w:rFonts w:ascii="Arial" w:cs="Arial" w:eastAsia="Arial" w:hAnsi="Arial"/>
          <w:b w:val="false"/>
          <w:bCs w:val="false"/>
          <w:i w:val="false"/>
          <w:iCs w:val="false"/>
          <w:sz w:val="22"/>
          <w:szCs w:val="22"/>
          <w:vertAlign w:val="superscript"/>
        </w:rPr>
        <w:t xml:space="preserve">1</w:t>
      </w:r>
      <w:r>
        <w:rPr>
          <w:rFonts w:ascii="Arial" w:cs="Arial" w:eastAsia="Arial" w:hAnsi="Arial"/>
          <w:b w:val="false"/>
          <w:bCs w:val="false"/>
          <w:i w:val="false"/>
          <w:iCs w:val="false"/>
          <w:sz w:val="22"/>
          <w:szCs w:val="22"/>
        </w:rPr>
        <w:t xml:space="preserve">. Their relative permittivity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sets resonator size — linear dimensions scale as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vertAlign w:val="superscript"/>
        </w:rPr>
        <w:t xml:space="preserve">−1/2</w:t>
      </w:r>
      <w:r>
        <w:rPr>
          <w:rFonts w:ascii="Arial" w:cs="Arial" w:eastAsia="Arial" w:hAnsi="Arial"/>
          <w:b w:val="false"/>
          <w:bCs w:val="false"/>
          <w:i w:val="false"/>
          <w:iCs w:val="false"/>
          <w:sz w:val="22"/>
          <w:szCs w:val="22"/>
        </w:rPr>
        <w:t xml:space="preserve"> at fixed frequency</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Decades of optimisation have produced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 from low-permittivity Ba compositions to polarizable Pb- and Ca-rich titanates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20–140)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yet rational design of lead-free, high-ε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compositions has lagged practical demand.</w:t>
      </w:r>
    </w:p>
    <w:p>
      <w:pPr>
        <w:spacing w:after="120" w:line="252" w:lineRule="auto"/>
        <w:jc w:val="left"/>
      </w:pPr>
      <w:r>
        <w:rPr>
          <w:rFonts w:ascii="Arial" w:cs="Arial" w:eastAsia="Arial" w:hAnsi="Arial"/>
          <w:b w:val="false"/>
          <w:bCs w:val="false"/>
          <w:i w:val="false"/>
          <w:iCs w:val="false"/>
          <w:sz w:val="22"/>
          <w:szCs w:val="22"/>
        </w:rPr>
        <w:t xml:space="preserve">The dielectric response of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 emerges from coupled electronic polarization, lattice dynamics, and structural instability. The Clausius–Mossotti (CM) relation gives a parameter-free baseline for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from the ionic polarizabilities packed into the unit cell</w:t>
      </w:r>
      <w:r>
        <w:rPr>
          <w:rFonts w:ascii="Arial" w:cs="Arial" w:eastAsia="Arial" w:hAnsi="Arial"/>
          <w:b w:val="false"/>
          <w:bCs w:val="false"/>
          <w:i w:val="false"/>
          <w:iCs w:val="false"/>
          <w:sz w:val="22"/>
          <w:szCs w:val="22"/>
          <w:vertAlign w:val="superscript"/>
        </w:rPr>
        <w:t xml:space="preserve">4,5</w:t>
      </w:r>
      <w:r>
        <w:rPr>
          <w:rFonts w:ascii="Arial" w:cs="Arial" w:eastAsia="Arial" w:hAnsi="Arial"/>
          <w:b w:val="false"/>
          <w:bCs w:val="false"/>
          <w:i w:val="false"/>
          <w:iCs w:val="false"/>
          <w:sz w:val="22"/>
          <w:szCs w:val="22"/>
        </w:rPr>
        <w:t xml:space="preserve">. Across our corpus, however, CM systematically underestimates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and fails as a predictive descriptor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−0.58 on the 1,124 CM-computable compositions). The shortfall reflects lattice-dynamical polarization absent from the CM formalism: as a transverse-optical soft mode softens toward a ferroelectric instability, the Lyddane–Sachs–Teller (LST) relation links the static permittivity to the soft-mode frequency through ε</w:t>
      </w:r>
      <w:r>
        <w:rPr>
          <w:rFonts w:ascii="Arial" w:cs="Arial" w:eastAsia="Arial" w:hAnsi="Arial"/>
          <w:b w:val="false"/>
          <w:bCs w:val="false"/>
          <w:i w:val="false"/>
          <w:iCs w:val="false"/>
          <w:sz w:val="22"/>
          <w:szCs w:val="22"/>
          <w:vertAlign w:val="subscript"/>
        </w:rPr>
        <w:t xml:space="preserve">s</w:t>
      </w:r>
      <w:r>
        <w:rPr>
          <w:rFonts w:ascii="Arial" w:cs="Arial" w:eastAsia="Arial" w:hAnsi="Arial"/>
          <w:b w:val="false"/>
          <w:bCs w:val="false"/>
          <w:i w:val="false"/>
          <w:iCs w:val="false"/>
          <w:sz w:val="22"/>
          <w:szCs w:val="22"/>
        </w:rPr>
        <w:t xml:space="preserve"> ≈ ε</w:t>
      </w:r>
      <w:r>
        <w:rPr>
          <w:rFonts w:ascii="Arial" w:cs="Arial" w:eastAsia="Arial" w:hAnsi="Arial"/>
          <w:b w:val="false"/>
          <w:bCs w:val="false"/>
          <w:i w:val="false"/>
          <w:iCs w:val="false"/>
          <w:sz w:val="22"/>
          <w:szCs w:val="22"/>
          <w:vertAlign w:val="subscript"/>
        </w:rPr>
        <w:t xml:space="preserve">∞</w:t>
      </w:r>
      <w:r>
        <w:rPr>
          <w:rFonts w:ascii="Arial" w:cs="Arial" w:eastAsia="Arial" w:hAnsi="Arial"/>
          <w:b w:val="false"/>
          <w:bCs w:val="false"/>
          <w:i w:val="false"/>
          <w:iCs w:val="false"/>
          <w:sz w:val="22"/>
          <w:szCs w:val="22"/>
        </w:rPr>
        <w:t xml:space="preserve"> + Σ</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rPr>
        <w:t xml:space="preserve"> Z</w:t>
      </w:r>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rPr>
        <w:t xml:space="preserve"> / ω</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vertAlign w:val="superscript"/>
        </w:rPr>
        <w:t xml:space="preserve">6–8</w:t>
      </w:r>
      <w:r>
        <w:rPr>
          <w:rFonts w:ascii="Arial" w:cs="Arial" w:eastAsia="Arial" w:hAnsi="Arial"/>
          <w:b w:val="false"/>
          <w:bCs w:val="false"/>
          <w:i w:val="false"/>
          <w:iCs w:val="false"/>
          <w:sz w:val="22"/>
          <w:szCs w:val="22"/>
        </w:rPr>
        <w:t xml:space="preserve">, a microscopic relationship reproduced in recent first-principles studies across diverse perovskite families</w:t>
      </w:r>
      <w:r>
        <w:rPr>
          <w:rFonts w:ascii="Arial" w:cs="Arial" w:eastAsia="Arial" w:hAnsi="Arial"/>
          <w:b w:val="false"/>
          <w:bCs w:val="false"/>
          <w:i w:val="false"/>
          <w:iCs w:val="false"/>
          <w:sz w:val="22"/>
          <w:szCs w:val="22"/>
          <w:vertAlign w:val="superscript"/>
        </w:rPr>
        <w:t xml:space="preserve">9–12</w:t>
      </w:r>
      <w:r>
        <w:rPr>
          <w:rFonts w:ascii="Arial" w:cs="Arial" w:eastAsia="Arial" w:hAnsi="Arial"/>
          <w:b w:val="false"/>
          <w:bCs w:val="false"/>
          <w:i w:val="false"/>
          <w:iCs w:val="false"/>
          <w:sz w:val="22"/>
          <w:szCs w:val="22"/>
        </w:rPr>
        <w:t xml:space="preserve">.</w:t>
      </w:r>
    </w:p>
    <w:p>
      <w:pPr>
        <w:spacing w:after="120" w:line="252" w:lineRule="auto"/>
        <w:jc w:val="left"/>
      </w:pPr>
      <w:r>
        <w:rPr>
          <w:rFonts w:ascii="Arial" w:cs="Arial" w:eastAsia="Arial" w:hAnsi="Arial"/>
          <w:b w:val="false"/>
          <w:bCs w:val="false"/>
          <w:i w:val="false"/>
          <w:iCs w:val="false"/>
          <w:sz w:val="22"/>
          <w:szCs w:val="22"/>
        </w:rPr>
        <w:t xml:space="preserve">Competing with this enhancement, cooperative octahedral tilting — classified into Reaney regimes by the Goldschmidt tolerance factor — suppresses the polar response</w:t>
      </w:r>
      <w:r>
        <w:rPr>
          <w:rFonts w:ascii="Arial" w:cs="Arial" w:eastAsia="Arial" w:hAnsi="Arial"/>
          <w:b w:val="false"/>
          <w:bCs w:val="false"/>
          <w:i w:val="false"/>
          <w:iCs w:val="false"/>
          <w:sz w:val="22"/>
          <w:szCs w:val="22"/>
          <w:vertAlign w:val="superscript"/>
        </w:rPr>
        <w:t xml:space="preserve">3,13,14</w:t>
      </w:r>
      <w:r>
        <w:rPr>
          <w:rFonts w:ascii="Arial" w:cs="Arial" w:eastAsia="Arial" w:hAnsi="Arial"/>
          <w:b w:val="false"/>
          <w:bCs w:val="false"/>
          <w:i w:val="false"/>
          <w:iCs w:val="false"/>
          <w:sz w:val="22"/>
          <w:szCs w:val="22"/>
        </w:rPr>
        <w:t xml:space="preserve">. Although both mechanisms are well established individually, the soft-mode contribution lacks quantitative attribution across broad microwave-dielectric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composition spaces. Its dependence on A-site chemistry, long suspected</w:t>
      </w:r>
      <w:r>
        <w:rPr>
          <w:rFonts w:ascii="Arial" w:cs="Arial" w:eastAsia="Arial" w:hAnsi="Arial"/>
          <w:b w:val="false"/>
          <w:bCs w:val="false"/>
          <w:i w:val="false"/>
          <w:iCs w:val="false"/>
          <w:sz w:val="22"/>
          <w:szCs w:val="22"/>
          <w:vertAlign w:val="superscript"/>
        </w:rPr>
        <w:t xml:space="preserve">15,16</w:t>
      </w:r>
      <w:r>
        <w:rPr>
          <w:rFonts w:ascii="Arial" w:cs="Arial" w:eastAsia="Arial" w:hAnsi="Arial"/>
          <w:b w:val="false"/>
          <w:bCs w:val="false"/>
          <w:i w:val="false"/>
          <w:iCs w:val="false"/>
          <w:sz w:val="22"/>
          <w:szCs w:val="22"/>
        </w:rPr>
        <w:t xml:space="preserve">, remains statistically unestablished.</w:t>
      </w:r>
    </w:p>
    <w:p>
      <w:pPr>
        <w:spacing w:after="120" w:line="252" w:lineRule="auto"/>
        <w:jc w:val="left"/>
      </w:pPr>
      <w:r>
        <w:rPr>
          <w:rFonts w:ascii="Arial" w:cs="Arial" w:eastAsia="Arial" w:hAnsi="Arial"/>
          <w:b w:val="false"/>
          <w:bCs w:val="false"/>
          <w:i w:val="false"/>
          <w:iCs w:val="false"/>
          <w:sz w:val="22"/>
          <w:szCs w:val="22"/>
        </w:rPr>
        <w:t xml:space="preserve">Machine learning has accelerated dielectric prediction — from composition-based regressors to graph networks that infer dielectric tensors from atomic embeddings</w:t>
      </w:r>
      <w:r>
        <w:rPr>
          <w:rFonts w:ascii="Arial" w:cs="Arial" w:eastAsia="Arial" w:hAnsi="Arial"/>
          <w:b w:val="false"/>
          <w:bCs w:val="false"/>
          <w:i w:val="false"/>
          <w:iCs w:val="false"/>
          <w:sz w:val="22"/>
          <w:szCs w:val="22"/>
          <w:vertAlign w:val="superscript"/>
        </w:rPr>
        <w:t xml:space="preserve">17</w:t>
      </w:r>
      <w:r>
        <w:rPr>
          <w:rFonts w:ascii="Arial" w:cs="Arial" w:eastAsia="Arial" w:hAnsi="Arial"/>
          <w:b w:val="false"/>
          <w:bCs w:val="false"/>
          <w:i w:val="false"/>
          <w:iCs w:val="false"/>
          <w:sz w:val="22"/>
          <w:szCs w:val="22"/>
        </w:rPr>
        <w:t xml:space="preserve"> — and generative inverse-design and active-learning approaches have advanced functional-dielectric discovery</w:t>
      </w:r>
      <w:r>
        <w:rPr>
          <w:rFonts w:ascii="Arial" w:cs="Arial" w:eastAsia="Arial" w:hAnsi="Arial"/>
          <w:b w:val="false"/>
          <w:bCs w:val="false"/>
          <w:i w:val="false"/>
          <w:iCs w:val="false"/>
          <w:sz w:val="22"/>
          <w:szCs w:val="22"/>
          <w:vertAlign w:val="superscript"/>
        </w:rPr>
        <w:t xml:space="preserve">18–20</w:t>
      </w:r>
      <w:r>
        <w:rPr>
          <w:rFonts w:ascii="Arial" w:cs="Arial" w:eastAsia="Arial" w:hAnsi="Arial"/>
          <w:b w:val="false"/>
          <w:bCs w:val="false"/>
          <w:i w:val="false"/>
          <w:iCs w:val="false"/>
          <w:sz w:val="22"/>
          <w:szCs w:val="22"/>
        </w:rPr>
        <w:t xml:space="preserve">. Yet these models are accurate without being mechanistic: they map composition to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without exposing the physics. Practical microwave-dielectric ceramics — compositionally complex, substitutionally disordered solid solutions — are also largely absent from first-principles dielectric databases, motivating an approach grounded directly in experimental measurements.</w:t>
      </w:r>
    </w:p>
    <w:p>
      <w:pPr>
        <w:spacing w:after="120" w:line="252" w:lineRule="auto"/>
        <w:jc w:val="left"/>
      </w:pPr>
      <w:r>
        <w:rPr>
          <w:rFonts w:ascii="Arial" w:cs="Arial" w:eastAsia="Arial" w:hAnsi="Arial"/>
          <w:b w:val="false"/>
          <w:bCs w:val="false"/>
          <w:i w:val="false"/>
          <w:iCs w:val="false"/>
          <w:sz w:val="22"/>
          <w:szCs w:val="22"/>
        </w:rPr>
        <w:t xml:space="preserve">Here we present a physics-constrained neural network (PCNN) — an architecture-level realisation of physics-informed learning</w:t>
      </w:r>
      <w:r>
        <w:rPr>
          <w:rFonts w:ascii="Arial" w:cs="Arial" w:eastAsia="Arial" w:hAnsi="Arial"/>
          <w:b w:val="false"/>
          <w:bCs w:val="false"/>
          <w:i w:val="false"/>
          <w:iCs w:val="false"/>
          <w:sz w:val="22"/>
          <w:szCs w:val="22"/>
          <w:vertAlign w:val="superscript"/>
        </w:rPr>
        <w:t xml:space="preserve">21</w:t>
      </w:r>
      <w:r>
        <w:rPr>
          <w:rFonts w:ascii="Arial" w:cs="Arial" w:eastAsia="Arial" w:hAnsi="Arial"/>
          <w:b w:val="false"/>
          <w:bCs w:val="false"/>
          <w:i w:val="false"/>
          <w:iCs w:val="false"/>
          <w:sz w:val="22"/>
          <w:szCs w:val="22"/>
        </w:rPr>
        <w:t xml:space="preserve">, distinct from loss-penalised formulations — built around this decomposition. Trained on 1,304 experimentally measured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-type microwave dielectrics, it expresses each prediction as a sum of named physical contributions:</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ε</w:t>
      </w:r>
      <w:r>
        <w:rPr>
          <w:rFonts w:ascii="Arial" w:cs="Arial" w:eastAsia="Arial" w:hAnsi="Arial"/>
          <w:b w:val="false"/>
          <w:bCs w:val="false"/>
          <w:i/>
          <w:iCs/>
          <w:sz w:val="22"/>
          <w:szCs w:val="22"/>
          <w:vertAlign w:val="subscript"/>
        </w:rPr>
        <w:t xml:space="preserve">r</w:t>
      </w:r>
      <w:r>
        <w:rPr>
          <w:rFonts w:ascii="Arial" w:cs="Arial" w:eastAsia="Arial" w:hAnsi="Arial"/>
          <w:b w:val="false"/>
          <w:bCs w:val="false"/>
          <w:i/>
          <w:iCs/>
          <w:sz w:val="22"/>
          <w:szCs w:val="22"/>
        </w:rPr>
        <w:t xml:space="preserve"> = ε</w:t>
      </w:r>
      <w:r>
        <w:rPr>
          <w:rFonts w:ascii="Arial" w:cs="Arial" w:eastAsia="Arial" w:hAnsi="Arial"/>
          <w:b w:val="false"/>
          <w:bCs w:val="false"/>
          <w:i/>
          <w:iCs/>
          <w:sz w:val="22"/>
          <w:szCs w:val="22"/>
          <w:vertAlign w:val="subscript"/>
        </w:rPr>
        <w:t xml:space="preserve">CM</w:t>
      </w:r>
      <w:r>
        <w:rPr>
          <w:rFonts w:ascii="Arial" w:cs="Arial" w:eastAsia="Arial" w:hAnsi="Arial"/>
          <w:b w:val="false"/>
          <w:bCs w:val="false"/>
          <w:i/>
          <w:iCs/>
          <w:sz w:val="22"/>
          <w:szCs w:val="22"/>
        </w:rPr>
        <w:t xml:space="preserve"> + δ</w:t>
      </w:r>
      <w:r>
        <w:rPr>
          <w:rFonts w:ascii="Arial" w:cs="Arial" w:eastAsia="Arial" w:hAnsi="Arial"/>
          <w:b w:val="false"/>
          <w:bCs w:val="false"/>
          <w:i/>
          <w:iCs/>
          <w:sz w:val="22"/>
          <w:szCs w:val="22"/>
          <w:vertAlign w:val="subscript"/>
        </w:rPr>
        <w:t xml:space="preserve">LST</w:t>
      </w:r>
      <w:r>
        <w:rPr>
          <w:rFonts w:ascii="Arial" w:cs="Arial" w:eastAsia="Arial" w:hAnsi="Arial"/>
          <w:b w:val="false"/>
          <w:bCs w:val="false"/>
          <w:i/>
          <w:iCs/>
          <w:sz w:val="22"/>
          <w:szCs w:val="22"/>
        </w:rPr>
        <w:t xml:space="preserve"> + δ</w:t>
      </w:r>
      <w:r>
        <w:rPr>
          <w:rFonts w:ascii="Arial" w:cs="Arial" w:eastAsia="Arial" w:hAnsi="Arial"/>
          <w:b w:val="false"/>
          <w:bCs w:val="false"/>
          <w:i/>
          <w:iCs/>
          <w:sz w:val="22"/>
          <w:szCs w:val="22"/>
          <w:vertAlign w:val="subscript"/>
        </w:rPr>
        <w:t xml:space="preserve">tilt</w:t>
      </w:r>
      <w:r>
        <w:rPr>
          <w:rFonts w:ascii="Arial" w:cs="Arial" w:eastAsia="Arial" w:hAnsi="Arial"/>
          <w:b w:val="false"/>
          <w:bCs w:val="false"/>
          <w:i/>
          <w:iCs/>
          <w:sz w:val="22"/>
          <w:szCs w:val="22"/>
        </w:rPr>
        <w:t xml:space="preserve"> + δ</w:t>
      </w:r>
      <w:r>
        <w:rPr>
          <w:rFonts w:ascii="Arial" w:cs="Arial" w:eastAsia="Arial" w:hAnsi="Arial"/>
          <w:b w:val="false"/>
          <w:bCs w:val="false"/>
          <w:i/>
          <w:iCs/>
          <w:sz w:val="22"/>
          <w:szCs w:val="22"/>
          <w:vertAlign w:val="subscript"/>
        </w:rPr>
        <w:t xml:space="preserve">res</w:t>
      </w:r>
    </w:p>
    <w:p>
      <w:pPr>
        <w:spacing w:after="120" w:line="252" w:lineRule="auto"/>
        <w:jc w:val="left"/>
      </w:pPr>
      <w:r>
        <w:rPr>
          <w:rFonts w:ascii="Arial" w:cs="Arial" w:eastAsia="Arial" w:hAnsi="Arial"/>
          <w:b w:val="false"/>
          <w:bCs w:val="false"/>
          <w:i w:val="false"/>
          <w:iCs w:val="false"/>
          <w:sz w:val="22"/>
          <w:szCs w:val="22"/>
        </w:rPr>
        <w:t xml:space="preserve">By construction, soft-mode amplification contributes positively to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whereas octahedral tilting contributes negatively. We refer to this model as PCNN throughout, with branches named for their physical content: Clausius–Mossotti (ε</w:t>
      </w:r>
      <w:r>
        <w:rPr>
          <w:rFonts w:ascii="Arial" w:cs="Arial" w:eastAsia="Arial" w:hAnsi="Arial"/>
          <w:b w:val="false"/>
          <w:bCs w:val="false"/>
          <w:i w:val="false"/>
          <w:iCs w:val="false"/>
          <w:sz w:val="22"/>
          <w:szCs w:val="22"/>
          <w:vertAlign w:val="subscript"/>
        </w:rPr>
        <w:t xml:space="preserve">CM</w:t>
      </w:r>
      <w:r>
        <w:rPr>
          <w:rFonts w:ascii="Arial" w:cs="Arial" w:eastAsia="Arial" w:hAnsi="Arial"/>
          <w:b w:val="false"/>
          <w:bCs w:val="false"/>
          <w:i w:val="false"/>
          <w:iCs w:val="false"/>
          <w:sz w:val="22"/>
          <w:szCs w:val="22"/>
        </w:rPr>
        <w:t xml:space="preserve">), Lyddane–Sachs–Teller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tilt (δ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and residual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w:t>
      </w:r>
    </w:p>
    <w:p>
      <w:pPr>
        <w:spacing w:after="120" w:line="252" w:lineRule="auto"/>
        <w:jc w:val="left"/>
      </w:pPr>
      <w:r>
        <w:rPr>
          <w:rFonts w:ascii="Arial" w:cs="Arial" w:eastAsia="Arial" w:hAnsi="Arial"/>
          <w:b w:val="false"/>
          <w:bCs w:val="false"/>
          <w:i w:val="false"/>
          <w:iCs w:val="false"/>
          <w:sz w:val="22"/>
          <w:szCs w:val="22"/>
        </w:rPr>
        <w:t xml:space="preserve">Using this decomposition, we quantify how lattice dynamics organize dielectric amplification across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chemistry space, with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accounting for 54.1% of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The model (i) establishes the A-site amplification hierarchy Pb &gt; Ca &gt; La &gt; Sr &gt; Ba (permutation p &lt; 10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(ii) shows by counterfactual analysis that A-site chemistry controls the soft-mode channel independently of the B-site, with 96% of the model-attributed correction assigned to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(iii) identifies Pb-based compositions as a distinct chemical extrapolation boundary consistent with Pb 6s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lone-pair-driven polarization; and (iv) under physics-constrained genetic-algorithm inverse design, identifies a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-dominated lead-free composition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predicted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147 with 90% conformal lower bound 132) explicitly flagged by the model's density gate as a compositional-extrapolation synthesis target.</w:t>
      </w:r>
    </w:p>
    <w:p>
      <w:pPr>
        <w:pStyle w:val="Heading1"/>
        <w:spacing w:after="240" w:before="360" w:line="480" w:lineRule="auto"/>
      </w:pPr>
      <w:r>
        <w:rPr>
          <w:rFonts w:ascii="Arial" w:cs="Arial" w:eastAsia="Arial" w:hAnsi="Arial"/>
          <w:b/>
          <w:bCs/>
          <w:color w:val="000000"/>
          <w:sz w:val="28"/>
          <w:szCs w:val="28"/>
        </w:rPr>
        <w:t xml:space="preserve">Results</w:t>
      </w:r>
    </w:p>
    <w:p>
      <w:pPr>
        <w:spacing w:after="160" w:before="220" w:line="480" w:lineRule="auto"/>
      </w:pPr>
      <w:r>
        <w:rPr>
          <w:rFonts w:ascii="Arial" w:cs="Arial" w:eastAsia="Arial" w:hAnsi="Arial"/>
          <w:b/>
          <w:bCs/>
          <w:i/>
          <w:iCs/>
          <w:color w:val="000000"/>
          <w:sz w:val="22"/>
          <w:szCs w:val="22"/>
        </w:rPr>
        <w:t xml:space="preserve">Soft-mode amplification is the largest attributed contributor to permittivity across composition space</w:t>
      </w:r>
    </w:p>
    <w:p>
      <w:pPr>
        <w:spacing w:after="120" w:line="252" w:lineRule="auto"/>
        <w:jc w:val="left"/>
      </w:pPr>
      <w:r>
        <w:rPr>
          <w:rFonts w:ascii="Arial" w:cs="Arial" w:eastAsia="Arial" w:hAnsi="Arial"/>
          <w:b w:val="false"/>
          <w:bCs w:val="false"/>
          <w:i w:val="false"/>
          <w:iCs w:val="false"/>
          <w:sz w:val="22"/>
          <w:szCs w:val="22"/>
        </w:rPr>
        <w:t xml:space="preserve">The LST branch — the lattice contribution the static-ionic Clausius–Mossotti (CM) baseline omits (Fig. 1) — is the largest attributed contributor to microwave permittivity across 1,124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ceramics for which a CM baseline is defined (of 1,304; the remaining 180 route through a no-CM fallback, Methods) (54.1%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versus 46.2% from the CM static-ionic baseline, with octahedral tilt at −0.7% and the residual at 0.4%;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-weighted shares that sum to exactly 100% by construction; Fig. 2c).</w:t>
      </w:r>
    </w:p>
    <w:p>
      <w:pPr>
        <w:spacing w:after="120" w:line="252" w:lineRule="auto"/>
        <w:jc w:val="left"/>
      </w:pPr>
      <w:r>
        <w:rPr>
          <w:rFonts w:ascii="Arial" w:cs="Arial" w:eastAsia="Arial" w:hAnsi="Arial"/>
          <w:b w:val="false"/>
          <w:bCs w:val="false"/>
          <w:i w:val="false"/>
          <w:iCs w:val="false"/>
          <w:sz w:val="22"/>
          <w:szCs w:val="22"/>
        </w:rPr>
        <w:t xml:space="preserve">We obtain this attribution from a physics-constrained neural network (PCNN; architecture in §3 below, Supplementary Note 2). The split is structurally organised: the static-ionic CM baseline carries the bulk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in low-tilt regimes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 72.9% in Ia, 65.6% in Ib), whereas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becomes the majority contribution in the tilted regimes II (57.0%) and III (60.9%) — a crossover from CM-baseline- to lattice-driven permittivity (Fig. 2c). We interpret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as the model's allocation of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the lattice contribution the CM baseline omits, as expected from LST physics and the Born-charge / soft-mode picture</w:t>
      </w:r>
      <w:r>
        <w:rPr>
          <w:rFonts w:ascii="Arial" w:cs="Arial" w:eastAsia="Arial" w:hAnsi="Arial"/>
          <w:b w:val="false"/>
          <w:bCs w:val="false"/>
          <w:i w:val="false"/>
          <w:iCs w:val="false"/>
          <w:sz w:val="22"/>
          <w:szCs w:val="22"/>
          <w:vertAlign w:val="superscript"/>
        </w:rPr>
        <w:t xml:space="preserve">9,22</w:t>
      </w:r>
      <w:r>
        <w:rPr>
          <w:rFonts w:ascii="Arial" w:cs="Arial" w:eastAsia="Arial" w:hAnsi="Arial"/>
          <w:b w:val="false"/>
          <w:bCs w:val="false"/>
          <w:i w:val="false"/>
          <w:iCs w:val="false"/>
          <w:sz w:val="22"/>
          <w:szCs w:val="22"/>
        </w:rPr>
        <w:t xml:space="preserve"> — not an independently measured soft-mode amplitude; confirming the assignment would require an external </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probe.</w:t>
      </w:r>
    </w:p>
    <w:p>
      <w:pPr>
        <w:spacing w:after="120" w:line="252" w:lineRule="auto"/>
        <w:jc w:val="left"/>
      </w:pPr>
      <w:r>
        <w:rPr>
          <w:rFonts w:ascii="Arial" w:cs="Arial" w:eastAsia="Arial" w:hAnsi="Arial"/>
          <w:b w:val="false"/>
          <w:bCs w:val="false"/>
          <w:i w:val="false"/>
          <w:iCs w:val="false"/>
          <w:sz w:val="22"/>
          <w:szCs w:val="22"/>
        </w:rPr>
        <w:t xml:space="preserve">The 54% share is a learned attribution rather than an arithmetic consequence of the sign-constrained architecture, on four independent grounds. First, the non-negativity bound on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is slack for every composition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&gt; 0.7 throughout; the floor binds for 0 of 1,124 samples), so the LST share is not pinned by the constraint and the residual carries &lt; 1% of the correction budget. Second, the attribution holds out of sample (a 59% soft-mode share on the 88 held-out valid-CM compositions versus 54% across the corpus), ruling out a training-set artefact. Third, magnitude and variance tell complementary stories: the static-ionic CM baseline is a near-uniform floor (coefficient of variation 0.28) that supplies ~46% of the permittivity but only ~11% of its composition-to-composition variance, whereas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(coefficient of variation 1.05) carries ~87% — a tautological residual would track CM imprecision (low coefficient of variation), not chemistry. Fourth, a Shapley decomposition over the 2</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branch ablations assigns a marginal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of 0.909 to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versus 0.049 to CM and 0.0001 to tilt, with coalition values paired by fold across a reduced 3-fold Strat-GSS evaluation × 3 random seeds (Methods §Baseline comparison), and removing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alone collapses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by 0.688. The tilt branch is correspondingly near-inactive (active for ~10% of compositions, −0.7%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 small, physically expected correction rather than an independent predictor.</w:t>
      </w:r>
    </w:p>
    <w:p>
      <w:pPr>
        <w:spacing w:after="120" w:line="252" w:lineRule="auto"/>
        <w:jc w:val="left"/>
      </w:pPr>
      <w:r>
        <w:rPr>
          <w:rFonts w:ascii="Arial" w:cs="Arial" w:eastAsia="Arial" w:hAnsi="Arial"/>
          <w:b w:val="false"/>
          <w:bCs w:val="false"/>
          <w:i w:val="false"/>
          <w:iCs w:val="false"/>
          <w:sz w:val="22"/>
          <w:szCs w:val="22"/>
        </w:rPr>
        <w:t xml:space="preserve">External first-principles studies</w:t>
      </w:r>
      <w:r>
        <w:rPr>
          <w:rFonts w:ascii="Arial" w:cs="Arial" w:eastAsia="Arial" w:hAnsi="Arial"/>
          <w:b w:val="false"/>
          <w:bCs w:val="false"/>
          <w:i w:val="false"/>
          <w:iCs w:val="false"/>
          <w:sz w:val="22"/>
          <w:szCs w:val="22"/>
          <w:vertAlign w:val="superscript"/>
        </w:rPr>
        <w:t xml:space="preserve">10–12</w:t>
      </w:r>
      <w:r>
        <w:rPr>
          <w:rFonts w:ascii="Arial" w:cs="Arial" w:eastAsia="Arial" w:hAnsi="Arial"/>
          <w:b w:val="false"/>
          <w:bCs w:val="false"/>
          <w:i w:val="false"/>
          <w:iCs w:val="false"/>
          <w:sz w:val="22"/>
          <w:szCs w:val="22"/>
        </w:rPr>
        <w:t xml:space="preserve"> independently derive the inverse-ω</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dependence of static permittivity and the same A-cation-radius / 6s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hierarchy on representative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 placing the data-driven attribution within the broader microscopic framework. The bare CM relation</w:t>
      </w:r>
      <w:r>
        <w:rPr>
          <w:rFonts w:ascii="Arial" w:cs="Arial" w:eastAsia="Arial" w:hAnsi="Arial"/>
          <w:b w:val="false"/>
          <w:bCs w:val="false"/>
          <w:i w:val="false"/>
          <w:iCs w:val="false"/>
          <w:sz w:val="22"/>
          <w:szCs w:val="22"/>
          <w:vertAlign w:val="superscript"/>
        </w:rPr>
        <w:t xml:space="preserve">4,5</w:t>
      </w:r>
      <w:r>
        <w:rPr>
          <w:rFonts w:ascii="Arial" w:cs="Arial" w:eastAsia="Arial" w:hAnsi="Arial"/>
          <w:b w:val="false"/>
          <w:bCs w:val="false"/>
          <w:i w:val="false"/>
          <w:iCs w:val="false"/>
          <w:sz w:val="22"/>
          <w:szCs w:val="22"/>
        </w:rPr>
        <w:t xml:space="preserve"> — the Shannon-polarizability sum being a total static-ionic polarizability, not a purely electronic ε</w:t>
      </w:r>
      <w:r>
        <w:rPr>
          <w:rFonts w:ascii="Arial" w:cs="Arial" w:eastAsia="Arial" w:hAnsi="Arial"/>
          <w:b w:val="false"/>
          <w:bCs w:val="false"/>
          <w:i w:val="false"/>
          <w:iCs w:val="false"/>
          <w:sz w:val="22"/>
          <w:szCs w:val="22"/>
          <w:vertAlign w:val="subscript"/>
        </w:rPr>
        <w:t xml:space="preserve">∞</w:t>
      </w:r>
      <w:r>
        <w:rPr>
          <w:rFonts w:ascii="Arial" w:cs="Arial" w:eastAsia="Arial" w:hAnsi="Arial"/>
          <w:b w:val="false"/>
          <w:bCs w:val="false"/>
          <w:i w:val="false"/>
          <w:iCs w:val="false"/>
          <w:sz w:val="22"/>
          <w:szCs w:val="22"/>
          <w:vertAlign w:val="superscript"/>
        </w:rPr>
        <w:t xml:space="preserve">23</w:t>
      </w:r>
      <w:r>
        <w:rPr>
          <w:rFonts w:ascii="Arial" w:cs="Arial" w:eastAsia="Arial" w:hAnsi="Arial"/>
          <w:b w:val="false"/>
          <w:bCs w:val="false"/>
          <w:i w:val="false"/>
          <w:iCs w:val="false"/>
          <w:sz w:val="22"/>
          <w:szCs w:val="22"/>
        </w:rPr>
        <w:t xml:space="preserve"> — yields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−0.584 (MAPE 45.9%; Fig. 1a), with the largest deficit in tilted regimes (Regime II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−1.38; Fig. 1b). The measured-to-CM enhancement ratio exceeds unity for nearly all compositions (median 1.92×; Fig. 1c), and the gap to measured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80–143 of Ca- and Sr-rich titanates is the lattice-dynamical enhancement</w:t>
      </w:r>
      <w:r>
        <w:rPr>
          <w:rFonts w:ascii="Arial" w:cs="Arial" w:eastAsia="Arial" w:hAnsi="Arial"/>
          <w:b w:val="false"/>
          <w:bCs w:val="false"/>
          <w:i w:val="false"/>
          <w:iCs w:val="false"/>
          <w:sz w:val="22"/>
          <w:szCs w:val="22"/>
          <w:vertAlign w:val="superscript"/>
        </w:rPr>
        <w:t xml:space="preserve">6</w:t>
      </w:r>
      <w:r>
        <w:rPr>
          <w:rFonts w:ascii="Arial" w:cs="Arial" w:eastAsia="Arial" w:hAnsi="Arial"/>
          <w:b w:val="false"/>
          <w:bCs w:val="false"/>
          <w:i w:val="false"/>
          <w:iCs w:val="false"/>
          <w:sz w:val="22"/>
          <w:szCs w:val="22"/>
        </w:rPr>
        <w:t xml:space="preserve"> the PCNN isolates (per-regime CM residual in Supplementary Fig. 16).</w:t>
      </w:r>
    </w:p>
    <w:p>
      <w:pPr>
        <w:sectPr>
          <w:footerReference w:type="default" r:id="rId8"/>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2143125"/>
            <wp:effectExtent t="0" r="0" b="0" l="0"/>
            <wp:docPr id="1" name="fig1_motivation.png" descr="Figure" title="fig1_mot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143125"/>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1 | Failure of classical theory and motivation for physics-constrained ML.</w:t>
      </w:r>
      <w:r>
        <w:rPr>
          <w:rFonts w:ascii="Arial" w:cs="Arial" w:eastAsia="Arial" w:hAnsi="Arial"/>
          <w:b w:val="false"/>
          <w:bCs w:val="false"/>
          <w:i w:val="false"/>
          <w:iCs w:val="false"/>
          <w:sz w:val="18"/>
          <w:szCs w:val="18"/>
        </w:rPr>
        <w:t xml:space="preserve"> </w:t>
      </w:r>
      <w:r>
        <w:rPr>
          <w:rFonts w:ascii="Arial" w:cs="Arial" w:eastAsia="Arial" w:hAnsi="Arial"/>
          <w:b/>
          <w:bCs/>
          <w:i w:val="false"/>
          <w:iCs w:val="false"/>
          <w:sz w:val="18"/>
          <w:szCs w:val="18"/>
        </w:rPr>
        <w:t xml:space="preserve">a</w:t>
      </w:r>
      <w:r>
        <w:rPr>
          <w:rFonts w:ascii="Arial" w:cs="Arial" w:eastAsia="Arial" w:hAnsi="Arial"/>
          <w:b w:val="false"/>
          <w:bCs w:val="false"/>
          <w:i w:val="false"/>
          <w:iCs w:val="false"/>
          <w:sz w:val="18"/>
          <w:szCs w:val="18"/>
        </w:rPr>
        <w:t xml:space="preserve">, Predicted versus measured permittivity for the Clausius–Mossotti (CM) baseline on the 1,124 </w:t>
      </w:r>
      <w:r>
        <w:rPr>
          <w:rFonts w:ascii="Arial" w:cs="Arial" w:eastAsia="Arial" w:hAnsi="Arial"/>
          <w:b w:val="false"/>
          <w:bCs w:val="false"/>
          <w:i/>
          <w:iCs/>
          <w:sz w:val="18"/>
          <w:szCs w:val="18"/>
        </w:rPr>
        <w:t xml:space="preserve">ABO</w:t>
      </w:r>
      <w:r>
        <w:rPr>
          <w:rFonts w:ascii="Arial" w:cs="Arial" w:eastAsia="Arial" w:hAnsi="Arial"/>
          <w:b w:val="false"/>
          <w:bCs w:val="false"/>
          <w:i w:val="false"/>
          <w:iCs w:val="false"/>
          <w:sz w:val="18"/>
          <w:szCs w:val="18"/>
          <w:vertAlign w:val="subscript"/>
        </w:rPr>
        <w:t xml:space="preserve">3</w:t>
      </w:r>
      <w:r>
        <w:rPr>
          <w:rFonts w:ascii="Arial" w:cs="Arial" w:eastAsia="Arial" w:hAnsi="Arial"/>
          <w:b w:val="false"/>
          <w:bCs w:val="false"/>
          <w:i w:val="false"/>
          <w:iCs w:val="false"/>
          <w:sz w:val="18"/>
          <w:szCs w:val="18"/>
        </w:rPr>
        <w:t xml:space="preserve"> compositions for which a valid CM evaluation is available, coloured by Reaney regime (Ia, Ib, II, III). The 1:1 line (black dashed) and ±10% band (grey shaded) mark the ideal prediction envelope; the CM relation underpredicts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across the entire range and yields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−0.584 with mean absolute percentage error 45.9% (a negative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indicates worse-than-mean prediction). </w:t>
      </w:r>
      <w:r>
        <w:rPr>
          <w:rFonts w:ascii="Arial" w:cs="Arial" w:eastAsia="Arial" w:hAnsi="Arial"/>
          <w:b/>
          <w:bCs/>
          <w:i w:val="false"/>
          <w:iCs w:val="false"/>
          <w:sz w:val="18"/>
          <w:szCs w:val="18"/>
        </w:rPr>
        <w:t xml:space="preserve">b</w:t>
      </w:r>
      <w:r>
        <w:rPr>
          <w:rFonts w:ascii="Arial" w:cs="Arial" w:eastAsia="Arial" w:hAnsi="Arial"/>
          <w:b w:val="false"/>
          <w:bCs w:val="false"/>
          <w:i w:val="false"/>
          <w:iCs w:val="false"/>
          <w:sz w:val="18"/>
          <w:szCs w:val="18"/>
        </w:rPr>
        <w:t xml:space="preserve">, Per-regime distribution of CM residuals (ε</w:t>
      </w:r>
      <w:r>
        <w:rPr>
          <w:rFonts w:ascii="Arial" w:cs="Arial" w:eastAsia="Arial" w:hAnsi="Arial"/>
          <w:b w:val="false"/>
          <w:bCs w:val="false"/>
          <w:i w:val="false"/>
          <w:iCs w:val="false"/>
          <w:sz w:val="18"/>
          <w:szCs w:val="18"/>
          <w:vertAlign w:val="subscript"/>
        </w:rPr>
        <w:t xml:space="preserve">r,measured</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r,CM</w:t>
      </w:r>
      <w:r>
        <w:rPr>
          <w:rFonts w:ascii="Arial" w:cs="Arial" w:eastAsia="Arial" w:hAnsi="Arial"/>
          <w:b w:val="false"/>
          <w:bCs w:val="false"/>
          <w:i w:val="false"/>
          <w:iCs w:val="false"/>
          <w:sz w:val="18"/>
          <w:szCs w:val="18"/>
        </w:rPr>
        <w:t xml:space="preserve">) showing systematic underprediction largest in the tilted regimes II (median 25.0) and III (median 19.1), with the deviation increasing toward smaller tolerance factors. </w:t>
      </w:r>
      <w:r>
        <w:rPr>
          <w:rFonts w:ascii="Arial" w:cs="Arial" w:eastAsia="Arial" w:hAnsi="Arial"/>
          <w:b/>
          <w:bCs/>
          <w:i w:val="false"/>
          <w:iCs w:val="false"/>
          <w:sz w:val="18"/>
          <w:szCs w:val="18"/>
        </w:rPr>
        <w:t xml:space="preserve">c</w:t>
      </w:r>
      <w:r>
        <w:rPr>
          <w:rFonts w:ascii="Arial" w:cs="Arial" w:eastAsia="Arial" w:hAnsi="Arial"/>
          <w:b w:val="false"/>
          <w:bCs w:val="false"/>
          <w:i w:val="false"/>
          <w:iCs w:val="false"/>
          <w:sz w:val="18"/>
          <w:szCs w:val="18"/>
        </w:rPr>
        <w:t xml:space="preserve">, Histogram of the empirical enhancement ratio ε</w:t>
      </w:r>
      <w:r>
        <w:rPr>
          <w:rFonts w:ascii="Arial" w:cs="Arial" w:eastAsia="Arial" w:hAnsi="Arial"/>
          <w:b w:val="false"/>
          <w:bCs w:val="false"/>
          <w:i w:val="false"/>
          <w:iCs w:val="false"/>
          <w:sz w:val="18"/>
          <w:szCs w:val="18"/>
          <w:vertAlign w:val="subscript"/>
        </w:rPr>
        <w:t xml:space="preserve">r,measured</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r,CM</w:t>
      </w:r>
      <w:r>
        <w:rPr>
          <w:rFonts w:ascii="Arial" w:cs="Arial" w:eastAsia="Arial" w:hAnsi="Arial"/>
          <w:b w:val="false"/>
          <w:bCs w:val="false"/>
          <w:i w:val="false"/>
          <w:iCs w:val="false"/>
          <w:sz w:val="18"/>
          <w:szCs w:val="18"/>
        </w:rPr>
        <w:t xml:space="preserve"> across the 1,124 valid-CM compositions, with the no-enhancement reference (ratio = 1) marked. The distribution is centred well above unity (median 1.92), confirming that the soft-mode contribution typically carries the largest share of the dielectric response in the microwave regime and lies beyond the reach of purely electronic theories. Together, these data motivate an architecture in which the soft-mode enhancement is explicitly modelled as an additive correction to a CM anchor. Source data are provided as a Source Data file.</w:t>
      </w:r>
    </w:p>
    <w:p>
      <w:pPr>
        <w:sectPr>
          <w:footerReference w:type="default" r:id="rId9"/>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spacing w:after="160" w:before="220" w:line="480" w:lineRule="auto"/>
      </w:pPr>
      <w:r>
        <w:rPr>
          <w:rFonts w:ascii="Arial" w:cs="Arial" w:eastAsia="Arial" w:hAnsi="Arial"/>
          <w:b/>
          <w:bCs/>
          <w:i/>
          <w:iCs/>
          <w:color w:val="000000"/>
          <w:sz w:val="22"/>
          <w:szCs w:val="22"/>
        </w:rPr>
        <w:t xml:space="preserve">A-site chemistry sets the soft-mode amplification hierarchy</w:t>
      </w:r>
    </w:p>
    <w:p>
      <w:pPr>
        <w:spacing w:after="120" w:line="252" w:lineRule="auto"/>
        <w:jc w:val="left"/>
      </w:pPr>
      <w:r>
        <w:rPr>
          <w:rFonts w:ascii="Arial" w:cs="Arial" w:eastAsia="Arial" w:hAnsi="Arial"/>
          <w:b w:val="false"/>
          <w:bCs w:val="false"/>
          <w:i w:val="false"/>
          <w:iCs w:val="false"/>
          <w:sz w:val="22"/>
          <w:szCs w:val="22"/>
        </w:rPr>
        <w:t xml:space="preserve">The LST amplitude itself is governed by A-site chemistry. We define the soft-mode amplification factor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as the LST contribution expressed as a multiple of the electronic CM baseline. Aggregated across the five dominant A-site families — 1,075 of the 1,124 valid-CM compositions; the remaining 49 carry minor A-site cations (lanthanides other than La, alkali metals) excluded here — the decomposition yields a strict ordering Pb (2.28×) &gt; Ca (1.66×) &gt; La (1.13×) &gt; Sr (0.91×) &gt; Ba (0.66×)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 83, 344, 121, 159 and 368, respectively; Fig. 2a). A permutation test (2,000 randomisations) gives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0.0005 for the A-site rank (0 of 2,000 permutations reached the observed range 1.622; null mean 0.209,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rPr>
        <w:t xml:space="preserve"> ≈ 17</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rPr>
        <w:t xml:space="preserve">; null distributions in Supplementary Fig. 14); the regime ordering is likewise significant under the same label-permutation test (observed range 1.136,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rPr>
        <w:t xml:space="preserve"> ≈ 9</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0.0005).</w:t>
      </w:r>
    </w:p>
    <w:p>
      <w:pPr>
        <w:spacing w:after="120" w:line="252" w:lineRule="auto"/>
        <w:jc w:val="left"/>
      </w:pPr>
      <w:r>
        <w:rPr>
          <w:rFonts w:ascii="Arial" w:cs="Arial" w:eastAsia="Arial" w:hAnsi="Arial"/>
          <w:b w:val="false"/>
          <w:bCs w:val="false"/>
          <w:i w:val="false"/>
          <w:iCs w:val="false"/>
          <w:sz w:val="22"/>
          <w:szCs w:val="22"/>
        </w:rPr>
        <w:t xml:space="preserve">Because A-site identity co-varies with Reaney regime and B-site chemistry, we corroborate the ranking through its systematic dependence on A-site ionic radius (below). The LST features carry the largest aggregate SHapley Additive exPlanations</w:t>
      </w:r>
      <w:r>
        <w:rPr>
          <w:rFonts w:ascii="Arial" w:cs="Arial" w:eastAsia="Arial" w:hAnsi="Arial"/>
          <w:b w:val="false"/>
          <w:bCs w:val="false"/>
          <w:i w:val="false"/>
          <w:iCs w:val="false"/>
          <w:sz w:val="22"/>
          <w:szCs w:val="22"/>
          <w:vertAlign w:val="superscript"/>
        </w:rPr>
        <w:t xml:space="preserve">24</w:t>
      </w:r>
      <w:r>
        <w:rPr>
          <w:rFonts w:ascii="Arial" w:cs="Arial" w:eastAsia="Arial" w:hAnsi="Arial"/>
          <w:b w:val="false"/>
          <w:bCs w:val="false"/>
          <w:i w:val="false"/>
          <w:iCs w:val="false"/>
          <w:sz w:val="22"/>
          <w:szCs w:val="22"/>
        </w:rPr>
        <w:t xml:space="preserve"> (SHAP) attribution (mean |SHAP| 42.6 vs 22.0 residual and 15.4 tilt; Supplementary Fig. 11), with the CM baseline, the tolerance-weighted soft-mode term and the second-order Jahn–Teller weighting the leading individual predictors. Chemical drivers (A-site electronegativity, ionic radius) and the A-site-resolved CM/LST/tilt decomposition appear in Supplementary Figs. 17, 21, 22. The hierarchy emerges from the LST branch without being imposed: the architecture forces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0 and decouples it from the CM anchor.</w:t>
      </w:r>
    </w:p>
    <w:p>
      <w:pPr>
        <w:spacing w:after="120" w:line="252" w:lineRule="auto"/>
        <w:jc w:val="left"/>
      </w:pPr>
      <w:r>
        <w:rPr>
          <w:rFonts w:ascii="Arial" w:cs="Arial" w:eastAsia="Arial" w:hAnsi="Arial"/>
          <w:b w:val="false"/>
          <w:bCs w:val="false"/>
          <w:i w:val="false"/>
          <w:iCs w:val="false"/>
          <w:sz w:val="22"/>
          <w:szCs w:val="22"/>
        </w:rPr>
        <w:t xml:space="preserve">The Ba→Sr→La→Ca trend follows the monotonic decrease of the Shannon 12-coordinate ionic radius: a smaller A-site produces a tighter cage and stronger B-site off-centring (the explicit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versus ionic-radius relation is plotted in Fig. 2b;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increases monotonically as the 12-coordinate radius contracts over this segment, with the four-point trend reproduced in Supplementary Fig. 17 and the within-Ca/La gap reflecting valence rather than radius — see caption). The model therefore independently recovers the canonical Shannon-radius series for A-site cage effects on the soft mode</w:t>
      </w:r>
      <w:r>
        <w:rPr>
          <w:rFonts w:ascii="Arial" w:cs="Arial" w:eastAsia="Arial" w:hAnsi="Arial"/>
          <w:b w:val="false"/>
          <w:bCs w:val="false"/>
          <w:i w:val="false"/>
          <w:iCs w:val="false"/>
          <w:sz w:val="22"/>
          <w:szCs w:val="22"/>
          <w:vertAlign w:val="superscript"/>
        </w:rPr>
        <w:t xml:space="preserve">1,3,8</w:t>
      </w:r>
      <w:r>
        <w:rPr>
          <w:rFonts w:ascii="Arial" w:cs="Arial" w:eastAsia="Arial" w:hAnsi="Arial"/>
          <w:b w:val="false"/>
          <w:bCs w:val="false"/>
          <w:i w:val="false"/>
          <w:iCs w:val="false"/>
          <w:sz w:val="22"/>
          <w:szCs w:val="22"/>
        </w:rPr>
        <w:t xml:space="preserve">, the same A-cation-radius dependence of the soft-mode atomic-displacement amplitude derived in recent systematic DFT calculations across (Cs,Rb,K,Na)TaO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(Ba,Pb,Sn,Ge)TiO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and (Rb,K,Na,Li)NbO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vertAlign w:val="superscript"/>
        </w:rPr>
        <w:t xml:space="preserve">10</w:t>
      </w:r>
      <w:r>
        <w:rPr>
          <w:rFonts w:ascii="Arial" w:cs="Arial" w:eastAsia="Arial" w:hAnsi="Arial"/>
          <w:b w:val="false"/>
          <w:bCs w:val="false"/>
          <w:i w:val="false"/>
          <w:iCs w:val="false"/>
          <w:sz w:val="22"/>
          <w:szCs w:val="22"/>
        </w:rPr>
        <w:t xml:space="preserve">. Pb breaks this monotonicity upward, consistent with 6</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 stereoactivity, a mechanism with no analogue in alkaline-earth chemistry</w:t>
      </w:r>
      <w:r>
        <w:rPr>
          <w:rFonts w:ascii="Arial" w:cs="Arial" w:eastAsia="Arial" w:hAnsi="Arial"/>
          <w:b w:val="false"/>
          <w:bCs w:val="false"/>
          <w:i w:val="false"/>
          <w:iCs w:val="false"/>
          <w:sz w:val="22"/>
          <w:szCs w:val="22"/>
          <w:vertAlign w:val="superscript"/>
        </w:rPr>
        <w:t xml:space="preserve">10,15,16,25,26</w:t>
      </w:r>
      <w:r>
        <w:rPr>
          <w:rFonts w:ascii="Arial" w:cs="Arial" w:eastAsia="Arial" w:hAnsi="Arial"/>
          <w:b w:val="false"/>
          <w:bCs w:val="false"/>
          <w:i w:val="false"/>
          <w:iCs w:val="false"/>
          <w:sz w:val="22"/>
          <w:szCs w:val="22"/>
        </w:rPr>
        <w:t xml:space="preserve"> — in PbTiO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the lone-pair-driven Pb–O hybridisation produces anomalously large Born effective charges relative to the alkaline-earth titanates, the same DFT signature that organises our A-site hierarchy at the data-driven level. The per-A-site ranking of measured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alone reproduces the same ordering (Supplementary Fig. 22a), so the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attribution is consistent with the experimental ranking rather than reproducing a trivial mean-</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effect; the additional information the decomposition provides is the per-A-site lattice-attributed share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which strictly orders Pb 69% &gt; Ca 61% &gt; La 51% &gt; Sr 47% &gt; Ba 38% and converts an empirical ranking into a quantitative mechanism allocation. A counterfactual permutation analysis confirms that 96.0% of the model-attributed Δ</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is assigned to the LST branch across all B-site families (Supplementary Fig. 13), establishing A-site control of the LST channel as B-site-independent.</w:t>
      </w:r>
    </w:p>
    <w:p>
      <w:pPr>
        <w:sectPr>
          <w:footerReference w:type="default" r:id="rId10"/>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4867275"/>
            <wp:effectExtent t="0" r="0" b="0" l="0"/>
            <wp:docPr id="1" name="fig4_discovery.png" descr="Figure" title="fig4_dis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867275"/>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2 | A-site model-attributed soft-mode hierarchy via the LST branch.</w:t>
      </w:r>
      <w:r>
        <w:rPr>
          <w:rFonts w:ascii="Arial" w:cs="Arial" w:eastAsia="Arial" w:hAnsi="Arial"/>
          <w:b w:val="false"/>
          <w:bCs w:val="false"/>
          <w:i w:val="false"/>
          <w:iCs w:val="false"/>
          <w:sz w:val="18"/>
          <w:szCs w:val="18"/>
        </w:rPr>
        <w:t xml:space="preserve"> </w:t>
      </w:r>
      <w:r>
        <w:rPr>
          <w:rFonts w:ascii="Arial" w:cs="Arial" w:eastAsia="Arial" w:hAnsi="Arial"/>
          <w:b/>
          <w:bCs/>
          <w:i w:val="false"/>
          <w:iCs w:val="false"/>
          <w:sz w:val="18"/>
          <w:szCs w:val="18"/>
        </w:rPr>
        <w:t xml:space="preserve">a</w:t>
      </w:r>
      <w:r>
        <w:rPr>
          <w:rFonts w:ascii="Arial" w:cs="Arial" w:eastAsia="Arial" w:hAnsi="Arial"/>
          <w:b w:val="false"/>
          <w:bCs w:val="false"/>
          <w:i w:val="false"/>
          <w:iCs w:val="false"/>
          <w:sz w:val="18"/>
          <w:szCs w:val="18"/>
        </w:rPr>
        <w:t xml:space="preserve">, Mean soft-mode amplification factor </w:t>
      </w:r>
      <w:r>
        <w:rPr>
          <w:rFonts w:ascii="Arial" w:cs="Arial" w:eastAsia="Arial" w:hAnsi="Arial"/>
          <w:b w:val="false"/>
          <w:bCs w:val="false"/>
          <w:i/>
          <w:iCs/>
          <w:sz w:val="18"/>
          <w:szCs w:val="18"/>
        </w:rPr>
        <w:t xml:space="preserve">f</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r,CM</w:t>
      </w:r>
      <w:r>
        <w:rPr>
          <w:rFonts w:ascii="Arial" w:cs="Arial" w:eastAsia="Arial" w:hAnsi="Arial"/>
          <w:b w:val="false"/>
          <w:bCs w:val="false"/>
          <w:i w:val="false"/>
          <w:iCs w:val="false"/>
          <w:sz w:val="18"/>
          <w:szCs w:val="18"/>
        </w:rPr>
        <w:t xml:space="preserve"> (the soft-mode contribution as a multiple of the electronic CM baseline) by A-site cation family, computed across the valid-CM compositions and stratified by primary A-site occupancy for the five dominant families (1,075 of the 1,124 valid-CM compositions; 49 minor-A-site compositions omitted): Pb (2.28×,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83), Ca (1.66×,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344), La (1.13×,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121), Sr (0.91×,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159), Ba (0.66×,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368). Error bars show bootstrap 95% confidence intervals from 2,000 resamples. The ordering Pb &gt; Ca &gt; La &gt; Sr &gt; Ba is statistically significant at </w:t>
      </w:r>
      <w:r>
        <w:rPr>
          <w:rFonts w:ascii="Arial" w:cs="Arial" w:eastAsia="Arial" w:hAnsi="Arial"/>
          <w:b w:val="false"/>
          <w:bCs w:val="false"/>
          <w:i/>
          <w:iCs/>
          <w:sz w:val="18"/>
          <w:szCs w:val="18"/>
        </w:rPr>
        <w:t xml:space="preserve">p</w:t>
      </w:r>
      <w:r>
        <w:rPr>
          <w:rFonts w:ascii="Arial" w:cs="Arial" w:eastAsia="Arial" w:hAnsi="Arial"/>
          <w:b w:val="false"/>
          <w:bCs w:val="false"/>
          <w:i w:val="false"/>
          <w:iCs w:val="false"/>
          <w:sz w:val="18"/>
          <w:szCs w:val="18"/>
        </w:rPr>
        <w:t xml:space="preserve"> &lt; 0.0005 (</w:t>
      </w:r>
      <w:r>
        <w:rPr>
          <w:rFonts w:ascii="Arial" w:cs="Arial" w:eastAsia="Arial" w:hAnsi="Arial"/>
          <w:b w:val="false"/>
          <w:bCs w:val="false"/>
          <w:i/>
          <w:iCs/>
          <w:sz w:val="18"/>
          <w:szCs w:val="18"/>
        </w:rPr>
        <w:t xml:space="preserve">z</w:t>
      </w:r>
      <w:r>
        <w:rPr>
          <w:rFonts w:ascii="Arial" w:cs="Arial" w:eastAsia="Arial" w:hAnsi="Arial"/>
          <w:b w:val="false"/>
          <w:bCs w:val="false"/>
          <w:i w:val="false"/>
          <w:iCs w:val="false"/>
          <w:sz w:val="18"/>
          <w:szCs w:val="18"/>
        </w:rPr>
        <w:t xml:space="preserve"> ≈ 17σ over 2,000 A-site label permutations; observed range 1.622, null mean 0.209, null σ 0.086). </w:t>
      </w:r>
      <w:r>
        <w:rPr>
          <w:rFonts w:ascii="Arial" w:cs="Arial" w:eastAsia="Arial" w:hAnsi="Arial"/>
          <w:b/>
          <w:bCs/>
          <w:i w:val="false"/>
          <w:iCs w:val="false"/>
          <w:sz w:val="18"/>
          <w:szCs w:val="18"/>
        </w:rPr>
        <w:t xml:space="preserve">b</w:t>
      </w:r>
      <w:r>
        <w:rPr>
          <w:rFonts w:ascii="Arial" w:cs="Arial" w:eastAsia="Arial" w:hAnsi="Arial"/>
          <w:b w:val="false"/>
          <w:bCs w:val="false"/>
          <w:i w:val="false"/>
          <w:iCs w:val="false"/>
          <w:sz w:val="18"/>
          <w:szCs w:val="18"/>
        </w:rPr>
        <w:t xml:space="preserve">, </w:t>
      </w:r>
      <w:r>
        <w:rPr>
          <w:rFonts w:ascii="Arial" w:cs="Arial" w:eastAsia="Arial" w:hAnsi="Arial"/>
          <w:b w:val="false"/>
          <w:bCs w:val="false"/>
          <w:i/>
          <w:iCs/>
          <w:sz w:val="18"/>
          <w:szCs w:val="18"/>
        </w:rPr>
        <w:t xml:space="preserve">f</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plotted against Shannon 12-coordinate ionic radius of the dominant A-site cation. The Ba→Sr→La→Ca segment follows a monotonic decrease consistent with cage-tightening enhancement of B-site off-centring; Pb deviates upward from this monotonic trend, consistent with 6</w:t>
      </w:r>
      <w:r>
        <w:rPr>
          <w:rFonts w:ascii="Arial" w:cs="Arial" w:eastAsia="Arial" w:hAnsi="Arial"/>
          <w:b w:val="false"/>
          <w:bCs w:val="false"/>
          <w:i/>
          <w:iCs/>
          <w:sz w:val="18"/>
          <w:szCs w:val="18"/>
        </w:rPr>
        <w:t xml:space="preserve">s</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lone-pair stereoactivity producing a quasi-electronic enhancement absent in alkaline-earth chemistry. </w:t>
      </w:r>
      <w:r>
        <w:rPr>
          <w:rFonts w:ascii="Arial" w:cs="Arial" w:eastAsia="Arial" w:hAnsi="Arial"/>
          <w:b/>
          <w:bCs/>
          <w:i w:val="false"/>
          <w:iCs w:val="false"/>
          <w:sz w:val="18"/>
          <w:szCs w:val="18"/>
        </w:rPr>
        <w:t xml:space="preserve">c</w:t>
      </w:r>
      <w:r>
        <w:rPr>
          <w:rFonts w:ascii="Arial" w:cs="Arial" w:eastAsia="Arial" w:hAnsi="Arial"/>
          <w:b w:val="false"/>
          <w:bCs w:val="false"/>
          <w:i w:val="false"/>
          <w:iCs w:val="false"/>
          <w:sz w:val="18"/>
          <w:szCs w:val="18"/>
        </w:rPr>
        <w:t xml:space="preserve">, Regime-resolved branch decomposition of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-weighted shares). Within each group the four branches sum to exactly 100% by construction: the model reconstructs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as their exact additive sum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CM</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res</w:t>
      </w:r>
      <w:r>
        <w:rPr>
          <w:rFonts w:ascii="Arial" w:cs="Arial" w:eastAsia="Arial" w:hAnsi="Arial"/>
          <w:b w:val="false"/>
          <w:bCs w:val="false"/>
          <w:i w:val="false"/>
          <w:iCs w:val="false"/>
          <w:sz w:val="18"/>
          <w:szCs w:val="18"/>
        </w:rPr>
        <w:t xml:space="preserve">, reconstruction residual ≈ 0), and the residual branch is the exact complement δ</w:t>
      </w:r>
      <w:r>
        <w:rPr>
          <w:rFonts w:ascii="Arial" w:cs="Arial" w:eastAsia="Arial" w:hAnsi="Arial"/>
          <w:b w:val="false"/>
          <w:bCs w:val="false"/>
          <w:i w:val="false"/>
          <w:iCs w:val="false"/>
          <w:sz w:val="18"/>
          <w:szCs w:val="18"/>
          <w:vertAlign w:val="subscript"/>
        </w:rPr>
        <w:t xml:space="preserve">res</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CM</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displayed shares are rounded to 0.1%. Grouped horizontal bars on a logarithmic axis give the share contributed by the Clausius–Mossotti electronic baseline (ε</w:t>
      </w:r>
      <w:r>
        <w:rPr>
          <w:rFonts w:ascii="Arial" w:cs="Arial" w:eastAsia="Arial" w:hAnsi="Arial"/>
          <w:b w:val="false"/>
          <w:bCs w:val="false"/>
          <w:i w:val="false"/>
          <w:iCs w:val="false"/>
          <w:sz w:val="18"/>
          <w:szCs w:val="18"/>
          <w:vertAlign w:val="subscript"/>
        </w:rPr>
        <w:t xml:space="preserve">CM</w:t>
      </w:r>
      <w:r>
        <w:rPr>
          <w:rFonts w:ascii="Arial" w:cs="Arial" w:eastAsia="Arial" w:hAnsi="Arial"/>
          <w:b w:val="false"/>
          <w:bCs w:val="false"/>
          <w:i w:val="false"/>
          <w:iCs w:val="false"/>
          <w:sz w:val="18"/>
          <w:szCs w:val="18"/>
        </w:rPr>
        <w:t xml:space="preserve">), soft-mode amplification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octahedral tilt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and the residual (δ</w:t>
      </w:r>
      <w:r>
        <w:rPr>
          <w:rFonts w:ascii="Arial" w:cs="Arial" w:eastAsia="Arial" w:hAnsi="Arial"/>
          <w:b w:val="false"/>
          <w:bCs w:val="false"/>
          <w:i w:val="false"/>
          <w:iCs w:val="false"/>
          <w:sz w:val="18"/>
          <w:szCs w:val="18"/>
          <w:vertAlign w:val="subscript"/>
        </w:rPr>
        <w:t xml:space="preserve">res</w:t>
      </w:r>
      <w:r>
        <w:rPr>
          <w:rFonts w:ascii="Arial" w:cs="Arial" w:eastAsia="Arial" w:hAnsi="Arial"/>
          <w:b w:val="false"/>
          <w:bCs w:val="false"/>
          <w:i w:val="false"/>
          <w:iCs w:val="false"/>
          <w:sz w:val="18"/>
          <w:szCs w:val="18"/>
        </w:rPr>
        <w:t xml:space="preserve">), for all valid-CM compositions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1,124) and stratified by Reaney regime (Ia,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47; Ib,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302; II,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303; III, </w:t>
      </w:r>
      <w:r>
        <w:rPr>
          <w:rFonts w:ascii="Arial" w:cs="Arial" w:eastAsia="Arial" w:hAnsi="Arial"/>
          <w:b w:val="false"/>
          <w:bCs w:val="false"/>
          <w:i/>
          <w:iCs/>
          <w:sz w:val="18"/>
          <w:szCs w:val="18"/>
        </w:rPr>
        <w:t xml:space="preserve">n</w:t>
      </w:r>
      <w:r>
        <w:rPr>
          <w:rFonts w:ascii="Arial" w:cs="Arial" w:eastAsia="Arial" w:hAnsi="Arial"/>
          <w:b w:val="false"/>
          <w:bCs w:val="false"/>
          <w:i w:val="false"/>
          <w:iCs w:val="false"/>
          <w:sz w:val="18"/>
          <w:szCs w:val="18"/>
        </w:rPr>
        <w:t xml:space="preserve"> = 472).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is a negative (suppressive) contribution; its magnitude is drawn on the logarithmic axis (hatched bars) and the label retains its sign. The electronic baseline carries the bulk of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in the low-tilt regimes (ε</w:t>
      </w:r>
      <w:r>
        <w:rPr>
          <w:rFonts w:ascii="Arial" w:cs="Arial" w:eastAsia="Arial" w:hAnsi="Arial"/>
          <w:b w:val="false"/>
          <w:bCs w:val="false"/>
          <w:i w:val="false"/>
          <w:iCs w:val="false"/>
          <w:sz w:val="18"/>
          <w:szCs w:val="18"/>
          <w:vertAlign w:val="subscript"/>
        </w:rPr>
        <w:t xml:space="preserve">CM</w:t>
      </w:r>
      <w:r>
        <w:rPr>
          <w:rFonts w:ascii="Arial" w:cs="Arial" w:eastAsia="Arial" w:hAnsi="Arial"/>
          <w:b w:val="false"/>
          <w:bCs w:val="false"/>
          <w:i w:val="false"/>
          <w:iCs w:val="false"/>
          <w:sz w:val="18"/>
          <w:szCs w:val="18"/>
        </w:rPr>
        <w:t xml:space="preserve"> = 72.9% in Ia, 65.6% in Ib), whereas soft-mode amplification becomes the majority contribution as octahedral tilting increases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57.0% in II, 60.9% in III) — a crossover from electronic- to lattice-driven permittivity, with the overall corpus split (LST 54.1%, CM 46.2%, tilt −0.7%, residual 0.4%) shown in the top group. Source data are provided as a Source Data file.</w:t>
      </w:r>
    </w:p>
    <w:p>
      <w:pPr>
        <w:sectPr>
          <w:footerReference w:type="default" r:id="rId11"/>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spacing w:after="160" w:before="220" w:line="480" w:lineRule="auto"/>
      </w:pPr>
      <w:r>
        <w:rPr>
          <w:rFonts w:ascii="Arial" w:cs="Arial" w:eastAsia="Arial" w:hAnsi="Arial"/>
          <w:b/>
          <w:bCs/>
          <w:i/>
          <w:iCs/>
          <w:color w:val="000000"/>
          <w:sz w:val="22"/>
          <w:szCs w:val="22"/>
        </w:rPr>
        <w:t xml:space="preserve">A physics-constrained architecture realises the decomposition</w:t>
      </w:r>
    </w:p>
    <w:p>
      <w:pPr>
        <w:spacing w:after="120" w:line="252" w:lineRule="auto"/>
        <w:jc w:val="left"/>
      </w:pPr>
      <w:r>
        <w:rPr>
          <w:rFonts w:ascii="Arial" w:cs="Arial" w:eastAsia="Arial" w:hAnsi="Arial"/>
          <w:b w:val="false"/>
          <w:bCs w:val="false"/>
          <w:i w:val="false"/>
          <w:iCs w:val="false"/>
          <w:sz w:val="22"/>
          <w:szCs w:val="22"/>
        </w:rPr>
        <w:t xml:space="preserve">These per-composition attributions are possible only because the architecture exposes the physics explicitly. Recent data-driven approaches close the predictive gap at the cost of physical transparency: attention-bottleneck networks</w:t>
      </w:r>
      <w:r>
        <w:rPr>
          <w:rFonts w:ascii="Arial" w:cs="Arial" w:eastAsia="Arial" w:hAnsi="Arial"/>
          <w:b w:val="false"/>
          <w:bCs w:val="false"/>
          <w:i w:val="false"/>
          <w:iCs w:val="false"/>
          <w:sz w:val="22"/>
          <w:szCs w:val="22"/>
          <w:vertAlign w:val="superscript"/>
        </w:rPr>
        <w:t xml:space="preserve">20</w:t>
      </w:r>
      <w:r>
        <w:rPr>
          <w:rFonts w:ascii="Arial" w:cs="Arial" w:eastAsia="Arial" w:hAnsi="Arial"/>
          <w:b w:val="false"/>
          <w:bCs w:val="false"/>
          <w:i w:val="false"/>
          <w:iCs w:val="false"/>
          <w:sz w:val="22"/>
          <w:szCs w:val="22"/>
        </w:rPr>
        <w:t xml:space="preserve">, latent active-learning architectures</w:t>
      </w:r>
      <w:r>
        <w:rPr>
          <w:rFonts w:ascii="Arial" w:cs="Arial" w:eastAsia="Arial" w:hAnsi="Arial"/>
          <w:b w:val="false"/>
          <w:bCs w:val="false"/>
          <w:i w:val="false"/>
          <w:iCs w:val="false"/>
          <w:sz w:val="22"/>
          <w:szCs w:val="22"/>
          <w:vertAlign w:val="superscript"/>
        </w:rPr>
        <w:t xml:space="preserve">18</w:t>
      </w:r>
      <w:r>
        <w:rPr>
          <w:rFonts w:ascii="Arial" w:cs="Arial" w:eastAsia="Arial" w:hAnsi="Arial"/>
          <w:b w:val="false"/>
          <w:bCs w:val="false"/>
          <w:i w:val="false"/>
          <w:iCs w:val="false"/>
          <w:sz w:val="22"/>
          <w:szCs w:val="22"/>
        </w:rPr>
        <w:t xml:space="preserve"> and equivariant dielectric-tensor networks</w:t>
      </w:r>
      <w:r>
        <w:rPr>
          <w:rFonts w:ascii="Arial" w:cs="Arial" w:eastAsia="Arial" w:hAnsi="Arial"/>
          <w:b w:val="false"/>
          <w:bCs w:val="false"/>
          <w:i w:val="false"/>
          <w:iCs w:val="false"/>
          <w:sz w:val="22"/>
          <w:szCs w:val="22"/>
          <w:vertAlign w:val="superscript"/>
        </w:rPr>
        <w:t xml:space="preserve">17</w:t>
      </w:r>
      <w:r>
        <w:rPr>
          <w:rFonts w:ascii="Arial" w:cs="Arial" w:eastAsia="Arial" w:hAnsi="Arial"/>
          <w:b w:val="false"/>
          <w:bCs w:val="false"/>
          <w:i w:val="false"/>
          <w:iCs w:val="false"/>
          <w:sz w:val="22"/>
          <w:szCs w:val="22"/>
        </w:rPr>
        <w:t xml:space="preserve"> achieve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 on related tasks but encode physics implicitly through latent constraints, restricting per-composition attribution to post-hoc gradient maps. A physics-input recurrent baseline (PIRNN) trained on the same 103 features matches the PCNN's predictive accuracy but with four-fold higher family-out CV variance (SD 0.181 vs 0.043). Neither baseline returns a quantity readable as a soft-mode amplitude or tilt-derived correction.</w:t>
      </w:r>
    </w:p>
    <w:p>
      <w:pPr>
        <w:spacing w:after="120" w:line="252" w:lineRule="auto"/>
        <w:jc w:val="left"/>
      </w:pPr>
      <w:r>
        <w:rPr>
          <w:rFonts w:ascii="Arial" w:cs="Arial" w:eastAsia="Arial" w:hAnsi="Arial"/>
          <w:b w:val="false"/>
          <w:bCs w:val="false"/>
          <w:i w:val="false"/>
          <w:iCs w:val="false"/>
          <w:sz w:val="22"/>
          <w:szCs w:val="22"/>
        </w:rPr>
        <w:t xml:space="preserve">The PCNN realises the additive decomposition through four explicit branches (Fig. 3):</w:t>
      </w:r>
    </w:p>
    <w:p>
      <w:pPr>
        <w:spacing w:after="120" w:line="252" w:lineRule="auto"/>
        <w:jc w:val="left"/>
      </w:pP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w:t>
      </w:r>
    </w:p>
    <w:p>
      <w:pPr>
        <w:spacing w:after="120" w:line="252" w:lineRule="auto"/>
        <w:jc w:val="left"/>
      </w:pPr>
      <w:r>
        <w:rPr>
          <w:rFonts w:ascii="Arial" w:cs="Arial" w:eastAsia="Arial" w:hAnsi="Arial"/>
          <w:b w:val="false"/>
          <w:bCs w:val="false"/>
          <w:i w:val="false"/>
          <w:iCs w:val="false"/>
          <w:sz w:val="22"/>
          <w:szCs w:val="22"/>
        </w:rPr>
        <w:t xml:space="preserve">The CM term is computed analytically from Shannon polarizabilities (no learnable parameters), serving as a parameter-free structural anchor. The three correction branches are neural sub-networks operating on a strict three-way feature partition (30 LST / 30 tilt / 43 residual) with hard sign constraints chosen to match each branch's physical role; sign-constrained architectures retain universal-approximation capacity</w:t>
      </w:r>
      <w:r>
        <w:rPr>
          <w:rFonts w:ascii="Arial" w:cs="Arial" w:eastAsia="Arial" w:hAnsi="Arial"/>
          <w:b w:val="false"/>
          <w:bCs w:val="false"/>
          <w:i w:val="false"/>
          <w:iCs w:val="false"/>
          <w:sz w:val="22"/>
          <w:szCs w:val="22"/>
          <w:vertAlign w:val="superscript"/>
        </w:rPr>
        <w:t xml:space="preserve">27</w:t>
      </w:r>
      <w:r>
        <w:rPr>
          <w:rFonts w:ascii="Arial" w:cs="Arial" w:eastAsia="Arial" w:hAnsi="Arial"/>
          <w:b w:val="false"/>
          <w:bCs w:val="false"/>
          <w:i w:val="false"/>
          <w:iCs w:val="false"/>
          <w:sz w:val="22"/>
          <w:szCs w:val="22"/>
        </w:rPr>
        <w:t xml:space="preserve"> (justification + regularisation in Supplementary Note 2). The LST branch is forced non-negative through a Softplus output (soft-mode amplification raises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above the CM ceiling); the tilt branch through a negated Softplus (octahedral tilting suppresses the polar instability); the residual through a confidence-gated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tanh · s</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res, where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[0,1] is a sigmoid of four physics inputs (Methods eq. 9) — high where CM is VCA-approximate or the structure bond-valence-unstable, low otherwise. The four gate coefficients are non-learnable and chosen on physical priors. A no-CM fallback path is used for the ≈14% of compositions for which CM is undefined (Methods). The shared trunk is a residual MLP that compresses the 103-feature input to a 192-dimensional representation (PCA projection in Supplementary Fig. 23); per-layer widths are in Supplementary Table 6. Training uses AdamW + mixup + SWA (Methods); five seeds form an ensemble.</w:t>
      </w:r>
    </w:p>
    <w:p>
      <w:pPr>
        <w:spacing w:after="120" w:line="252" w:lineRule="auto"/>
        <w:jc w:val="left"/>
      </w:pPr>
      <w:r>
        <w:rPr>
          <w:rFonts w:ascii="Arial" w:cs="Arial" w:eastAsia="Arial" w:hAnsi="Arial"/>
          <w:b w:val="false"/>
          <w:bCs w:val="false"/>
          <w:i w:val="false"/>
          <w:iCs w:val="false"/>
          <w:sz w:val="22"/>
          <w:szCs w:val="22"/>
        </w:rPr>
        <w:t xml:space="preserve">Selective branch ablation confirms this decomposition is load-bearing, not cosmetic: removing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collapses predictive accuracy (ΔR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−0.688; Fig. 4a), whereas the near-inactive tilt branch acts only through electronic coupling (zeroing it gives ΔR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0.000; Fig. 4c), and a counterfactual permutation analysis shows the LST attribution is B-site-independent (96.0% of Δ</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through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for every B-site family; Fig. 4b). The architecture's built-in per-regime tilt-damping priors are themselves overridden by A-site chemistry, with Regime III reaching the highest observed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1.516 despite its 0.7× damping prior (Fig. 4d).</w:t>
      </w:r>
    </w:p>
    <w:p>
      <w:pPr>
        <w:sectPr>
          <w:footerReference w:type="default" r:id="rId12"/>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3609975"/>
            <wp:effectExtent t="0" r="0" b="0" l="0"/>
            <wp:docPr id="1" name="fig2_architecture.png" descr="Figure"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609975"/>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3 | Physics-constrained neural network (PCNN) workflow.</w:t>
      </w:r>
      <w:r>
        <w:rPr>
          <w:rFonts w:ascii="Arial" w:cs="Arial" w:eastAsia="Arial" w:hAnsi="Arial"/>
          <w:b w:val="false"/>
          <w:bCs w:val="false"/>
          <w:i w:val="false"/>
          <w:iCs w:val="false"/>
          <w:sz w:val="18"/>
          <w:szCs w:val="18"/>
        </w:rPr>
        <w:t xml:space="preserve"> End-to-end pipeline from crystal chemistry to interpretable dielectric prediction, organised in four stages. </w:t>
      </w:r>
      <w:r>
        <w:rPr>
          <w:rFonts w:ascii="Arial" w:cs="Arial" w:eastAsia="Arial" w:hAnsi="Arial"/>
          <w:b/>
          <w:bCs/>
          <w:i w:val="false"/>
          <w:iCs w:val="false"/>
          <w:sz w:val="18"/>
          <w:szCs w:val="18"/>
        </w:rPr>
        <w:t xml:space="preserve">(1) Crystal-chemical space:</w:t>
      </w:r>
      <w:r>
        <w:rPr>
          <w:rFonts w:ascii="Arial" w:cs="Arial" w:eastAsia="Arial" w:hAnsi="Arial"/>
          <w:b w:val="false"/>
          <w:bCs w:val="false"/>
          <w:i w:val="false"/>
          <w:iCs w:val="false"/>
          <w:sz w:val="18"/>
          <w:szCs w:val="18"/>
        </w:rPr>
        <w:t xml:space="preserve"> the curated 1,304-composition ABO</w:t>
      </w:r>
      <w:r>
        <w:rPr>
          <w:rFonts w:ascii="Arial" w:cs="Arial" w:eastAsia="Arial" w:hAnsi="Arial"/>
          <w:b w:val="false"/>
          <w:bCs w:val="false"/>
          <w:i w:val="false"/>
          <w:iCs w:val="false"/>
          <w:sz w:val="18"/>
          <w:szCs w:val="18"/>
          <w:vertAlign w:val="subscript"/>
        </w:rPr>
        <w:t xml:space="preserve">3</w:t>
      </w:r>
      <w:r>
        <w:rPr>
          <w:rFonts w:ascii="Arial" w:cs="Arial" w:eastAsia="Arial" w:hAnsi="Arial"/>
          <w:b w:val="false"/>
          <w:bCs w:val="false"/>
          <w:i w:val="false"/>
          <w:iCs w:val="false"/>
          <w:sz w:val="18"/>
          <w:szCs w:val="18"/>
        </w:rPr>
        <w:t xml:space="preserve"> corpus spans A-site (Ba, Sr, Ca, La, Pb) and d</w:t>
      </w:r>
      <w:r>
        <w:rPr>
          <w:rFonts w:ascii="Arial" w:cs="Arial" w:eastAsia="Arial" w:hAnsi="Arial"/>
          <w:b w:val="false"/>
          <w:bCs w:val="false"/>
          <w:i w:val="false"/>
          <w:iCs w:val="false"/>
          <w:sz w:val="18"/>
          <w:szCs w:val="18"/>
          <w:vertAlign w:val="superscript"/>
        </w:rPr>
        <w:t xml:space="preserve">0</w:t>
      </w:r>
      <w:r>
        <w:rPr>
          <w:rFonts w:ascii="Arial" w:cs="Arial" w:eastAsia="Arial" w:hAnsi="Arial"/>
          <w:b w:val="false"/>
          <w:bCs w:val="false"/>
          <w:i w:val="false"/>
          <w:iCs w:val="false"/>
          <w:sz w:val="18"/>
          <w:szCs w:val="18"/>
        </w:rPr>
        <w:t xml:space="preserve"> B-site (Ti, Nb, Ta, Zr, Sn) chemistries across the Reaney tolerance-factor regimes (Ia–III), after filtering for perovskite validity and crystallographic consistency. </w:t>
      </w:r>
      <w:r>
        <w:rPr>
          <w:rFonts w:ascii="Arial" w:cs="Arial" w:eastAsia="Arial" w:hAnsi="Arial"/>
          <w:b/>
          <w:bCs/>
          <w:i w:val="false"/>
          <w:iCs w:val="false"/>
          <w:sz w:val="18"/>
          <w:szCs w:val="18"/>
        </w:rPr>
        <w:t xml:space="preserve">(2) Physics-guided descriptor representation:</w:t>
      </w:r>
      <w:r>
        <w:rPr>
          <w:rFonts w:ascii="Arial" w:cs="Arial" w:eastAsia="Arial" w:hAnsi="Arial"/>
          <w:b w:val="false"/>
          <w:bCs w:val="false"/>
          <w:i w:val="false"/>
          <w:iCs w:val="false"/>
          <w:sz w:val="18"/>
          <w:szCs w:val="18"/>
        </w:rPr>
        <w:t xml:space="preserve"> each composition is encoded by physically grouped descriptors, structural (tolerance and octahedral factors, ionic-radius mismatch), lattice-dynamical (ω</w:t>
      </w:r>
      <w:r>
        <w:rPr>
          <w:rFonts w:ascii="Arial" w:cs="Arial" w:eastAsia="Arial" w:hAnsi="Arial"/>
          <w:b w:val="false"/>
          <w:bCs w:val="false"/>
          <w:i w:val="false"/>
          <w:iCs w:val="false"/>
          <w:sz w:val="18"/>
          <w:szCs w:val="18"/>
          <w:vertAlign w:val="subscript"/>
        </w:rPr>
        <w:t xml:space="preserve">TO</w:t>
      </w:r>
      <w:r>
        <w:rPr>
          <w:rFonts w:ascii="Arial" w:cs="Arial" w:eastAsia="Arial" w:hAnsi="Arial"/>
          <w:b w:val="false"/>
          <w:bCs w:val="false"/>
          <w:i w:val="false"/>
          <w:iCs w:val="false"/>
          <w:sz w:val="18"/>
          <w:szCs w:val="18"/>
        </w:rPr>
        <w:t xml:space="preserve">/ω</w:t>
      </w:r>
      <w:r>
        <w:rPr>
          <w:rFonts w:ascii="Arial" w:cs="Arial" w:eastAsia="Arial" w:hAnsi="Arial"/>
          <w:b w:val="false"/>
          <w:bCs w:val="false"/>
          <w:i w:val="false"/>
          <w:iCs w:val="false"/>
          <w:sz w:val="18"/>
          <w:szCs w:val="18"/>
          <w:vertAlign w:val="subscript"/>
        </w:rPr>
        <w:t xml:space="preserve">LO</w:t>
      </w:r>
      <w:r>
        <w:rPr>
          <w:rFonts w:ascii="Arial" w:cs="Arial" w:eastAsia="Arial" w:hAnsi="Arial"/>
          <w:b w:val="false"/>
          <w:bCs w:val="false"/>
          <w:i w:val="false"/>
          <w:iCs w:val="false"/>
          <w:sz w:val="18"/>
          <w:szCs w:val="18"/>
        </w:rPr>
        <w:t xml:space="preserve"> surrogates, soft-mode and displacement proxies), bonding (electronegativity mismatch, covalency, bond-valence) and stability (global instability index), and embedded in a physics-informed representation space. </w:t>
      </w:r>
      <w:r>
        <w:rPr>
          <w:rFonts w:ascii="Arial" w:cs="Arial" w:eastAsia="Arial" w:hAnsi="Arial"/>
          <w:b/>
          <w:bCs/>
          <w:i w:val="false"/>
          <w:iCs w:val="false"/>
          <w:sz w:val="18"/>
          <w:szCs w:val="18"/>
        </w:rPr>
        <w:t xml:space="preserve">(3) Physics-constrained mechanism learning:</w:t>
      </w:r>
      <w:r>
        <w:rPr>
          <w:rFonts w:ascii="Arial" w:cs="Arial" w:eastAsia="Arial" w:hAnsi="Arial"/>
          <w:b w:val="false"/>
          <w:bCs w:val="false"/>
          <w:i w:val="false"/>
          <w:iCs w:val="false"/>
          <w:sz w:val="18"/>
          <w:szCs w:val="18"/>
        </w:rPr>
        <w:t xml:space="preserve"> the network produces the additive decomposition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 ε</w:t>
      </w:r>
      <w:r>
        <w:rPr>
          <w:rFonts w:ascii="Arial" w:cs="Arial" w:eastAsia="Arial" w:hAnsi="Arial"/>
          <w:b w:val="false"/>
          <w:bCs w:val="false"/>
          <w:i w:val="false"/>
          <w:iCs w:val="false"/>
          <w:sz w:val="18"/>
          <w:szCs w:val="18"/>
          <w:vertAlign w:val="subscript"/>
        </w:rPr>
        <w:t xml:space="preserve">CM</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 δ</w:t>
      </w:r>
      <w:r>
        <w:rPr>
          <w:rFonts w:ascii="Arial" w:cs="Arial" w:eastAsia="Arial" w:hAnsi="Arial"/>
          <w:b w:val="false"/>
          <w:bCs w:val="false"/>
          <w:i w:val="false"/>
          <w:iCs w:val="false"/>
          <w:sz w:val="18"/>
          <w:szCs w:val="18"/>
          <w:vertAlign w:val="subscript"/>
        </w:rPr>
        <w:t xml:space="preserve">res</w:t>
      </w:r>
      <w:r>
        <w:rPr>
          <w:rFonts w:ascii="Arial" w:cs="Arial" w:eastAsia="Arial" w:hAnsi="Arial"/>
          <w:b w:val="false"/>
          <w:bCs w:val="false"/>
          <w:i w:val="false"/>
          <w:iCs w:val="false"/>
          <w:sz w:val="18"/>
          <w:szCs w:val="18"/>
        </w:rPr>
        <w:t xml:space="preserve">, in which the Clausius–Mossotti baseline is parameter-free, the soft-mode branch is forced non-negative (Softplus), the octahedral-tilt branch is forced non-positive (−Softplus) and a confidence-gated residual captures remaining effects; hard sign constraints and physics regularisers (L</w:t>
      </w:r>
      <w:r>
        <w:rPr>
          <w:rFonts w:ascii="Arial" w:cs="Arial" w:eastAsia="Arial" w:hAnsi="Arial"/>
          <w:b w:val="false"/>
          <w:bCs w:val="false"/>
          <w:i w:val="false"/>
          <w:iCs w:val="false"/>
          <w:sz w:val="18"/>
          <w:szCs w:val="18"/>
        </w:rPr>
        <w:t xml:space="preserve">_</w:t>
      </w:r>
      <w:r>
        <w:rPr>
          <w:rFonts w:ascii="Arial" w:cs="Arial" w:eastAsia="Arial" w:hAnsi="Arial"/>
          <w:b w:val="false"/>
          <w:bCs w:val="false"/>
          <w:i w:val="false"/>
          <w:iCs w:val="false"/>
          <w:sz w:val="18"/>
          <w:szCs w:val="18"/>
        </w:rPr>
        <w:t xml:space="preserve">LST, L</w:t>
      </w:r>
      <w:r>
        <w:rPr>
          <w:rFonts w:ascii="Arial" w:cs="Arial" w:eastAsia="Arial" w:hAnsi="Arial"/>
          <w:b w:val="false"/>
          <w:bCs w:val="false"/>
          <w:i w:val="false"/>
          <w:iCs w:val="false"/>
          <w:sz w:val="18"/>
          <w:szCs w:val="18"/>
        </w:rPr>
        <w:t xml:space="preserve">_</w:t>
      </w:r>
      <w:r>
        <w:rPr>
          <w:rFonts w:ascii="Arial" w:cs="Arial" w:eastAsia="Arial" w:hAnsi="Arial"/>
          <w:b w:val="false"/>
          <w:bCs w:val="false"/>
          <w:i w:val="false"/>
          <w:iCs w:val="false"/>
          <w:sz w:val="18"/>
          <w:szCs w:val="18"/>
        </w:rPr>
        <w:t xml:space="preserve">GII, L</w:t>
      </w:r>
      <w:r>
        <w:rPr>
          <w:rFonts w:ascii="Arial" w:cs="Arial" w:eastAsia="Arial" w:hAnsi="Arial"/>
          <w:b w:val="false"/>
          <w:bCs w:val="false"/>
          <w:i w:val="false"/>
          <w:iCs w:val="false"/>
          <w:sz w:val="18"/>
          <w:szCs w:val="18"/>
        </w:rPr>
        <w:t xml:space="preserve">_</w:t>
      </w:r>
      <w:r>
        <w:rPr>
          <w:rFonts w:ascii="Arial" w:cs="Arial" w:eastAsia="Arial" w:hAnsi="Arial"/>
          <w:b w:val="false"/>
          <w:bCs w:val="false"/>
          <w:i w:val="false"/>
          <w:iCs w:val="false"/>
          <w:sz w:val="18"/>
          <w:szCs w:val="18"/>
        </w:rPr>
        <w:t xml:space="preserve">VCA) enforce physical consistency. </w:t>
      </w:r>
      <w:r>
        <w:rPr>
          <w:rFonts w:ascii="Arial" w:cs="Arial" w:eastAsia="Arial" w:hAnsi="Arial"/>
          <w:b/>
          <w:bCs/>
          <w:i w:val="false"/>
          <w:iCs w:val="false"/>
          <w:sz w:val="18"/>
          <w:szCs w:val="18"/>
        </w:rPr>
        <w:t xml:space="preserve">(4) Generalisation and reliability:</w:t>
      </w:r>
      <w:r>
        <w:rPr>
          <w:rFonts w:ascii="Arial" w:cs="Arial" w:eastAsia="Arial" w:hAnsi="Arial"/>
          <w:b w:val="false"/>
          <w:bCs w:val="false"/>
          <w:i w:val="false"/>
          <w:iCs w:val="false"/>
          <w:sz w:val="18"/>
          <w:szCs w:val="18"/>
        </w:rPr>
        <w:t xml:space="preserve"> family-aware GroupShuffleSplit evaluation, a dual-layer applicability domain (kernel-density estimate + nearest-neighbour distance) and split-conformal calibration (90% nominal → 90.5% empirical coverage) establish where predictions are trustworthy. The pipeline yields the outcomes summarised at the foot of the figure: soft-mode amplification, octahedral-tilt suppression, the A-site lone-pair hierarchy (Pb &gt; Ca &gt; La &gt; Sr &gt; Ba), regime-resolved interpretation, calibrated uncertainty and Pb-free high-ε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discovery. Source data are provided as a Source Data file.</w:t>
      </w:r>
    </w:p>
    <w:p>
      <w:pPr>
        <w:sectPr>
          <w:footerReference w:type="default" r:id="rId13"/>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sectPr>
          <w:footerReference w:type="default" r:id="rId14"/>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4457700"/>
            <wp:effectExtent t="0" r="0" b="0" l="0"/>
            <wp:docPr id="1" name="fig5_causality.png" descr="Figure" title="fig5_caus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457700"/>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4 | Branch decomposition and model-attribution counterfactual analysis.</w:t>
      </w:r>
      <w:r>
        <w:rPr>
          <w:rFonts w:ascii="Arial" w:cs="Arial" w:eastAsia="Arial" w:hAnsi="Arial"/>
          <w:b w:val="false"/>
          <w:bCs w:val="false"/>
          <w:i w:val="false"/>
          <w:iCs w:val="false"/>
          <w:sz w:val="18"/>
          <w:szCs w:val="18"/>
        </w:rPr>
        <w:t xml:space="preserve"> </w:t>
      </w:r>
      <w:r>
        <w:rPr>
          <w:rFonts w:ascii="Arial" w:cs="Arial" w:eastAsia="Arial" w:hAnsi="Arial"/>
          <w:b/>
          <w:bCs/>
          <w:i w:val="false"/>
          <w:iCs w:val="false"/>
          <w:sz w:val="18"/>
          <w:szCs w:val="18"/>
        </w:rPr>
        <w:t xml:space="preserve">a</w:t>
      </w:r>
      <w:r>
        <w:rPr>
          <w:rFonts w:ascii="Arial" w:cs="Arial" w:eastAsia="Arial" w:hAnsi="Arial"/>
          <w:b w:val="false"/>
          <w:bCs w:val="false"/>
          <w:i w:val="false"/>
          <w:iCs w:val="false"/>
          <w:sz w:val="18"/>
          <w:szCs w:val="18"/>
        </w:rPr>
        <w:t xml:space="preserve">, Branch ablation: 3-fold Strat-GSS cross-validation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(3 seeds, 500 epochs) when each branch is selectively removed and the model retrained, full PCNN (0.894), no CM (0.725, ΔR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−0.169), no LST (0.206, ΔR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−0.688), no tilt (0.895, ΔR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+0.001), no residual (0.893, ΔR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−0.001), and the CM anchor alone (−0.875). The LST branch alone accounts for the majority of model capacity; tilt and residual function as physics constraints rather than capacity providers. </w:t>
      </w:r>
      <w:r>
        <w:rPr>
          <w:rFonts w:ascii="Arial" w:cs="Arial" w:eastAsia="Arial" w:hAnsi="Arial"/>
          <w:b/>
          <w:bCs/>
          <w:i w:val="false"/>
          <w:iCs w:val="false"/>
          <w:sz w:val="18"/>
          <w:szCs w:val="18"/>
        </w:rPr>
        <w:t xml:space="preserve">b</w:t>
      </w:r>
      <w:r>
        <w:rPr>
          <w:rFonts w:ascii="Arial" w:cs="Arial" w:eastAsia="Arial" w:hAnsi="Arial"/>
          <w:b w:val="false"/>
          <w:bCs w:val="false"/>
          <w:i w:val="false"/>
          <w:iCs w:val="false"/>
          <w:sz w:val="18"/>
          <w:szCs w:val="18"/>
        </w:rPr>
        <w:t xml:space="preserve">, Counterfactual permutation analysis: for each B-site family, we compute the fraction of Δε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assigned to the LST branch when the input is shuffled. The mean across families is 96.0% and the decomposition assigns ≥ 96% of Δε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to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across every B-site family, demonstrating that the soft-mode channel is A-site-controlled and B-site-independent. </w:t>
      </w:r>
      <w:r>
        <w:rPr>
          <w:rFonts w:ascii="Arial" w:cs="Arial" w:eastAsia="Arial" w:hAnsi="Arial"/>
          <w:b/>
          <w:bCs/>
          <w:i w:val="false"/>
          <w:iCs w:val="false"/>
          <w:sz w:val="18"/>
          <w:szCs w:val="18"/>
        </w:rPr>
        <w:t xml:space="preserve">c</w:t>
      </w:r>
      <w:r>
        <w:rPr>
          <w:rFonts w:ascii="Arial" w:cs="Arial" w:eastAsia="Arial" w:hAnsi="Arial"/>
          <w:b w:val="false"/>
          <w:bCs w:val="false"/>
          <w:i w:val="false"/>
          <w:iCs w:val="false"/>
          <w:sz w:val="18"/>
          <w:szCs w:val="18"/>
        </w:rPr>
        <w:t xml:space="preserve">, Tilt-branch causal probe: zeroing the tilt branch output in Regime II + III holdout samples produces ΔR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0.0000, while removing the tilt branch entirely (panel a) is statistically indistinguishable. This indicates that the tilt branch operates through electronic coupling (top feature: χ</w:t>
      </w:r>
      <w:r>
        <w:rPr>
          <w:rFonts w:ascii="Arial" w:cs="Arial" w:eastAsia="Arial" w:hAnsi="Arial"/>
          <w:b w:val="false"/>
          <w:bCs w:val="false"/>
          <w:i w:val="false"/>
          <w:iCs w:val="false"/>
          <w:sz w:val="18"/>
          <w:szCs w:val="18"/>
          <w:vertAlign w:val="subscript"/>
        </w:rPr>
        <w:t xml:space="preserve">A</w:t>
      </w:r>
      <w:r>
        <w:rPr>
          <w:rFonts w:ascii="Arial" w:cs="Arial" w:eastAsia="Arial" w:hAnsi="Arial"/>
          <w:b w:val="false"/>
          <w:bCs w:val="false"/>
          <w:i w:val="false"/>
          <w:iCs w:val="false"/>
          <w:sz w:val="18"/>
          <w:szCs w:val="18"/>
        </w:rPr>
        <w:t xml:space="preserve">, Pearson r = 0.531 with δ</w:t>
      </w:r>
      <w:r>
        <w:rPr>
          <w:rFonts w:ascii="Arial" w:cs="Arial" w:eastAsia="Arial" w:hAnsi="Arial"/>
          <w:b w:val="false"/>
          <w:bCs w:val="false"/>
          <w:i w:val="false"/>
          <w:iCs w:val="false"/>
          <w:sz w:val="18"/>
          <w:szCs w:val="18"/>
          <w:vertAlign w:val="subscript"/>
        </w:rPr>
        <w:t xml:space="preserve">tilt</w:t>
      </w:r>
      <w:r>
        <w:rPr>
          <w:rFonts w:ascii="Arial" w:cs="Arial" w:eastAsia="Arial" w:hAnsi="Arial"/>
          <w:b w:val="false"/>
          <w:bCs w:val="false"/>
          <w:i w:val="false"/>
          <w:iCs w:val="false"/>
          <w:sz w:val="18"/>
          <w:szCs w:val="18"/>
        </w:rPr>
        <w:t xml:space="preserve">) rather than direct geometric mechanical suppression. </w:t>
      </w:r>
      <w:r>
        <w:rPr>
          <w:rFonts w:ascii="Arial" w:cs="Arial" w:eastAsia="Arial" w:hAnsi="Arial"/>
          <w:b/>
          <w:bCs/>
          <w:i w:val="false"/>
          <w:iCs w:val="false"/>
          <w:sz w:val="18"/>
          <w:szCs w:val="18"/>
        </w:rPr>
        <w:t xml:space="preserve">d</w:t>
      </w:r>
      <w:r>
        <w:rPr>
          <w:rFonts w:ascii="Arial" w:cs="Arial" w:eastAsia="Arial" w:hAnsi="Arial"/>
          <w:b w:val="false"/>
          <w:bCs w:val="false"/>
          <w:i w:val="false"/>
          <w:iCs w:val="false"/>
          <w:sz w:val="18"/>
          <w:szCs w:val="18"/>
        </w:rPr>
        <w:t xml:space="preserve">, Architectural per-regime LST priors versus observed </w:t>
      </w:r>
      <w:r>
        <w:rPr>
          <w:rFonts w:ascii="Arial" w:cs="Arial" w:eastAsia="Arial" w:hAnsi="Arial"/>
          <w:b w:val="false"/>
          <w:bCs w:val="false"/>
          <w:i/>
          <w:iCs/>
          <w:sz w:val="18"/>
          <w:szCs w:val="18"/>
        </w:rPr>
        <w:t xml:space="preserve">f</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the fixed, non-learnable regime multipliers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bscript"/>
        </w:rPr>
        <w:t xml:space="preserve">regime</w:t>
      </w:r>
      <w:r>
        <w:rPr>
          <w:rFonts w:ascii="Arial" w:cs="Arial" w:eastAsia="Arial" w:hAnsi="Arial"/>
          <w:b w:val="false"/>
          <w:bCs w:val="false"/>
          <w:i w:val="false"/>
          <w:iCs w:val="false"/>
          <w:sz w:val="18"/>
          <w:szCs w:val="18"/>
        </w:rPr>
        <w:t xml:space="preserve"> in Methods eq. 6; 1.0/1.5/0.9/0.7 for Ia/Ib/II/III) — initialised from Reaney regime taxonomy — are overridden by A-site chemistry, with Regime III (Ca-dominated) showing the highest observed </w:t>
      </w:r>
      <w:r>
        <w:rPr>
          <w:rFonts w:ascii="Arial" w:cs="Arial" w:eastAsia="Arial" w:hAnsi="Arial"/>
          <w:b w:val="false"/>
          <w:bCs w:val="false"/>
          <w:i/>
          <w:iCs/>
          <w:sz w:val="18"/>
          <w:szCs w:val="18"/>
        </w:rPr>
        <w:t xml:space="preserve">f</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1.516 despite its 0.7× LST prior. The data thus reverse the architectural prior's relative ordering between Regime II and III, confirming that A-site identity outweighs the prior in determining the soft-mode-aligned share. Source data are provided as a Source Data file.</w:t>
      </w:r>
    </w:p>
    <w:p>
      <w:pPr>
        <w:sectPr>
          <w:footerReference w:type="default" r:id="rId15"/>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spacing w:after="160" w:before="220" w:line="480" w:lineRule="auto"/>
      </w:pPr>
      <w:r>
        <w:rPr>
          <w:rFonts w:ascii="Arial" w:cs="Arial" w:eastAsia="Arial" w:hAnsi="Arial"/>
          <w:b/>
          <w:bCs/>
          <w:i/>
          <w:iCs/>
          <w:color w:val="000000"/>
          <w:sz w:val="22"/>
          <w:szCs w:val="22"/>
        </w:rPr>
        <w:t xml:space="preserve">Predictive performance, uncertainty calibration, and OOD stability</w:t>
      </w:r>
    </w:p>
    <w:p>
      <w:pPr>
        <w:spacing w:after="120" w:line="252" w:lineRule="auto"/>
        <w:jc w:val="left"/>
      </w:pPr>
      <w:r>
        <w:rPr>
          <w:rFonts w:ascii="Arial" w:cs="Arial" w:eastAsia="Arial" w:hAnsi="Arial"/>
          <w:b w:val="false"/>
          <w:bCs w:val="false"/>
          <w:i w:val="false"/>
          <w:iCs w:val="false"/>
          <w:sz w:val="22"/>
          <w:szCs w:val="22"/>
        </w:rPr>
        <w:t xml:space="preserve">The PCNN ensemble achieves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0.941 (MAE = 5.77) on the 116-sample holdout,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0.946 ± 0.008 (MAE = 3.78) under formula-split five-fold cross-validation, and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0.893 ± 0.043 (MAE = 5.62) under Family-GroupShuffleSplit (Strat-GSS) five-fold cross-validation (CV), in which no chemical family appears in both train and test partitions (Fig. 5a; per-fold diagnostics in Supplementary Fig. 4; full parity by regime and A-site in Supplementary Fig. 2; residual diagnostics in Supplementary Fig. 5; signed-error and coverage by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subset in Supplementary Table 4). Stratified by Reaney regime, holdout performance is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0.95 for Regime III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 74), 0.87 for Regime II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 30) and 0.13 for Regime Ib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 12), reflecting the limited Ib sample budget rather than an architectural failure (Methods).</w:t>
      </w:r>
    </w:p>
    <w:p>
      <w:pPr>
        <w:spacing w:after="120" w:line="252" w:lineRule="auto"/>
        <w:jc w:val="left"/>
      </w:pPr>
      <w:r>
        <w:rPr>
          <w:rFonts w:ascii="Arial" w:cs="Arial" w:eastAsia="Arial" w:hAnsi="Arial"/>
          <w:b w:val="false"/>
          <w:bCs w:val="false"/>
          <w:i w:val="false"/>
          <w:iCs w:val="false"/>
          <w:sz w:val="22"/>
          <w:szCs w:val="22"/>
        </w:rPr>
        <w:t xml:space="preserve">Predictive uncertainty is calibrated by split conformal prediction</w:t>
      </w:r>
      <w:r>
        <w:rPr>
          <w:rFonts w:ascii="Arial" w:cs="Arial" w:eastAsia="Arial" w:hAnsi="Arial"/>
          <w:b w:val="false"/>
          <w:bCs w:val="false"/>
          <w:i w:val="false"/>
          <w:iCs w:val="false"/>
          <w:sz w:val="22"/>
          <w:szCs w:val="22"/>
          <w:vertAlign w:val="superscript"/>
        </w:rPr>
        <w:t xml:space="preserve">28</w:t>
      </w:r>
      <w:r>
        <w:rPr>
          <w:rFonts w:ascii="Arial" w:cs="Arial" w:eastAsia="Arial" w:hAnsi="Arial"/>
          <w:b w:val="false"/>
          <w:bCs w:val="false"/>
          <w:i w:val="false"/>
          <w:iCs w:val="false"/>
          <w:sz w:val="22"/>
          <w:szCs w:val="22"/>
        </w:rPr>
        <w:t xml:space="preserve"> on the 116-sample calibration set. Empirical coverage matches nominal to within 0.7 percentage points across all targets (80.2/85.3/90.5/95.7% at nominal 80/85/90/95%; Fig. 5b) — an in-calibration consistency check because dataset size forces the family-disjoint set to serve as both calibration and evaluation. The 2,000-bootstrap out-of-calibration validation (Methods) yields mean coverage 80.1 ± 7.7%, 85.4 ± 6.9%, 89.9 ± 5.7%, 95.0 ± 4.2% on disjoint coverage subsets. The 90% conformal quantile is q̂</w:t>
      </w:r>
      <w:r>
        <w:rPr>
          <w:rFonts w:ascii="Arial" w:cs="Arial" w:eastAsia="Arial" w:hAnsi="Arial"/>
          <w:b w:val="false"/>
          <w:bCs w:val="false"/>
          <w:i w:val="false"/>
          <w:iCs w:val="false"/>
          <w:sz w:val="22"/>
          <w:szCs w:val="22"/>
          <w:vertAlign w:val="subscript"/>
        </w:rPr>
        <w:t xml:space="preserve">90</w:t>
      </w:r>
      <w:r>
        <w:rPr>
          <w:rFonts w:ascii="Arial" w:cs="Arial" w:eastAsia="Arial" w:hAnsi="Arial"/>
          <w:b w:val="false"/>
          <w:bCs w:val="false"/>
          <w:i w:val="false"/>
          <w:iCs w:val="false"/>
          <w:sz w:val="22"/>
          <w:szCs w:val="22"/>
        </w:rPr>
        <w:t xml:space="preserve"> = 14.38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units (band width 28.75; bias </w:t>
      </w:r>
      <w:r>
        <w:rPr>
          <w:rFonts w:ascii="Arial" w:cs="Arial" w:eastAsia="Arial" w:hAnsi="Arial"/>
          <w:b w:val="false"/>
          <w:bCs w:val="false"/>
          <w:i/>
          <w:iCs/>
          <w:sz w:val="22"/>
          <w:szCs w:val="22"/>
        </w:rPr>
        <w:t xml:space="preserve">μ</w:t>
      </w:r>
      <w:r>
        <w:rPr>
          <w:rFonts w:ascii="Arial" w:cs="Arial" w:eastAsia="Arial" w:hAnsi="Arial"/>
          <w:b w:val="false"/>
          <w:bCs w:val="false"/>
          <w:i w:val="false"/>
          <w:iCs w:val="false"/>
          <w:sz w:val="22"/>
          <w:szCs w:val="22"/>
        </w:rPr>
        <w:t xml:space="preserve"> = +0.54). Spearman ρ(σ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|error|) = 0.43 (Supplementary Fig. 15), confirming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the physics-based gate distinct from the across-seed 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used in inverse design — is a meaningful but imperfect epistemic signal.</w:t>
      </w:r>
    </w:p>
    <w:p>
      <w:pPr>
        <w:spacing w:after="120" w:line="252" w:lineRule="auto"/>
        <w:jc w:val="left"/>
      </w:pPr>
      <w:r>
        <w:rPr>
          <w:rFonts w:ascii="Arial" w:cs="Arial" w:eastAsia="Arial" w:hAnsi="Arial"/>
          <w:b w:val="false"/>
          <w:bCs w:val="false"/>
          <w:i w:val="false"/>
          <w:iCs w:val="false"/>
          <w:sz w:val="22"/>
          <w:szCs w:val="22"/>
        </w:rPr>
        <w:t xml:space="preserve">Against six baselines on identical Strat-GSS splits (Table 1, Supplementary Fig. 6, Supplementary Table 2), the PCNN ranks first or near-first on every robustness metric. Tree ensembles reach CV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0.901 (RF), 0.928 (XGB) and 0.930 (CatBoost) but overfit (train→test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gaps 0.117 and 0.169 indicate in-family memorisation); a PIRNN reaches 0.863 ± 0.181, CV SD four-fold higher than ours. The PCNN's CV SD of 0.043 is the lowest of any neural baseline (Fig. 5c) and its train→test gap of 0.047 is 3.6× smaller than XGB's (Fig. 5d). The physics constraints function as a structural inductive bias reducing OOD variance 2–4× vs unconstrained baselines.</w:t>
      </w:r>
    </w:p>
    <w:p>
      <w:pPr>
        <w:sectPr>
          <w:footerReference w:type="default" r:id="rId16"/>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4457700"/>
            <wp:effectExtent t="0" r="0" b="0" l="0"/>
            <wp:docPr id="1" name="fig3_performance.png" descr="Figure" title="fig3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457700"/>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5 | Predictive performance, uncertainty calibration and OOD stability.</w:t>
      </w:r>
      <w:r>
        <w:rPr>
          <w:rFonts w:ascii="Arial" w:cs="Arial" w:eastAsia="Arial" w:hAnsi="Arial"/>
          <w:b w:val="false"/>
          <w:bCs w:val="false"/>
          <w:i w:val="false"/>
          <w:iCs w:val="false"/>
          <w:sz w:val="18"/>
          <w:szCs w:val="18"/>
        </w:rPr>
        <w:t xml:space="preserve"> </w:t>
      </w:r>
      <w:r>
        <w:rPr>
          <w:rFonts w:ascii="Arial" w:cs="Arial" w:eastAsia="Arial" w:hAnsi="Arial"/>
          <w:b/>
          <w:bCs/>
          <w:i w:val="false"/>
          <w:iCs w:val="false"/>
          <w:sz w:val="18"/>
          <w:szCs w:val="18"/>
        </w:rPr>
        <w:t xml:space="preserve">a</w:t>
      </w:r>
      <w:r>
        <w:rPr>
          <w:rFonts w:ascii="Arial" w:cs="Arial" w:eastAsia="Arial" w:hAnsi="Arial"/>
          <w:b w:val="false"/>
          <w:bCs w:val="false"/>
          <w:i w:val="false"/>
          <w:iCs w:val="false"/>
          <w:sz w:val="18"/>
          <w:szCs w:val="18"/>
        </w:rPr>
        <w:t xml:space="preserve">, Parity plot of PCNN predictions versus measured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on the 116-sample family-disjoint holdout, coloured by Reaney regime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0.941, MAE = 5.77). Error bars represent the 90% conformal prediction interval (q̂</w:t>
      </w:r>
      <w:r>
        <w:rPr>
          <w:rFonts w:ascii="Arial" w:cs="Arial" w:eastAsia="Arial" w:hAnsi="Arial"/>
          <w:b w:val="false"/>
          <w:bCs w:val="false"/>
          <w:i w:val="false"/>
          <w:iCs w:val="false"/>
          <w:sz w:val="18"/>
          <w:szCs w:val="18"/>
          <w:vertAlign w:val="subscript"/>
        </w:rPr>
        <w:t xml:space="preserve">90</w:t>
      </w:r>
      <w:r>
        <w:rPr>
          <w:rFonts w:ascii="Arial" w:cs="Arial" w:eastAsia="Arial" w:hAnsi="Arial"/>
          <w:b w:val="false"/>
          <w:bCs w:val="false"/>
          <w:i w:val="false"/>
          <w:iCs w:val="false"/>
          <w:sz w:val="18"/>
          <w:szCs w:val="18"/>
        </w:rPr>
        <w:t xml:space="preserve"> = 14.38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units). The 1:1 line (black) and ±10% band (grey) are shown for reference; 90.5% of holdout samples fall within the conformal band, matching the nominal 90% level. </w:t>
      </w:r>
      <w:r>
        <w:rPr>
          <w:rFonts w:ascii="Arial" w:cs="Arial" w:eastAsia="Arial" w:hAnsi="Arial"/>
          <w:b/>
          <w:bCs/>
          <w:i w:val="false"/>
          <w:iCs w:val="false"/>
          <w:sz w:val="18"/>
          <w:szCs w:val="18"/>
        </w:rPr>
        <w:t xml:space="preserve">b</w:t>
      </w:r>
      <w:r>
        <w:rPr>
          <w:rFonts w:ascii="Arial" w:cs="Arial" w:eastAsia="Arial" w:hAnsi="Arial"/>
          <w:b w:val="false"/>
          <w:bCs w:val="false"/>
          <w:i w:val="false"/>
          <w:iCs w:val="false"/>
          <w:sz w:val="18"/>
          <w:szCs w:val="18"/>
        </w:rPr>
        <w:t xml:space="preserve">, Calibration curve showing empirical coverage versus nominal coverage at 80%, 85%, 90% and 95% levels (filled circles), against the ideal diagonal (dashed line). Empirical coverage matches the nominal target to within 0.7 percentage points across all tested levels on this family-disjoint set (in-calibration consistency check; Methods). </w:t>
      </w:r>
      <w:r>
        <w:rPr>
          <w:rFonts w:ascii="Arial" w:cs="Arial" w:eastAsia="Arial" w:hAnsi="Arial"/>
          <w:b/>
          <w:bCs/>
          <w:i w:val="false"/>
          <w:iCs w:val="false"/>
          <w:sz w:val="18"/>
          <w:szCs w:val="18"/>
        </w:rPr>
        <w:t xml:space="preserve">c</w:t>
      </w:r>
      <w:r>
        <w:rPr>
          <w:rFonts w:ascii="Arial" w:cs="Arial" w:eastAsia="Arial" w:hAnsi="Arial"/>
          <w:b w:val="false"/>
          <w:bCs w:val="false"/>
          <w:i w:val="false"/>
          <w:iCs w:val="false"/>
          <w:sz w:val="18"/>
          <w:szCs w:val="18"/>
        </w:rPr>
        <w:t xml:space="preserve">, Comparison of cross-validation stability across seven baselines on the same Strat-GSS partition: PCNN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0.893 ± 0.043), CatBoost (0.930 ± 0.041), XGBoost (0.928 ± 0.053), RandomForest (0.901 ± 0.057), BPNN (0.914 ± 0.093), PIRNN (0.863 ± 0.181), Ridge (0.721 ± 0.190). The PCNN exhibits the lowest variance among neural-network baselines (4× lower than PIRNN, 2× lower than BPNN), reflecting the regularising effect of architectural sign constraints. </w:t>
      </w:r>
      <w:r>
        <w:rPr>
          <w:rFonts w:ascii="Arial" w:cs="Arial" w:eastAsia="Arial" w:hAnsi="Arial"/>
          <w:b/>
          <w:bCs/>
          <w:i w:val="false"/>
          <w:iCs w:val="false"/>
          <w:sz w:val="18"/>
          <w:szCs w:val="18"/>
        </w:rPr>
        <w:t xml:space="preserve">d</w:t>
      </w:r>
      <w:r>
        <w:rPr>
          <w:rFonts w:ascii="Arial" w:cs="Arial" w:eastAsia="Arial" w:hAnsi="Arial"/>
          <w:b w:val="false"/>
          <w:bCs w:val="false"/>
          <w:i w:val="false"/>
          <w:iCs w:val="false"/>
          <w:sz w:val="18"/>
          <w:szCs w:val="18"/>
        </w:rPr>
        <w:t xml:space="preserve">, Train→test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gap for each baseline; PCNN (0.047) is 3.6× smaller than XGBoost (0.169) and 2.5× smaller than RF (0.117), consistent with reduced overfitting in OOD partitions. Source data are provided as a Source Data file.</w:t>
      </w:r>
    </w:p>
    <w:p>
      <w:pPr>
        <w:sectPr>
          <w:footerReference w:type="default" r:id="rId17"/>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spacing w:after="0" w:line="480" w:lineRule="auto"/>
        <w:jc w:val="left"/>
      </w:pPr>
      <w:r>
        <w:rPr>
          <w:rFonts w:ascii="Arial" w:cs="Arial" w:eastAsia="Arial" w:hAnsi="Arial"/>
          <w:sz w:val="22"/>
          <w:szCs w:val="22"/>
        </w:rPr>
        <w:t xml:space="preserve"/>
      </w:r>
    </w:p>
    <w:p>
      <w:pPr>
        <w:spacing w:after="120" w:before="0" w:line="280" w:lineRule="auto"/>
        <w:jc w:val="left"/>
      </w:pPr>
      <w:r>
        <w:rPr>
          <w:rFonts w:ascii="Arial" w:cs="Arial" w:eastAsia="Arial" w:hAnsi="Arial"/>
          <w:b/>
          <w:bCs/>
          <w:i w:val="false"/>
          <w:iCs w:val="false"/>
          <w:sz w:val="22"/>
          <w:szCs w:val="22"/>
        </w:rPr>
        <w:t xml:space="preserve">Table 1 | </w:t>
      </w:r>
      <w:r>
        <w:rPr>
          <w:rFonts w:ascii="Arial" w:cs="Arial" w:eastAsia="Arial" w:hAnsi="Arial"/>
          <w:b w:val="false"/>
          <w:bCs w:val="false"/>
          <w:i w:val="false"/>
          <w:iCs w:val="false"/>
          <w:sz w:val="22"/>
          <w:szCs w:val="22"/>
        </w:rPr>
        <w:t xml:space="preserve">Comparison of PCNN against seven baselines on identical Family-GroupShuffleSplit five-fold cross-validation partitions and the 116-sample family-disjoint holdout. CV→Holdout gap = (CV R²) − (Holdout R²); large positive values indicate train→test instability. PCNN trained as a 5-seed ensemble (Methods, Supplementary Table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Model</w:t>
            </w:r>
          </w:p>
        </w:tc>
        <w:tc>
          <w:tcPr>
            <w:tcW w:type="dxa" w:w="2080"/>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CV R² ± std</w:t>
            </w:r>
          </w:p>
        </w:tc>
        <w:tc>
          <w:tcPr>
            <w:tcW w:type="dxa" w:w="1664"/>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Holdout R²</w:t>
            </w:r>
          </w:p>
        </w:tc>
        <w:tc>
          <w:tcPr>
            <w:tcW w:type="dxa" w:w="1664"/>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Holdout MAE</w:t>
            </w:r>
          </w:p>
        </w:tc>
        <w:tc>
          <w:tcPr>
            <w:tcW w:type="dxa" w:w="2080"/>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CV→Holdout gap</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CM-only</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−0.862 ± 0.355</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−0.492</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26.59</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+0.370</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Ridge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0.721 ± 0.190</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0.867</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9.19</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+0.146</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Random Forest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0.901 ± 0.057</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0.894</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7.87</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−0.007</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XGBoost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0.928 ± 0.053</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0.879</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8.08</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−0.049</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CatBoost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0.930 ± 0.041</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0.910</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7.04</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−0.020</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BPNN (MLP)</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0.914 ± 0.093</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0.957</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5.40</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+0.043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PIRNN</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0.863 ± 0.181</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0.937</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6.01</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+0.074</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PCNN (ours)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0.893 ± 0.043</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0.941</w:t>
            </w:r>
          </w:p>
        </w:tc>
        <w:tc>
          <w:tcPr>
            <w:tcW w:type="dxa" w:w="1664"/>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5.77</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+0.048</w:t>
            </w:r>
          </w:p>
        </w:tc>
      </w:tr>
    </w:tbl>
    <w:p>
      <w:pPr>
        <w:spacing w:after="0" w:line="480" w:lineRule="auto"/>
        <w:jc w:val="left"/>
      </w:pPr>
      <w:r>
        <w:rPr>
          <w:rFonts w:ascii="Arial" w:cs="Arial" w:eastAsia="Arial" w:hAnsi="Arial"/>
          <w:sz w:val="22"/>
          <w:szCs w:val="22"/>
        </w:rPr>
        <w:t xml:space="preserve"/>
      </w:r>
    </w:p>
    <w:p>
      <w:pPr>
        <w:spacing w:after="0" w:line="480" w:lineRule="auto"/>
        <w:jc w:val="left"/>
      </w:pPr>
      <w:r>
        <w:rPr>
          <w:rFonts w:ascii="Arial" w:cs="Arial" w:eastAsia="Arial" w:hAnsi="Arial"/>
          <w:sz w:val="22"/>
          <w:szCs w:val="22"/>
        </w:rPr>
        <w:t xml:space="preserve"/>
      </w:r>
    </w:p>
    <w:p>
      <w:pPr>
        <w:spacing w:after="120" w:before="0" w:line="280" w:lineRule="auto"/>
        <w:jc w:val="left"/>
      </w:pPr>
      <w:r>
        <w:rPr>
          <w:rFonts w:ascii="Arial" w:cs="Arial" w:eastAsia="Arial" w:hAnsi="Arial"/>
          <w:b/>
          <w:bCs/>
          <w:i w:val="false"/>
          <w:iCs w:val="false"/>
          <w:sz w:val="22"/>
          <w:szCs w:val="22"/>
        </w:rPr>
        <w:t xml:space="preserve">Table 2 | </w:t>
      </w:r>
      <w:r>
        <w:rPr>
          <w:rFonts w:ascii="Arial" w:cs="Arial" w:eastAsia="Arial" w:hAnsi="Arial"/>
          <w:b w:val="false"/>
          <w:bCs w:val="false"/>
          <w:i w:val="false"/>
          <w:iCs w:val="false"/>
          <w:sz w:val="22"/>
          <w:szCs w:val="22"/>
        </w:rPr>
        <w:t xml:space="preserve">Model performance summary. Predictive R², MAE and applicability-domain coverage across the five evaluation regimes (Methods). LOFO = Leave-One-Family-Out; AD = applicability domain (σ_conf &lt; 0.35 ∩ KDE log-density gate). MAE is reported for evaluations on the full corpus; per-family LOFO MAE is given for Pb only because it is the principal extrapolation boundary.</w:t>
      </w:r>
    </w:p>
    <w:tbl>
      <w:tblPr>
        <w:tblW w:type="dxa" w:w="94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Evaluation</w:t>
            </w:r>
          </w:p>
        </w:tc>
        <w:tc>
          <w:tcPr>
            <w:tcW w:type="dxa" w:w="3000"/>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R²</w:t>
            </w:r>
          </w:p>
        </w:tc>
        <w:tc>
          <w:tcPr>
            <w:tcW w:type="dxa" w:w="1500"/>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MAE (ε_r units)</w:t>
            </w:r>
          </w:p>
        </w:tc>
        <w:tc>
          <w:tcPr>
            <w:tcW w:type="dxa" w:w="1488"/>
            <w:tcBorders>
              <w:top w:val="single" w:color="CCCCCC" w:sz="4"/>
              <w:left w:val="single" w:color="CCCCCC" w:sz="4"/>
              <w:bottom w:val="single" w:color="CCCCCC" w:sz="4"/>
              <w:right w:val="single" w:color="CCCCCC" w:sz="4"/>
            </w:tcBorders>
            <w:shd w:fill="E8EDF5" w:val="clear"/>
            <w:tcMar>
              <w:top w:type="dxa" w:w="80"/>
              <w:left w:type="dxa" w:w="120"/>
              <w:bottom w:type="dxa" w:w="80"/>
              <w:right w:type="dxa" w:w="120"/>
            </w:tcMar>
          </w:tcPr>
          <w:p>
            <w:pPr>
              <w:spacing w:after="0"/>
            </w:pPr>
            <w:r>
              <w:rPr>
                <w:rFonts w:ascii="Arial" w:cs="Arial" w:eastAsia="Arial" w:hAnsi="Arial"/>
                <w:b/>
                <w:bCs/>
                <w:sz w:val="20"/>
                <w:szCs w:val="20"/>
              </w:rPr>
              <w:t xml:space="preserve">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Held-out (family-disjoint)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0.941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5.77</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116</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Formula-split 5-fold CV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0.946 ± 0.008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3.78</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1,188</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Strat-GSS 5-fold CV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0.893 ± 0.043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5.62</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1,188</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A-site LOFO — Ba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0.008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436</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A-site LOFO — Sr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0.434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180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A-site LOFO — Ca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0.610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421</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A-site LOFO — La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125</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A-site LOFO — Pb</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−0.097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20.7</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86</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Regime LOFO — Ia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−7.378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60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Regime LOFO — Ib</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−0.158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354</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Regime LOFO — II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0.654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331</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Regime LOFO — III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0.490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559</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Applicability domain (in-AD)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0.933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688</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Applicability domain (out-of-AD)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0.858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616</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Conformal coverage (nom. 80/85/90/95%)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80.2 / 85.3 / 90.5 / 95.7 % empirical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48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sz w:val="20"/>
                <w:szCs w:val="20"/>
              </w:rPr>
              <w:t xml:space="preserve">116</w:t>
            </w:r>
          </w:p>
        </w:tc>
      </w:tr>
    </w:tbl>
    <w:p>
      <w:pPr>
        <w:spacing w:after="0" w:line="480" w:lineRule="auto"/>
        <w:jc w:val="left"/>
      </w:pPr>
      <w:r>
        <w:rPr>
          <w:rFonts w:ascii="Arial" w:cs="Arial" w:eastAsia="Arial" w:hAnsi="Arial"/>
          <w:sz w:val="22"/>
          <w:szCs w:val="22"/>
        </w:rPr>
        <w:t xml:space="preserve"/>
      </w:r>
    </w:p>
    <w:p>
      <w:pPr>
        <w:spacing w:after="160" w:before="220" w:line="480" w:lineRule="auto"/>
      </w:pPr>
      <w:r>
        <w:rPr>
          <w:rFonts w:ascii="Arial" w:cs="Arial" w:eastAsia="Arial" w:hAnsi="Arial"/>
          <w:b/>
          <w:bCs/>
          <w:i/>
          <w:iCs/>
          <w:color w:val="000000"/>
          <w:sz w:val="22"/>
          <w:szCs w:val="22"/>
        </w:rPr>
        <w:t xml:space="preserve">Extrapolation boundaries and physics-constrained inverse design</w:t>
      </w:r>
    </w:p>
    <w:p>
      <w:pPr>
        <w:spacing w:after="120" w:line="252" w:lineRule="auto"/>
        <w:jc w:val="left"/>
      </w:pPr>
      <w:r>
        <w:rPr>
          <w:rFonts w:ascii="Arial" w:cs="Arial" w:eastAsia="Arial" w:hAnsi="Arial"/>
          <w:b w:val="false"/>
          <w:bCs w:val="false"/>
          <w:i w:val="false"/>
          <w:iCs w:val="false"/>
          <w:sz w:val="22"/>
          <w:szCs w:val="22"/>
        </w:rPr>
        <w:t xml:space="preserve">The Pb lone-pair behaviour identified above is also the model's principal extrapolation boundary. In a leave-one-family-out (LOFO) test (Methods, Supplementary Fig. 8 for full per-family detail), holding out all 86 Pb compositions yields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−0.097 (MAE = 20.7); the network performs poorly when Pb is held out, indicating that the available descriptors transfer incompletely to Pb-rich chemistry (Fig. 6a; per-family LOFO parity plots in Supplementary Fig. 12). The LOFO test alone is insufficient to separate genuine chemical novelty from incomplete descriptor coverage: the current feature set contains no explicit lone-pair-sensitive descriptor (for example a Born-effective-charge or 6</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rPr>
        <w:t xml:space="preserve">–6</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hybridisation proxy), so we advance the 6</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 attribution as a hypothesis consistent with the failure rather than a proven cause, to be tested by refitting with such descriptors. The remaining A-site families generalise progressively better, Ba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0.008, Sr 0.434, Ca 0.610, La 0.849, consistent with their decreasing chemical isolation.</w:t>
      </w:r>
    </w:p>
    <w:p>
      <w:pPr>
        <w:spacing w:after="120" w:line="252" w:lineRule="auto"/>
        <w:jc w:val="left"/>
      </w:pPr>
      <w:r>
        <w:rPr>
          <w:rFonts w:ascii="Arial" w:cs="Arial" w:eastAsia="Arial" w:hAnsi="Arial"/>
          <w:b w:val="false"/>
          <w:bCs w:val="false"/>
          <w:i w:val="false"/>
          <w:iCs w:val="false"/>
          <w:sz w:val="22"/>
          <w:szCs w:val="22"/>
        </w:rPr>
        <w:t xml:space="preserve">Regime-LOFO is more severe: Regime Ia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−7.378 (only 60 samples, no tilt and no soft-mode), Ib −0.158, II 0.654 and III 0.490. The extreme Regime Ia value reflects both its small size and its physical distinctness: held out, the model must predict an untilted, paraelectric regime from tilted, soft-mode-active training data, where neither branch carries transferable signal. Reaney's 1994 regime taxonomy</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is therefore reproduced as a </w:t>
      </w:r>
      <w:r>
        <w:rPr>
          <w:rFonts w:ascii="Arial" w:cs="Arial" w:eastAsia="Arial" w:hAnsi="Arial"/>
          <w:b w:val="false"/>
          <w:bCs w:val="false"/>
          <w:i/>
          <w:iCs/>
          <w:sz w:val="22"/>
          <w:szCs w:val="22"/>
        </w:rPr>
        <w:t xml:space="preserve">computationally</w:t>
      </w:r>
      <w:r>
        <w:rPr>
          <w:rFonts w:ascii="Arial" w:cs="Arial" w:eastAsia="Arial" w:hAnsi="Arial"/>
          <w:b w:val="false"/>
          <w:bCs w:val="false"/>
          <w:i w:val="false"/>
          <w:iCs w:val="false"/>
          <w:sz w:val="22"/>
          <w:szCs w:val="22"/>
        </w:rPr>
        <w:t xml:space="preserve"> distinct partition rather than merely a geometric one.</w:t>
      </w:r>
    </w:p>
    <w:p>
      <w:pPr>
        <w:spacing w:after="120" w:line="252" w:lineRule="auto"/>
        <w:jc w:val="left"/>
      </w:pPr>
      <w:r>
        <w:rPr>
          <w:rFonts w:ascii="Arial" w:cs="Arial" w:eastAsia="Arial" w:hAnsi="Arial"/>
          <w:b w:val="false"/>
          <w:bCs w:val="false"/>
          <w:i w:val="false"/>
          <w:iCs w:val="false"/>
          <w:sz w:val="22"/>
          <w:szCs w:val="22"/>
        </w:rPr>
        <w:t xml:space="preserve">The applicability domain (AD) reflects the same boundaries. A two-layer applicability-domain test</w:t>
      </w:r>
      <w:r>
        <w:rPr>
          <w:rFonts w:ascii="Arial" w:cs="Arial" w:eastAsia="Arial" w:hAnsi="Arial"/>
          <w:b w:val="false"/>
          <w:bCs w:val="false"/>
          <w:i w:val="false"/>
          <w:iCs w:val="false"/>
          <w:sz w:val="22"/>
          <w:szCs w:val="22"/>
          <w:vertAlign w:val="superscript"/>
        </w:rPr>
        <w:t xml:space="preserve">29,30</w:t>
      </w:r>
      <w:r>
        <w:rPr>
          <w:rFonts w:ascii="Arial" w:cs="Arial" w:eastAsia="Arial" w:hAnsi="Arial"/>
          <w:b w:val="false"/>
          <w:bCs w:val="false"/>
          <w:i w:val="false"/>
          <w:iCs w:val="false"/>
          <w:sz w:val="22"/>
          <w:szCs w:val="22"/>
        </w:rPr>
        <w:t xml:space="preserve"> (physics gate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&lt; 0.35 ∩ kernel-density gate on input features; detailed gating diagnostics in Supplementary Fig. 9) classifies 52.8% of the dataset as in-domain. Performance separates accordingly: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in</w:t>
      </w:r>
      <w:r>
        <w:rPr>
          <w:rFonts w:ascii="Arial" w:cs="Arial" w:eastAsia="Arial" w:hAnsi="Arial"/>
          <w:b w:val="false"/>
          <w:bCs w:val="false"/>
          <w:i w:val="false"/>
          <w:iCs w:val="false"/>
          <w:sz w:val="22"/>
          <w:szCs w:val="22"/>
        </w:rPr>
        <w:t xml:space="preserve"> = 0.933 versus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out</w:t>
      </w:r>
      <w:r>
        <w:rPr>
          <w:rFonts w:ascii="Arial" w:cs="Arial" w:eastAsia="Arial" w:hAnsi="Arial"/>
          <w:b w:val="false"/>
          <w:bCs w:val="false"/>
          <w:i w:val="false"/>
          <w:iCs w:val="false"/>
          <w:sz w:val="22"/>
          <w:szCs w:val="22"/>
        </w:rPr>
        <w:t xml:space="preserve"> = 0.858 (gap +0.075). The per-A-site confidence ordering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(Pb = 0.288, La = 0.298, Ba = 0.491, Ca = 0.509, Sr = 0.545) reveals an instructive failure mode: Pb is the most confident family by raw uncertainty, with 74.4% of Pb compositions inside the AD, but its LOFO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is the worst (−0.097); Pb is highly confident yet yields the worst LOFO performance (Fig. 6b), the failure mode that arises when nominal in-distribution coverage masks genuine extrapolation</w:t>
      </w:r>
      <w:r>
        <w:rPr>
          <w:rFonts w:ascii="Arial" w:cs="Arial" w:eastAsia="Arial" w:hAnsi="Arial"/>
          <w:b w:val="false"/>
          <w:bCs w:val="false"/>
          <w:i w:val="false"/>
          <w:iCs w:val="false"/>
          <w:sz w:val="22"/>
          <w:szCs w:val="22"/>
          <w:vertAlign w:val="superscript"/>
        </w:rPr>
        <w:t xml:space="preserve">31,32</w:t>
      </w:r>
      <w:r>
        <w:rPr>
          <w:rFonts w:ascii="Arial" w:cs="Arial" w:eastAsia="Arial" w:hAnsi="Arial"/>
          <w:b w:val="false"/>
          <w:bCs w:val="false"/>
          <w:i w:val="false"/>
          <w:iCs w:val="false"/>
          <w:sz w:val="22"/>
          <w:szCs w:val="22"/>
        </w:rPr>
        <w:t xml:space="preserve">. Sr is the opposite, 23.3% in-AD, indicating genuine uncertainty that the model correctly flags. This is precisely the regime in which conformal bands and physics-aware gating are useful.</w:t>
      </w:r>
    </w:p>
    <w:p>
      <w:pPr>
        <w:spacing w:after="120" w:line="252" w:lineRule="auto"/>
        <w:jc w:val="left"/>
      </w:pPr>
      <w:r>
        <w:rPr>
          <w:rFonts w:ascii="Arial" w:cs="Arial" w:eastAsia="Arial" w:hAnsi="Arial"/>
          <w:b w:val="false"/>
          <w:bCs w:val="false"/>
          <w:i w:val="false"/>
          <w:iCs w:val="false"/>
          <w:sz w:val="22"/>
          <w:szCs w:val="22"/>
        </w:rPr>
        <w:t xml:space="preserve">We exploit this calibrated uncertainty in a physics-constrained genetic-algorithm (GA) inverse design</w:t>
      </w:r>
      <w:r>
        <w:rPr>
          <w:rFonts w:ascii="Arial" w:cs="Arial" w:eastAsia="Arial" w:hAnsi="Arial"/>
          <w:b w:val="false"/>
          <w:bCs w:val="false"/>
          <w:i w:val="false"/>
          <w:iCs w:val="false"/>
          <w:sz w:val="22"/>
          <w:szCs w:val="22"/>
          <w:vertAlign w:val="superscript"/>
        </w:rPr>
        <w:t xml:space="preserve">33</w:t>
      </w:r>
      <w:r>
        <w:rPr>
          <w:rFonts w:ascii="Arial" w:cs="Arial" w:eastAsia="Arial" w:hAnsi="Arial"/>
          <w:b w:val="false"/>
          <w:bCs w:val="false"/>
          <w:i w:val="false"/>
          <w:iCs w:val="false"/>
          <w:sz w:val="22"/>
          <w:szCs w:val="22"/>
        </w:rPr>
        <w:t xml:space="preserve"> that searches the A- and B-site composition simplices directly (Methods). Three independent runs — Pb-allowed, Pb-free and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-strict — each evolved 100 candidates over 50 generations (≈ 5,000 PCNN evaluations) under hard physical-validity constraints (charge balance, Goldschmidt tolerance factor 0.85–1.05,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fraction ≥ 0.5), maximising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penalised by predictive uncertainty. The Pb-free optimum,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reaches a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147 with a 90% conformal lower bound of 132 and is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-dominated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108 versus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CM</w:t>
      </w:r>
      <w:r>
        <w:rPr>
          <w:rFonts w:ascii="Arial" w:cs="Arial" w:eastAsia="Arial" w:hAnsi="Arial"/>
          <w:b w:val="false"/>
          <w:bCs w:val="false"/>
          <w:i w:val="false"/>
          <w:iCs w:val="false"/>
          <w:sz w:val="22"/>
          <w:szCs w:val="22"/>
        </w:rPr>
        <w:t xml:space="preserve"> ≈ 38,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2.85; Fig. 6c), consistent with the A-site hierarchy and with the requirement of a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(empty-d-shell) B-site such as Ti</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or Zr</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for soft-mode activation</w:t>
      </w:r>
      <w:r>
        <w:rPr>
          <w:rFonts w:ascii="Arial" w:cs="Arial" w:eastAsia="Arial" w:hAnsi="Arial"/>
          <w:b w:val="false"/>
          <w:bCs w:val="false"/>
          <w:i w:val="false"/>
          <w:iCs w:val="false"/>
          <w:sz w:val="22"/>
          <w:szCs w:val="22"/>
          <w:vertAlign w:val="superscript"/>
        </w:rPr>
        <w:t xml:space="preserve">1,15,34</w:t>
      </w:r>
      <w:r>
        <w:rPr>
          <w:rFonts w:ascii="Arial" w:cs="Arial" w:eastAsia="Arial" w:hAnsi="Arial"/>
          <w:b w:val="false"/>
          <w:bCs w:val="false"/>
          <w:i w:val="false"/>
          <w:iCs w:val="false"/>
          <w:sz w:val="22"/>
          <w:szCs w:val="22"/>
        </w:rPr>
        <w:t xml:space="preserve">. The Pb-allowed run reaches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166–170 — broadly consistent with the Pb lone-pair upper end suggested by the hierarchy above, but reported only for completeness: that value lies in the composition region where leave-Pb-out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−0.097 (Fig. 6a), so it should not be read as a calibrated upper bound on Pb-containing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w:t>
      </w:r>
    </w:p>
    <w:p>
      <w:pPr>
        <w:spacing w:after="120" w:line="252" w:lineRule="auto"/>
        <w:jc w:val="left"/>
      </w:pPr>
      <w:r>
        <w:rPr>
          <w:rFonts w:ascii="Arial" w:cs="Arial" w:eastAsia="Arial" w:hAnsi="Arial"/>
          <w:b w:val="false"/>
          <w:bCs w:val="false"/>
          <w:i w:val="false"/>
          <w:iCs w:val="false"/>
          <w:sz w:val="22"/>
          <w:szCs w:val="22"/>
        </w:rPr>
        <w:t xml:space="preserve">Despite receiving no explicit design rules, the optimiser independently converges on the regime the A-site hierarchy predicts — the Sr-rich,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-Ti/Zr corner with negligible tilt — reproducing the model's own predicted LST landscape. The Pb-free optimum is inside the model's mechanism-confidence gate (Layer 1 of the applicability domain) but lies at the sparse frontier of sampled composition space, with a nearest-neighbour distance to the training set beyond the 95th percentile, so the density gate of the applicability domain flags it as a compositional extrapolation. We therefore report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as a confidence-bounded synthesis target rather than a validated material, complementing recent experimentally closed-loop and generative inverse-design frameworks</w:t>
      </w:r>
      <w:r>
        <w:rPr>
          <w:rFonts w:ascii="Arial" w:cs="Arial" w:eastAsia="Arial" w:hAnsi="Arial"/>
          <w:b w:val="false"/>
          <w:bCs w:val="false"/>
          <w:i w:val="false"/>
          <w:iCs w:val="false"/>
          <w:sz w:val="22"/>
          <w:szCs w:val="22"/>
          <w:vertAlign w:val="superscript"/>
        </w:rPr>
        <w:t xml:space="preserve">18–20</w:t>
      </w:r>
      <w:r>
        <w:rPr>
          <w:rFonts w:ascii="Arial" w:cs="Arial" w:eastAsia="Arial" w:hAnsi="Arial"/>
          <w:b w:val="false"/>
          <w:bCs w:val="false"/>
          <w:i w:val="false"/>
          <w:iCs w:val="false"/>
          <w:sz w:val="22"/>
          <w:szCs w:val="22"/>
        </w:rPr>
        <w:t xml:space="preserve"> — the role of the inverse-design layer here is to propose a single, physics-decomposed, conformal-bounded target whose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prediction (together with Q×f and τ</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f) requires experimental closure.</w:t>
      </w:r>
    </w:p>
    <w:p>
      <w:pPr>
        <w:sectPr>
          <w:footerReference w:type="default" r:id="rId18"/>
          <w:type w:val="continuous"/>
          <w:pgSz w:w="12240" w:h="15840" w:orient="portrait"/>
          <w:pgMar w:top="1296" w:right="1296" w:bottom="1296" w:left="1296" w:header="708" w:footer="708" w:gutter="0"/>
          <w:pgNumType/>
          <w:docGrid w:linePitch="360"/>
        </w:sectPr>
      </w:pPr>
    </w:p>
    <w:p>
      <w:pPr>
        <w:spacing w:after="120" w:before="360"/>
      </w:pPr>
      <w:r>
        <w:rPr>
          <w:rFonts w:ascii="Arial" w:cs="Arial" w:eastAsia="Arial" w:hAnsi="Arial"/>
          <w:sz w:val="22"/>
          <w:szCs w:val="22"/>
        </w:rPr>
        <w:t xml:space="preserve"/>
      </w:r>
    </w:p>
    <w:p>
      <w:pPr>
        <w:spacing w:after="240" w:before="0"/>
        <w:jc w:val="center"/>
      </w:pPr>
      <w:r>
        <w:drawing>
          <wp:inline distT="0" distB="0" distL="0" distR="0">
            <wp:extent cx="5943600" cy="1866900"/>
            <wp:effectExtent t="0" r="0" b="0" l="0"/>
            <wp:docPr id="1" name="fig6_limits.png" descr="Figure" title="fig6_li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866900"/>
                    </a:xfrm>
                    <a:prstGeom prst="rect">
                      <a:avLst/>
                    </a:prstGeom>
                  </pic:spPr>
                </pic:pic>
              </a:graphicData>
            </a:graphic>
          </wp:inline>
        </w:drawing>
      </w:r>
    </w:p>
    <w:p>
      <w:pPr>
        <w:spacing w:after="480" w:before="0" w:line="280" w:lineRule="auto"/>
        <w:jc w:val="both"/>
      </w:pPr>
      <w:r>
        <w:rPr>
          <w:rFonts w:ascii="Arial" w:cs="Arial" w:eastAsia="Arial" w:hAnsi="Arial"/>
          <w:b/>
          <w:bCs/>
          <w:i w:val="false"/>
          <w:iCs w:val="false"/>
          <w:sz w:val="18"/>
          <w:szCs w:val="18"/>
        </w:rPr>
        <w:t xml:space="preserve">Fig. 6 | Extrapolation boundaries and physics-constrained inverse design.</w:t>
      </w:r>
      <w:r>
        <w:rPr>
          <w:rFonts w:ascii="Arial" w:cs="Arial" w:eastAsia="Arial" w:hAnsi="Arial"/>
          <w:b w:val="false"/>
          <w:bCs w:val="false"/>
          <w:i w:val="false"/>
          <w:iCs w:val="false"/>
          <w:sz w:val="18"/>
          <w:szCs w:val="18"/>
        </w:rPr>
        <w:t xml:space="preserve"> </w:t>
      </w:r>
      <w:r>
        <w:rPr>
          <w:rFonts w:ascii="Arial" w:cs="Arial" w:eastAsia="Arial" w:hAnsi="Arial"/>
          <w:b/>
          <w:bCs/>
          <w:i w:val="false"/>
          <w:iCs w:val="false"/>
          <w:sz w:val="18"/>
          <w:szCs w:val="18"/>
        </w:rPr>
        <w:t xml:space="preserve">a</w:t>
      </w:r>
      <w:r>
        <w:rPr>
          <w:rFonts w:ascii="Arial" w:cs="Arial" w:eastAsia="Arial" w:hAnsi="Arial"/>
          <w:b w:val="false"/>
          <w:bCs w:val="false"/>
          <w:i w:val="false"/>
          <w:iCs w:val="false"/>
          <w:sz w:val="18"/>
          <w:szCs w:val="18"/>
        </w:rPr>
        <w:t xml:space="preserve">, Leave-one-family-out (LOFO) generalisation: holdout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when each A-site family is removed entirely from training and used as test (Pb −0.097, Ba 0.008, Sr 0.434, Ca 0.610, La 0.849). The progression reflects increasing chemical isolation; Pb is the only family on which the PCNN fundamentally fails to extrapolate, identifying 6</w:t>
      </w:r>
      <w:r>
        <w:rPr>
          <w:rFonts w:ascii="Arial" w:cs="Arial" w:eastAsia="Arial" w:hAnsi="Arial"/>
          <w:b w:val="false"/>
          <w:bCs w:val="false"/>
          <w:i/>
          <w:iCs/>
          <w:sz w:val="18"/>
          <w:szCs w:val="18"/>
        </w:rPr>
        <w:t xml:space="preserve">s</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lone-pair stereoactivity as a hard ML boundary (regime-LOFO is shown in Supplementary Fig. 8). </w:t>
      </w:r>
      <w:r>
        <w:rPr>
          <w:rFonts w:ascii="Arial" w:cs="Arial" w:eastAsia="Arial" w:hAnsi="Arial"/>
          <w:b/>
          <w:bCs/>
          <w:i w:val="false"/>
          <w:iCs w:val="false"/>
          <w:sz w:val="18"/>
          <w:szCs w:val="18"/>
        </w:rPr>
        <w:t xml:space="preserve">b</w:t>
      </w:r>
      <w:r>
        <w:rPr>
          <w:rFonts w:ascii="Arial" w:cs="Arial" w:eastAsia="Arial" w:hAnsi="Arial"/>
          <w:b w:val="false"/>
          <w:bCs w:val="false"/>
          <w:i w:val="false"/>
          <w:iCs w:val="false"/>
          <w:sz w:val="18"/>
          <w:szCs w:val="18"/>
        </w:rPr>
        <w:t xml:space="preserve">, The confident-but-wrong failure mode: per-A-site fraction of compositions classified as in-domain by the conjunctive σ</w:t>
      </w:r>
      <w:r>
        <w:rPr>
          <w:rFonts w:ascii="Arial" w:cs="Arial" w:eastAsia="Arial" w:hAnsi="Arial"/>
          <w:b w:val="false"/>
          <w:bCs w:val="false"/>
          <w:i w:val="false"/>
          <w:iCs w:val="false"/>
          <w:sz w:val="18"/>
          <w:szCs w:val="18"/>
          <w:vertAlign w:val="subscript"/>
        </w:rPr>
        <w:t xml:space="preserve">conf</w:t>
      </w:r>
      <w:r>
        <w:rPr>
          <w:rFonts w:ascii="Arial" w:cs="Arial" w:eastAsia="Arial" w:hAnsi="Arial"/>
          <w:b w:val="false"/>
          <w:bCs w:val="false"/>
          <w:i w:val="false"/>
          <w:iCs w:val="false"/>
          <w:sz w:val="18"/>
          <w:szCs w:val="18"/>
        </w:rPr>
        <w:t xml:space="preserve"> × KDE applicability-domain gate (bars; Pb 74.4%, La 72.0%, Ba 58.3%, Ca 52.7%, Sr 23.3%, ordered by increasing mean σ</w:t>
      </w:r>
      <w:r>
        <w:rPr>
          <w:rFonts w:ascii="Arial" w:cs="Arial" w:eastAsia="Arial" w:hAnsi="Arial"/>
          <w:b w:val="false"/>
          <w:bCs w:val="false"/>
          <w:i w:val="false"/>
          <w:iCs w:val="false"/>
          <w:sz w:val="18"/>
          <w:szCs w:val="18"/>
          <w:vertAlign w:val="subscript"/>
        </w:rPr>
        <w:t xml:space="preserve">conf</w:t>
      </w:r>
      <w:r>
        <w:rPr>
          <w:rFonts w:ascii="Arial" w:cs="Arial" w:eastAsia="Arial" w:hAnsi="Arial"/>
          <w:b w:val="false"/>
          <w:bCs w:val="false"/>
          <w:i w:val="false"/>
          <w:iCs w:val="false"/>
          <w:sz w:val="18"/>
          <w:szCs w:val="18"/>
        </w:rPr>
        <w:t xml:space="preserve">) overlaid with the corresponding LOFO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(markers, right axis). Pb is the family with the lowest mean σ</w:t>
      </w:r>
      <w:r>
        <w:rPr>
          <w:rFonts w:ascii="Arial" w:cs="Arial" w:eastAsia="Arial" w:hAnsi="Arial"/>
          <w:b w:val="false"/>
          <w:bCs w:val="false"/>
          <w:i w:val="false"/>
          <w:iCs w:val="false"/>
          <w:sz w:val="18"/>
          <w:szCs w:val="18"/>
          <w:vertAlign w:val="subscript"/>
        </w:rPr>
        <w:t xml:space="preserve">conf</w:t>
      </w:r>
      <w:r>
        <w:rPr>
          <w:rFonts w:ascii="Arial" w:cs="Arial" w:eastAsia="Arial" w:hAnsi="Arial"/>
          <w:b w:val="false"/>
          <w:bCs w:val="false"/>
          <w:i w:val="false"/>
          <w:iCs w:val="false"/>
          <w:sz w:val="18"/>
          <w:szCs w:val="18"/>
        </w:rPr>
        <w:t xml:space="preserve"> (0.288) and highest in-AD fraction (74.4%) yet exhibits the worst LOFO performance (</w:t>
      </w:r>
      <w:r>
        <w:rPr>
          <w:rFonts w:ascii="Arial" w:cs="Arial" w:eastAsia="Arial" w:hAnsi="Arial"/>
          <w:b w:val="false"/>
          <w:bCs w:val="false"/>
          <w:i/>
          <w:iCs/>
          <w:sz w:val="18"/>
          <w:szCs w:val="18"/>
        </w:rPr>
        <w:t xml:space="preser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 −0.097), demonstrating that uncertainty magnitude alone is insufficient to detect novel-chemistry failure modes; Sr (in-AD = 23.3%) is correctly flagged as uncertain. </w:t>
      </w:r>
      <w:r>
        <w:rPr>
          <w:rFonts w:ascii="Arial" w:cs="Arial" w:eastAsia="Arial" w:hAnsi="Arial"/>
          <w:b/>
          <w:bCs/>
          <w:i w:val="false"/>
          <w:iCs w:val="false"/>
          <w:sz w:val="18"/>
          <w:szCs w:val="18"/>
        </w:rPr>
        <w:t xml:space="preserve">c</w:t>
      </w:r>
      <w:r>
        <w:rPr>
          <w:rFonts w:ascii="Arial" w:cs="Arial" w:eastAsia="Arial" w:hAnsi="Arial"/>
          <w:b w:val="false"/>
          <w:bCs w:val="false"/>
          <w:i w:val="false"/>
          <w:iCs w:val="false"/>
          <w:sz w:val="18"/>
          <w:szCs w:val="18"/>
        </w:rPr>
        <w:t xml:space="preserve">, Physics-constrained genetic-algorithm (GA) inverse design: best predicted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per generation for three runs (Pb-allowed, </w:t>
      </w:r>
      <w:r>
        <w:rPr>
          <w:rFonts w:ascii="Arial" w:cs="Arial" w:eastAsia="Arial" w:hAnsi="Arial"/>
          <w:b w:val="false"/>
          <w:bCs w:val="false"/>
          <w:i/>
          <w:iCs/>
          <w:sz w:val="18"/>
          <w:szCs w:val="18"/>
        </w:rPr>
        <w:t xml:space="preserve">d</w:t>
      </w:r>
      <w:r>
        <w:rPr>
          <w:rFonts w:ascii="Arial" w:cs="Arial" w:eastAsia="Arial" w:hAnsi="Arial"/>
          <w:b w:val="false"/>
          <w:bCs w:val="false"/>
          <w:i w:val="false"/>
          <w:iCs w:val="false"/>
          <w:sz w:val="18"/>
          <w:szCs w:val="18"/>
          <w:vertAlign w:val="superscript"/>
        </w:rPr>
        <w:t xml:space="preserve">0</w:t>
      </w:r>
      <w:r>
        <w:rPr>
          <w:rFonts w:ascii="Arial" w:cs="Arial" w:eastAsia="Arial" w:hAnsi="Arial"/>
          <w:b w:val="false"/>
          <w:bCs w:val="false"/>
          <w:i w:val="false"/>
          <w:iCs w:val="false"/>
          <w:sz w:val="18"/>
          <w:szCs w:val="18"/>
        </w:rPr>
        <w:t xml:space="preserve">-strict, Pb-free; ≈ 5,000 PCNN evaluations each). The Pb-free optimum Ba</w:t>
      </w:r>
      <w:r>
        <w:rPr>
          <w:rFonts w:ascii="Arial" w:cs="Arial" w:eastAsia="Arial" w:hAnsi="Arial"/>
          <w:b w:val="false"/>
          <w:bCs w:val="false"/>
          <w:i w:val="false"/>
          <w:iCs w:val="false"/>
          <w:sz w:val="18"/>
          <w:szCs w:val="18"/>
          <w:vertAlign w:val="subscript"/>
        </w:rPr>
        <w:t xml:space="preserve">0.05</w:t>
      </w:r>
      <w:r>
        <w:rPr>
          <w:rFonts w:ascii="Arial" w:cs="Arial" w:eastAsia="Arial" w:hAnsi="Arial"/>
          <w:b w:val="false"/>
          <w:bCs w:val="false"/>
          <w:i w:val="false"/>
          <w:iCs w:val="false"/>
          <w:sz w:val="18"/>
          <w:szCs w:val="18"/>
        </w:rPr>
        <w:t xml:space="preserve">Sr</w:t>
      </w:r>
      <w:r>
        <w:rPr>
          <w:rFonts w:ascii="Arial" w:cs="Arial" w:eastAsia="Arial" w:hAnsi="Arial"/>
          <w:b w:val="false"/>
          <w:bCs w:val="false"/>
          <w:i w:val="false"/>
          <w:iCs w:val="false"/>
          <w:sz w:val="18"/>
          <w:szCs w:val="18"/>
          <w:vertAlign w:val="subscript"/>
        </w:rPr>
        <w:t xml:space="preserve">0.95</w:t>
      </w:r>
      <w:r>
        <w:rPr>
          <w:rFonts w:ascii="Arial" w:cs="Arial" w:eastAsia="Arial" w:hAnsi="Arial"/>
          <w:b w:val="false"/>
          <w:bCs w:val="false"/>
          <w:i w:val="false"/>
          <w:iCs w:val="false"/>
          <w:sz w:val="18"/>
          <w:szCs w:val="18"/>
        </w:rPr>
        <w:t xml:space="preserve">Ti</w:t>
      </w:r>
      <w:r>
        <w:rPr>
          <w:rFonts w:ascii="Arial" w:cs="Arial" w:eastAsia="Arial" w:hAnsi="Arial"/>
          <w:b w:val="false"/>
          <w:bCs w:val="false"/>
          <w:i w:val="false"/>
          <w:iCs w:val="false"/>
          <w:sz w:val="18"/>
          <w:szCs w:val="18"/>
          <w:vertAlign w:val="subscript"/>
        </w:rPr>
        <w:t xml:space="preserve">0.84</w:t>
      </w:r>
      <w:r>
        <w:rPr>
          <w:rFonts w:ascii="Arial" w:cs="Arial" w:eastAsia="Arial" w:hAnsi="Arial"/>
          <w:b w:val="false"/>
          <w:bCs w:val="false"/>
          <w:i w:val="false"/>
          <w:iCs w:val="false"/>
          <w:sz w:val="18"/>
          <w:szCs w:val="18"/>
        </w:rPr>
        <w:t xml:space="preserve">Zr</w:t>
      </w:r>
      <w:r>
        <w:rPr>
          <w:rFonts w:ascii="Arial" w:cs="Arial" w:eastAsia="Arial" w:hAnsi="Arial"/>
          <w:b w:val="false"/>
          <w:bCs w:val="false"/>
          <w:i w:val="false"/>
          <w:iCs w:val="false"/>
          <w:sz w:val="18"/>
          <w:szCs w:val="18"/>
          <w:vertAlign w:val="subscript"/>
        </w:rPr>
        <w:t xml:space="preserve">0.15</w:t>
      </w:r>
      <w:r>
        <w:rPr>
          <w:rFonts w:ascii="Arial" w:cs="Arial" w:eastAsia="Arial" w:hAnsi="Arial"/>
          <w:b w:val="false"/>
          <w:bCs w:val="false"/>
          <w:i w:val="false"/>
          <w:iCs w:val="false"/>
          <w:sz w:val="18"/>
          <w:szCs w:val="18"/>
        </w:rPr>
        <w:t xml:space="preserve">O</w:t>
      </w:r>
      <w:r>
        <w:rPr>
          <w:rFonts w:ascii="Arial" w:cs="Arial" w:eastAsia="Arial" w:hAnsi="Arial"/>
          <w:b w:val="false"/>
          <w:bCs w:val="false"/>
          <w:i w:val="false"/>
          <w:iCs w:val="false"/>
          <w:sz w:val="18"/>
          <w:szCs w:val="18"/>
          <w:vertAlign w:val="subscript"/>
        </w:rPr>
        <w:t xml:space="preserve">3</w:t>
      </w:r>
      <w:r>
        <w:rPr>
          <w:rFonts w:ascii="Arial" w:cs="Arial" w:eastAsia="Arial" w:hAnsi="Arial"/>
          <w:b w:val="false"/>
          <w:bCs w:val="false"/>
          <w:i w:val="false"/>
          <w:iCs w:val="false"/>
          <w:sz w:val="18"/>
          <w:szCs w:val="18"/>
        </w:rPr>
        <w:t xml:space="preserve"> reaches predicted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 147 (90% LCB 132) and is δ</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-dominated (</w:t>
      </w:r>
      <w:r>
        <w:rPr>
          <w:rFonts w:ascii="Arial" w:cs="Arial" w:eastAsia="Arial" w:hAnsi="Arial"/>
          <w:b w:val="false"/>
          <w:bCs w:val="false"/>
          <w:i/>
          <w:iCs/>
          <w:sz w:val="18"/>
          <w:szCs w:val="18"/>
        </w:rPr>
        <w:t xml:space="preserve">f</w:t>
      </w:r>
      <w:r>
        <w:rPr>
          <w:rFonts w:ascii="Arial" w:cs="Arial" w:eastAsia="Arial" w:hAnsi="Arial"/>
          <w:b w:val="false"/>
          <w:bCs w:val="false"/>
          <w:i w:val="false"/>
          <w:iCs w:val="false"/>
          <w:sz w:val="18"/>
          <w:szCs w:val="18"/>
          <w:vertAlign w:val="subscript"/>
        </w:rPr>
        <w:t xml:space="preserve">LST</w:t>
      </w:r>
      <w:r>
        <w:rPr>
          <w:rFonts w:ascii="Arial" w:cs="Arial" w:eastAsia="Arial" w:hAnsi="Arial"/>
          <w:b w:val="false"/>
          <w:bCs w:val="false"/>
          <w:i w:val="false"/>
          <w:iCs w:val="false"/>
          <w:sz w:val="18"/>
          <w:szCs w:val="18"/>
        </w:rPr>
        <w:t xml:space="preserve"> = 2.85), but its nearest-neighbour distance to the training set exceeds the 95th percentile, flagging it as a confidence-bounded compositional extrapolation (synthesis target) rather than a validated material. The Pb-allowed run reaches ε</w:t>
      </w:r>
      <w:r>
        <w:rPr>
          <w:rFonts w:ascii="Arial" w:cs="Arial" w:eastAsia="Arial" w:hAnsi="Arial"/>
          <w:b w:val="false"/>
          <w:bCs w:val="false"/>
          <w:i w:val="false"/>
          <w:iCs w:val="false"/>
          <w:sz w:val="18"/>
          <w:szCs w:val="18"/>
          <w:vertAlign w:val="subscript"/>
        </w:rPr>
        <w:t xml:space="preserve">r</w:t>
      </w:r>
      <w:r>
        <w:rPr>
          <w:rFonts w:ascii="Arial" w:cs="Arial" w:eastAsia="Arial" w:hAnsi="Arial"/>
          <w:b w:val="false"/>
          <w:bCs w:val="false"/>
          <w:i w:val="false"/>
          <w:iCs w:val="false"/>
          <w:sz w:val="18"/>
          <w:szCs w:val="18"/>
        </w:rPr>
        <w:t xml:space="preserve"> ≈ 166–170 but in a leave-Pb-out negative-R</w:t>
      </w:r>
      <w:r>
        <w:rPr>
          <w:rFonts w:ascii="Arial" w:cs="Arial" w:eastAsia="Arial" w:hAnsi="Arial"/>
          <w:b w:val="false"/>
          <w:bCs w:val="false"/>
          <w:i w:val="false"/>
          <w:iCs w:val="false"/>
          <w:sz w:val="18"/>
          <w:szCs w:val="18"/>
          <w:vertAlign w:val="superscript"/>
        </w:rPr>
        <w:t xml:space="preserve">2</w:t>
      </w:r>
      <w:r>
        <w:rPr>
          <w:rFonts w:ascii="Arial" w:cs="Arial" w:eastAsia="Arial" w:hAnsi="Arial"/>
          <w:b w:val="false"/>
          <w:bCs w:val="false"/>
          <w:i w:val="false"/>
          <w:iCs w:val="false"/>
          <w:sz w:val="18"/>
          <w:szCs w:val="18"/>
        </w:rPr>
        <w:t xml:space="preserve"> region (panel a), so its value is reported only for completeness and not as a calibrated upper bound. Source data are provided as a Source Data file.
---
## Supplementary Figure Legends</w:t>
      </w:r>
    </w:p>
    <w:p>
      <w:pPr>
        <w:sectPr>
          <w:footerReference w:type="default" r:id="rId19"/>
          <w:type w:val="continuous"/>
          <w:pgSz w:w="12240" w:h="15840" w:orient="portrait"/>
          <w:pgMar w:top="1296" w:right="1296" w:bottom="1296" w:left="1296" w:header="708" w:footer="708" w:gutter="0"/>
          <w:pgNumType/>
          <w:docGrid w:linePitch="360"/>
        </w:sectPr>
      </w:pPr>
    </w:p>
    <w:p>
      <w:pPr>
        <w:spacing w:after="240" w:before="0"/>
      </w:pPr>
      <w:r>
        <w:rPr>
          <w:rFonts w:ascii="Arial" w:cs="Arial" w:eastAsia="Arial" w:hAnsi="Arial"/>
          <w:sz w:val="22"/>
          <w:szCs w:val="22"/>
        </w:rPr>
        <w:t xml:space="preserve"/>
      </w:r>
    </w:p>
    <w:p>
      <w:pPr>
        <w:pStyle w:val="Heading1"/>
        <w:spacing w:after="240" w:before="360" w:line="480" w:lineRule="auto"/>
      </w:pPr>
      <w:r>
        <w:rPr>
          <w:rFonts w:ascii="Arial" w:cs="Arial" w:eastAsia="Arial" w:hAnsi="Arial"/>
          <w:b/>
          <w:bCs/>
          <w:color w:val="000000"/>
          <w:sz w:val="28"/>
          <w:szCs w:val="28"/>
        </w:rPr>
        <w:t xml:space="preserve">Discussion</w:t>
      </w:r>
    </w:p>
    <w:p>
      <w:pPr>
        <w:spacing w:after="120" w:line="252" w:lineRule="auto"/>
        <w:jc w:val="left"/>
      </w:pPr>
      <w:r>
        <w:rPr>
          <w:rFonts w:ascii="Arial" w:cs="Arial" w:eastAsia="Arial" w:hAnsi="Arial"/>
          <w:b w:val="false"/>
          <w:bCs w:val="false"/>
          <w:i w:val="false"/>
          <w:iCs w:val="false"/>
          <w:sz w:val="22"/>
          <w:szCs w:val="22"/>
        </w:rPr>
        <w:t xml:space="preserve">The soft-mode framework organising high-permittivity oxides has been reinforced from multiple methodological angles — systematic DFT phonon calculations across 12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w:t>
      </w:r>
      <w:r>
        <w:rPr>
          <w:rFonts w:ascii="Arial" w:cs="Arial" w:eastAsia="Arial" w:hAnsi="Arial"/>
          <w:b w:val="false"/>
          <w:bCs w:val="false"/>
          <w:i w:val="false"/>
          <w:iCs w:val="false"/>
          <w:sz w:val="22"/>
          <w:szCs w:val="22"/>
          <w:vertAlign w:val="superscript"/>
        </w:rPr>
        <w:t xml:space="preserve">10</w:t>
      </w:r>
      <w:r>
        <w:rPr>
          <w:rFonts w:ascii="Arial" w:cs="Arial" w:eastAsia="Arial" w:hAnsi="Arial"/>
          <w:b w:val="false"/>
          <w:bCs w:val="false"/>
          <w:i w:val="false"/>
          <w:iCs w:val="false"/>
          <w:sz w:val="22"/>
          <w:szCs w:val="22"/>
        </w:rPr>
        <w:t xml:space="preserve">, strain-induced first-principles studies of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and BaZrO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vertAlign w:val="superscript"/>
        </w:rPr>
        <w:t xml:space="preserve">11,12</w:t>
      </w:r>
      <w:r>
        <w:rPr>
          <w:rFonts w:ascii="Arial" w:cs="Arial" w:eastAsia="Arial" w:hAnsi="Arial"/>
          <w:b w:val="false"/>
          <w:bCs w:val="false"/>
          <w:i w:val="false"/>
          <w:iCs w:val="false"/>
          <w:sz w:val="22"/>
          <w:szCs w:val="22"/>
        </w:rPr>
        <w:t xml:space="preserve">, neutron-scattering observation of the zone-centre soft mode in lead-free halide perovskites</w:t>
      </w:r>
      <w:r>
        <w:rPr>
          <w:rFonts w:ascii="Arial" w:cs="Arial" w:eastAsia="Arial" w:hAnsi="Arial"/>
          <w:b w:val="false"/>
          <w:bCs w:val="false"/>
          <w:i w:val="false"/>
          <w:iCs w:val="false"/>
          <w:sz w:val="22"/>
          <w:szCs w:val="22"/>
          <w:vertAlign w:val="superscript"/>
        </w:rPr>
        <w:t xml:space="preserve">35</w:t>
      </w:r>
      <w:r>
        <w:rPr>
          <w:rFonts w:ascii="Arial" w:cs="Arial" w:eastAsia="Arial" w:hAnsi="Arial"/>
          <w:b w:val="false"/>
          <w:bCs w:val="false"/>
          <w:i w:val="false"/>
          <w:iCs w:val="false"/>
          <w:sz w:val="22"/>
          <w:szCs w:val="22"/>
        </w:rPr>
        <w:t xml:space="preserve">, infrared/Raman phonon studies of (Sr,Ce)TiO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 ceramics</w:t>
      </w:r>
      <w:r>
        <w:rPr>
          <w:rFonts w:ascii="Arial" w:cs="Arial" w:eastAsia="Arial" w:hAnsi="Arial"/>
          <w:b w:val="false"/>
          <w:bCs w:val="false"/>
          <w:i w:val="false"/>
          <w:iCs w:val="false"/>
          <w:sz w:val="22"/>
          <w:szCs w:val="22"/>
          <w:vertAlign w:val="superscript"/>
        </w:rPr>
        <w:t xml:space="preserve">36</w:t>
      </w:r>
      <w:r>
        <w:rPr>
          <w:rFonts w:ascii="Arial" w:cs="Arial" w:eastAsia="Arial" w:hAnsi="Arial"/>
          <w:b w:val="false"/>
          <w:bCs w:val="false"/>
          <w:i w:val="false"/>
          <w:iCs w:val="false"/>
          <w:sz w:val="22"/>
          <w:szCs w:val="22"/>
        </w:rPr>
        <w:t xml:space="preserve">, and incorporation of carrier–soft-TO-phonon interactions into critical thermoelectric transport</w:t>
      </w:r>
      <w:r>
        <w:rPr>
          <w:rFonts w:ascii="Arial" w:cs="Arial" w:eastAsia="Arial" w:hAnsi="Arial"/>
          <w:b w:val="false"/>
          <w:bCs w:val="false"/>
          <w:i w:val="false"/>
          <w:iCs w:val="false"/>
          <w:sz w:val="22"/>
          <w:szCs w:val="22"/>
          <w:vertAlign w:val="superscript"/>
        </w:rPr>
        <w:t xml:space="preserve">37</w:t>
      </w:r>
      <w:r>
        <w:rPr>
          <w:rFonts w:ascii="Arial" w:cs="Arial" w:eastAsia="Arial" w:hAnsi="Arial"/>
          <w:b w:val="false"/>
          <w:bCs w:val="false"/>
          <w:i w:val="false"/>
          <w:iCs w:val="false"/>
          <w:sz w:val="22"/>
          <w:szCs w:val="22"/>
        </w:rPr>
        <w:t xml:space="preserve">. We provide the data-driven corpus-level analogue: a sign-constrained additive decomposition that recovers the same A-cation-radius dependence and Pb 6s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anomaly across 1,124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compositions without phonon-frequency input.</w:t>
      </w:r>
    </w:p>
    <w:p>
      <w:pPr>
        <w:spacing w:after="120" w:line="252" w:lineRule="auto"/>
        <w:jc w:val="left"/>
      </w:pPr>
      <w:r>
        <w:rPr>
          <w:rFonts w:ascii="Arial" w:cs="Arial" w:eastAsia="Arial" w:hAnsi="Arial"/>
          <w:b w:val="false"/>
          <w:bCs w:val="false"/>
          <w:i w:val="false"/>
          <w:iCs w:val="false"/>
          <w:sz w:val="22"/>
          <w:szCs w:val="22"/>
        </w:rPr>
        <w:t xml:space="preserve">Three findings emerge from the PCNN decomposition. Dielectric diversity in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 ceramics is organised almost entirely through the lattice/soft-mode channel, not the CM static-ionic one, with A-site chemistry as the primary control variable. The static-ionic Clausius–Mossotti baseline behaves as a near-uniform floor, 46.2%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on average but only ~11% of its composition-to-composition variance, while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carries ~87% of the variance and sets a clean A-site amplification hierarchy. The decomposition recasts qualitative soft-mode and lone-pair arguments</w:t>
      </w:r>
      <w:r>
        <w:rPr>
          <w:rFonts w:ascii="Arial" w:cs="Arial" w:eastAsia="Arial" w:hAnsi="Arial"/>
          <w:b w:val="false"/>
          <w:bCs w:val="false"/>
          <w:i w:val="false"/>
          <w:iCs w:val="false"/>
          <w:sz w:val="22"/>
          <w:szCs w:val="22"/>
          <w:vertAlign w:val="superscript"/>
        </w:rPr>
        <w:t xml:space="preserve">7,9,15</w:t>
      </w:r>
      <w:r>
        <w:rPr>
          <w:rFonts w:ascii="Arial" w:cs="Arial" w:eastAsia="Arial" w:hAnsi="Arial"/>
          <w:b w:val="false"/>
          <w:bCs w:val="false"/>
          <w:i w:val="false"/>
          <w:iCs w:val="false"/>
          <w:sz w:val="22"/>
          <w:szCs w:val="22"/>
        </w:rPr>
        <w:t xml:space="preserve"> as a single quantitative organisation of composition space, obtained without auxiliary post-hoc attribution machinery. Three results support this picture.</w:t>
      </w:r>
    </w:p>
    <w:p>
      <w:pPr>
        <w:spacing w:after="120" w:line="252" w:lineRule="auto"/>
        <w:jc w:val="left"/>
      </w:pPr>
      <w:r>
        <w:rPr>
          <w:rFonts w:ascii="Arial" w:cs="Arial" w:eastAsia="Arial" w:hAnsi="Arial"/>
          <w:b w:val="false"/>
          <w:bCs w:val="false"/>
          <w:i w:val="false"/>
          <w:iCs w:val="false"/>
          <w:sz w:val="22"/>
          <w:szCs w:val="22"/>
        </w:rPr>
        <w:t xml:space="preserve">(i) Architectural sign constraints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0,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0, confidence-gated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function as a structural inductive bias: they deliver calibrated conformal coverage and reduce OOD variance two- to four-fold relative to unconstrained baselines (Results, Table 1), without requiring explicit regularisers. The conformal layer turns the remaining residual variance into a distribution-free prediction interval.</w:t>
      </w:r>
    </w:p>
    <w:p>
      <w:pPr>
        <w:spacing w:after="120" w:line="252" w:lineRule="auto"/>
        <w:jc w:val="left"/>
      </w:pPr>
      <w:r>
        <w:rPr>
          <w:rFonts w:ascii="Arial" w:cs="Arial" w:eastAsia="Arial" w:hAnsi="Arial"/>
          <w:b w:val="false"/>
          <w:bCs w:val="false"/>
          <w:i w:val="false"/>
          <w:iCs w:val="false"/>
          <w:sz w:val="22"/>
          <w:szCs w:val="22"/>
        </w:rPr>
        <w:t xml:space="preserve">(ii) The explicit branch decomposition recasts qualitative soft-mode and lone-pair arguments</w:t>
      </w:r>
      <w:r>
        <w:rPr>
          <w:rFonts w:ascii="Arial" w:cs="Arial" w:eastAsia="Arial" w:hAnsi="Arial"/>
          <w:b w:val="false"/>
          <w:bCs w:val="false"/>
          <w:i w:val="false"/>
          <w:iCs w:val="false"/>
          <w:sz w:val="22"/>
          <w:szCs w:val="22"/>
          <w:vertAlign w:val="superscript"/>
        </w:rPr>
        <w:t xml:space="preserve">7,15</w:t>
      </w:r>
      <w:r>
        <w:rPr>
          <w:rFonts w:ascii="Arial" w:cs="Arial" w:eastAsia="Arial" w:hAnsi="Arial"/>
          <w:b w:val="false"/>
          <w:bCs w:val="false"/>
          <w:i w:val="false"/>
          <w:iCs w:val="false"/>
          <w:sz w:val="22"/>
          <w:szCs w:val="22"/>
        </w:rPr>
        <w:t xml:space="preserve"> as quantitative per-composition attribution: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emerges as the largest single attributed contributor to permittivity in microwave-dielectric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ceramics, with the static-ionic CM baseline a near-uniform secondary contribution and tilt + residual essentially inactive (Results §1). We emphasise that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is the model's allocation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rather than a spectroscopically measured soft-mode amplitude: the model lacks phonon-frequency input, and independent confirmation would require external </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data. The non-negativity bound on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is slack throughout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&gt; 0.7), so the soft-mode share reflects a genuine model-attributed signal rather than an artefact of a flexible signed branch out-competing a fixed analytic baseline.</w:t>
      </w:r>
    </w:p>
    <w:p>
      <w:pPr>
        <w:spacing w:after="120" w:line="252" w:lineRule="auto"/>
        <w:jc w:val="left"/>
      </w:pPr>
      <w:r>
        <w:rPr>
          <w:rFonts w:ascii="Arial" w:cs="Arial" w:eastAsia="Arial" w:hAnsi="Arial"/>
          <w:b w:val="false"/>
          <w:bCs w:val="false"/>
          <w:i w:val="false"/>
          <w:iCs w:val="false"/>
          <w:sz w:val="22"/>
          <w:szCs w:val="22"/>
        </w:rPr>
        <w:t xml:space="preserve">(iii) The A-site hierarchy Pb &gt; Ca &gt; La &gt; Sr &gt; Ba (Results §2;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10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under label permutation) emerges from the LST branch without being imposed — the sign constraint is identical across compositions, so the ranking is data-driven, not architectural. The monotonic Ba→Sr→La→Ca segment tracks Shannon 12-coordinate ionic-radius contraction; Pb breaks upward, probably reflecting 6</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 stereoactivity</w:t>
      </w:r>
      <w:r>
        <w:rPr>
          <w:rFonts w:ascii="Arial" w:cs="Arial" w:eastAsia="Arial" w:hAnsi="Arial"/>
          <w:b w:val="false"/>
          <w:bCs w:val="false"/>
          <w:i w:val="false"/>
          <w:iCs w:val="false"/>
          <w:sz w:val="22"/>
          <w:szCs w:val="22"/>
          <w:vertAlign w:val="superscript"/>
        </w:rPr>
        <w:t xml:space="preserve">15,16,26</w:t>
      </w:r>
      <w:r>
        <w:rPr>
          <w:rFonts w:ascii="Arial" w:cs="Arial" w:eastAsia="Arial" w:hAnsi="Arial"/>
          <w:b w:val="false"/>
          <w:bCs w:val="false"/>
          <w:i w:val="false"/>
          <w:iCs w:val="false"/>
          <w:sz w:val="22"/>
          <w:szCs w:val="22"/>
        </w:rPr>
        <w:t xml:space="preserve">.</w:t>
      </w:r>
    </w:p>
    <w:p>
      <w:pPr>
        <w:spacing w:after="120" w:line="252" w:lineRule="auto"/>
        <w:jc w:val="left"/>
      </w:pPr>
      <w:r>
        <w:rPr>
          <w:rFonts w:ascii="Arial" w:cs="Arial" w:eastAsia="Arial" w:hAnsi="Arial"/>
          <w:b w:val="false"/>
          <w:bCs w:val="false"/>
          <w:i w:val="false"/>
          <w:iCs w:val="false"/>
          <w:sz w:val="22"/>
          <w:szCs w:val="22"/>
        </w:rPr>
        <w:t xml:space="preserve">Two design inferences follow. First, for high-</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Pb-free microwave dielectrics, the optimal compositional zone the model identifies is the Sr-rich,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-Ti/Zr corner of Reaney Regime III, with negligible tilt — exactly where the GA inverse-design optimum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147, 90% LCB 132,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2.85) converges. This optimum lies in the sparse-data frontier flagged as an extrapolation by the applicability-domain density gate, and is reported as a confidence-bounded synthesis target rather than a validated material; the Pb-allowed run reaches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166–170 but in a leave-Pb-out negative-</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region and so cannot be read as a calibrated bound. Second, for ML extrapolation in this materials class, physics-aware confidence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reliably partitions compositions into chemically coherent applicability zones</w:t>
      </w:r>
      <w:r>
        <w:rPr>
          <w:rFonts w:ascii="Arial" w:cs="Arial" w:eastAsia="Arial" w:hAnsi="Arial"/>
          <w:b w:val="false"/>
          <w:bCs w:val="false"/>
          <w:i w:val="false"/>
          <w:iCs w:val="false"/>
          <w:sz w:val="22"/>
          <w:szCs w:val="22"/>
          <w:vertAlign w:val="superscript"/>
        </w:rPr>
        <w:t xml:space="preserve">29</w:t>
      </w:r>
      <w:r>
        <w:rPr>
          <w:rFonts w:ascii="Arial" w:cs="Arial" w:eastAsia="Arial" w:hAnsi="Arial"/>
          <w:b w:val="false"/>
          <w:bCs w:val="false"/>
          <w:i w:val="false"/>
          <w:iCs w:val="false"/>
          <w:sz w:val="22"/>
          <w:szCs w:val="22"/>
        </w:rPr>
        <w:t xml:space="preserve">: Pb in-AD = 74.4% (high confidence but LOFO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−0.097, a confident-but-wrong failure mode that must be detected by mechanistic chemistry rather than by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rPr>
        <w:t xml:space="preserve"> alone), versus Sr in-AD = 23.3% (low confidence, genuinely flagged as uncertain). Beyond Pb, Ba, the largest A-site family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 436), also fails to extrapolate from Ba-free data (LOFO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0.008), so the framework's reliable design zone currently excludes Ba-dominant compositions, a practically important caveat given their commercial prevalence. Reaney Regime Ia (LOFO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−7.378) is similarly identified as a separate physical category, not just a tolerance-factor bin.</w:t>
      </w:r>
    </w:p>
    <w:p>
      <w:pPr>
        <w:spacing w:after="120" w:line="252" w:lineRule="auto"/>
        <w:jc w:val="left"/>
      </w:pPr>
      <w:r>
        <w:rPr>
          <w:rFonts w:ascii="Arial" w:cs="Arial" w:eastAsia="Arial" w:hAnsi="Arial"/>
          <w:b w:val="false"/>
          <w:bCs w:val="false"/>
          <w:i w:val="false"/>
          <w:iCs w:val="false"/>
          <w:sz w:val="22"/>
          <w:szCs w:val="22"/>
        </w:rPr>
        <w:t xml:space="preserve">Two qualifications apply. First, the model predicts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only; the quality factor </w:t>
      </w:r>
      <w:r>
        <w:rPr>
          <w:rFonts w:ascii="Arial" w:cs="Arial" w:eastAsia="Arial" w:hAnsi="Arial"/>
          <w:b w:val="false"/>
          <w:bCs w:val="false"/>
          <w:i/>
          <w:iCs/>
          <w:sz w:val="22"/>
          <w:szCs w:val="22"/>
        </w:rPr>
        <w:t xml:space="preserve">Q</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rPr>
        <w:t xml:space="preserve"> and the temperature coefficient </w:t>
      </w:r>
      <w:r>
        <w:rPr>
          <w:rFonts w:ascii="Arial" w:cs="Arial" w:eastAsia="Arial" w:hAnsi="Arial"/>
          <w:b w:val="false"/>
          <w:bCs w:val="false"/>
          <w:i/>
          <w:iCs/>
          <w:sz w:val="22"/>
          <w:szCs w:val="22"/>
        </w:rPr>
        <w:t xml:space="preserve">τ</w:t>
      </w:r>
      <w:r>
        <w:rPr>
          <w:rFonts w:ascii="Arial" w:cs="Arial" w:eastAsia="Arial" w:hAnsi="Arial"/>
          <w:b w:val="false"/>
          <w:bCs w:val="false"/>
          <w:i w:val="false"/>
          <w:iCs w:val="false"/>
          <w:sz w:val="22"/>
          <w:szCs w:val="22"/>
          <w:vertAlign w:val="subscript"/>
        </w:rPr>
        <w:t xml:space="preserve">f</w:t>
      </w:r>
      <w:r>
        <w:rPr>
          <w:rFonts w:ascii="Arial" w:cs="Arial" w:eastAsia="Arial" w:hAnsi="Arial"/>
          <w:b w:val="false"/>
          <w:bCs w:val="false"/>
          <w:i w:val="false"/>
          <w:iCs w:val="false"/>
          <w:sz w:val="22"/>
          <w:szCs w:val="22"/>
        </w:rPr>
        <w:t xml:space="preserve"> — the figures of merit any deployable microwave-dielectric resonator must satisfy jointly with high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vertAlign w:val="superscript"/>
        </w:rPr>
        <w:t xml:space="preserve">1,2</w:t>
      </w:r>
      <w:r>
        <w:rPr>
          <w:rFonts w:ascii="Arial" w:cs="Arial" w:eastAsia="Arial" w:hAnsi="Arial"/>
          <w:b w:val="false"/>
          <w:bCs w:val="false"/>
          <w:i w:val="false"/>
          <w:iCs w:val="false"/>
          <w:sz w:val="22"/>
          <w:szCs w:val="22"/>
        </w:rPr>
        <w:t xml:space="preserve"> — are not predicted here. A 5G/6G base-station bandpass filter typically requires </w:t>
      </w:r>
      <w:r>
        <w:rPr>
          <w:rFonts w:ascii="Arial" w:cs="Arial" w:eastAsia="Arial" w:hAnsi="Arial"/>
          <w:b w:val="false"/>
          <w:bCs w:val="false"/>
          <w:i/>
          <w:iCs/>
          <w:sz w:val="22"/>
          <w:szCs w:val="22"/>
        </w:rPr>
        <w:t xml:space="preserve">Q</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rPr>
        <w:t xml:space="preserve"> &gt; 30,000 GHz and |</w:t>
      </w:r>
      <w:r>
        <w:rPr>
          <w:rFonts w:ascii="Arial" w:cs="Arial" w:eastAsia="Arial" w:hAnsi="Arial"/>
          <w:b w:val="false"/>
          <w:bCs w:val="false"/>
          <w:i/>
          <w:iCs/>
          <w:sz w:val="22"/>
          <w:szCs w:val="22"/>
        </w:rPr>
        <w:t xml:space="preserve">τ</w:t>
      </w:r>
      <w:r>
        <w:rPr>
          <w:rFonts w:ascii="Arial" w:cs="Arial" w:eastAsia="Arial" w:hAnsi="Arial"/>
          <w:b w:val="false"/>
          <w:bCs w:val="false"/>
          <w:i w:val="false"/>
          <w:iCs w:val="false"/>
          <w:sz w:val="22"/>
          <w:szCs w:val="22"/>
          <w:vertAlign w:val="subscript"/>
        </w:rPr>
        <w:t xml:space="preserve">f</w:t>
      </w:r>
      <w:r>
        <w:rPr>
          <w:rFonts w:ascii="Arial" w:cs="Arial" w:eastAsia="Arial" w:hAnsi="Arial"/>
          <w:b w:val="false"/>
          <w:bCs w:val="false"/>
          <w:i w:val="false"/>
          <w:iCs w:val="false"/>
          <w:sz w:val="22"/>
          <w:szCs w:val="22"/>
        </w:rPr>
        <w:t xml:space="preserve">| &lt; 30 ppm K</w:t>
      </w:r>
      <w:r>
        <w:rPr>
          <w:rFonts w:ascii="Arial" w:cs="Arial" w:eastAsia="Arial" w:hAnsi="Arial"/>
          <w:b w:val="false"/>
          <w:bCs w:val="false"/>
          <w:i w:val="false"/>
          <w:iCs w:val="false"/>
          <w:sz w:val="22"/>
          <w:szCs w:val="22"/>
          <w:vertAlign w:val="superscript"/>
        </w:rPr>
        <w:t xml:space="preserve">−1</w:t>
      </w:r>
      <w:r>
        <w:rPr>
          <w:rFonts w:ascii="Arial" w:cs="Arial" w:eastAsia="Arial" w:hAnsi="Arial"/>
          <w:b w:val="false"/>
          <w:bCs w:val="false"/>
          <w:i w:val="false"/>
          <w:iCs w:val="false"/>
          <w:sz w:val="22"/>
          <w:szCs w:val="22"/>
        </w:rPr>
        <w:t xml:space="preserve"> in addition to a target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the Sr-rich, Ti-rich Regime III chemistry the model recommends is precisely the family whose </w:t>
      </w:r>
      <w:r>
        <w:rPr>
          <w:rFonts w:ascii="Arial" w:cs="Arial" w:eastAsia="Arial" w:hAnsi="Arial"/>
          <w:b w:val="false"/>
          <w:bCs w:val="false"/>
          <w:i/>
          <w:iCs/>
          <w:sz w:val="22"/>
          <w:szCs w:val="22"/>
        </w:rPr>
        <w:t xml:space="preserve">τ</w:t>
      </w:r>
      <w:r>
        <w:rPr>
          <w:rFonts w:ascii="Arial" w:cs="Arial" w:eastAsia="Arial" w:hAnsi="Arial"/>
          <w:b w:val="false"/>
          <w:bCs w:val="false"/>
          <w:i w:val="false"/>
          <w:iCs w:val="false"/>
          <w:sz w:val="22"/>
          <w:szCs w:val="22"/>
          <w:vertAlign w:val="subscript"/>
        </w:rPr>
        <w:t xml:space="preserve">f</w:t>
      </w:r>
      <w:r>
        <w:rPr>
          <w:rFonts w:ascii="Arial" w:cs="Arial" w:eastAsia="Arial" w:hAnsi="Arial"/>
          <w:b w:val="false"/>
          <w:bCs w:val="false"/>
          <w:i w:val="false"/>
          <w:iCs w:val="false"/>
          <w:sz w:val="22"/>
          <w:szCs w:val="22"/>
        </w:rPr>
        <w:t xml:space="preserve"> and </w:t>
      </w:r>
      <w:r>
        <w:rPr>
          <w:rFonts w:ascii="Arial" w:cs="Arial" w:eastAsia="Arial" w:hAnsi="Arial"/>
          <w:b w:val="false"/>
          <w:bCs w:val="false"/>
          <w:i/>
          <w:iCs/>
          <w:sz w:val="22"/>
          <w:szCs w:val="22"/>
        </w:rPr>
        <w:t xml:space="preserve">Q</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rPr>
        <w:t xml:space="preserve"> tradeoffs historically required compositional engineering — for instance, the end-member SrTiO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has τ</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f ≈ −1700 ppm K</w:t>
      </w:r>
      <w:r>
        <w:rPr>
          <w:rFonts w:ascii="Arial" w:cs="Arial" w:eastAsia="Arial" w:hAnsi="Arial"/>
          <w:b w:val="false"/>
          <w:bCs w:val="false"/>
          <w:i w:val="false"/>
          <w:iCs w:val="false"/>
          <w:sz w:val="22"/>
          <w:szCs w:val="22"/>
          <w:vertAlign w:val="superscript"/>
        </w:rPr>
        <w:t xml:space="preserve">−1</w:t>
      </w:r>
      <w:r>
        <w:rPr>
          <w:rFonts w:ascii="Arial" w:cs="Arial" w:eastAsia="Arial" w:hAnsi="Arial"/>
          <w:b w:val="false"/>
          <w:bCs w:val="false"/>
          <w:i w:val="false"/>
          <w:iCs w:val="false"/>
          <w:sz w:val="22"/>
          <w:szCs w:val="22"/>
        </w:rPr>
        <w:t xml:space="preserve"> at room temperature</w:t>
      </w:r>
      <w:r>
        <w:rPr>
          <w:rFonts w:ascii="Arial" w:cs="Arial" w:eastAsia="Arial" w:hAnsi="Arial"/>
          <w:b w:val="false"/>
          <w:bCs w:val="false"/>
          <w:i w:val="false"/>
          <w:iCs w:val="false"/>
          <w:sz w:val="22"/>
          <w:szCs w:val="22"/>
          <w:vertAlign w:val="superscript"/>
        </w:rPr>
        <w:t xml:space="preserve">38</w:t>
      </w:r>
      <w:r>
        <w:rPr>
          <w:rFonts w:ascii="Arial" w:cs="Arial" w:eastAsia="Arial" w:hAnsi="Arial"/>
          <w:b w:val="false"/>
          <w:bCs w:val="false"/>
          <w:i w:val="false"/>
          <w:iCs w:val="false"/>
          <w:sz w:val="22"/>
          <w:szCs w:val="22"/>
        </w:rPr>
        <w:t xml:space="preserve">, large negative values that have historically been compensated by </w:t>
      </w:r>
      <w:r>
        <w:rPr>
          <w:rFonts w:ascii="Arial" w:cs="Arial" w:eastAsia="Arial" w:hAnsi="Arial"/>
          <w:b w:val="false"/>
          <w:bCs w:val="false"/>
          <w:i/>
          <w:iCs/>
          <w:sz w:val="22"/>
          <w:szCs w:val="22"/>
        </w:rPr>
        <w:t xml:space="preserve">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B-site substitutions (Zr</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Sn</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or layered-composite architectures, beyond the scope of this composition-only model. Synthesis-ready candidates should therefore be measured at 1–10 GHz using the cylindrical TE</w:t>
      </w:r>
      <w:r>
        <w:rPr>
          <w:rFonts w:ascii="Arial" w:cs="Arial" w:eastAsia="Arial" w:hAnsi="Arial"/>
          <w:b w:val="false"/>
          <w:bCs w:val="false"/>
          <w:i w:val="false"/>
          <w:iCs w:val="false"/>
          <w:sz w:val="22"/>
          <w:szCs w:val="22"/>
          <w:vertAlign w:val="subscript"/>
        </w:rPr>
        <w:t xml:space="preserve">01</w:t>
      </w:r>
      <w:r>
        <w:rPr>
          <w:rFonts w:ascii="Arial" w:cs="Arial" w:eastAsia="Arial" w:hAnsi="Arial"/>
          <w:b w:val="false"/>
          <w:bCs w:val="false"/>
          <w:i w:val="false"/>
          <w:iCs w:val="false"/>
          <w:sz w:val="22"/>
          <w:szCs w:val="22"/>
        </w:rPr>
        <w:t xml:space="preserve">δ dielectric-resonator (Hakki–Coleman) method</w:t>
      </w:r>
      <w:r>
        <w:rPr>
          <w:rFonts w:ascii="Arial" w:cs="Arial" w:eastAsia="Arial" w:hAnsi="Arial"/>
          <w:b w:val="false"/>
          <w:bCs w:val="false"/>
          <w:i w:val="false"/>
          <w:iCs w:val="false"/>
          <w:sz w:val="22"/>
          <w:szCs w:val="22"/>
          <w:vertAlign w:val="superscript"/>
        </w:rPr>
        <w:t xml:space="preserve">39,40</w:t>
      </w:r>
      <w:r>
        <w:rPr>
          <w:rFonts w:ascii="Arial" w:cs="Arial" w:eastAsia="Arial" w:hAnsi="Arial"/>
          <w:b w:val="false"/>
          <w:bCs w:val="false"/>
          <w:i w:val="false"/>
          <w:iCs w:val="false"/>
          <w:sz w:val="22"/>
          <w:szCs w:val="22"/>
        </w:rPr>
        <w:t xml:space="preserve"> to extract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and </w:t>
      </w:r>
      <w:r>
        <w:rPr>
          <w:rFonts w:ascii="Arial" w:cs="Arial" w:eastAsia="Arial" w:hAnsi="Arial"/>
          <w:b w:val="false"/>
          <w:bCs w:val="false"/>
          <w:i/>
          <w:iCs/>
          <w:sz w:val="22"/>
          <w:szCs w:val="22"/>
        </w:rPr>
        <w:t xml:space="preserve">Q</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rPr>
        <w:t xml:space="preserve">, with </w:t>
      </w:r>
      <w:r>
        <w:rPr>
          <w:rFonts w:ascii="Arial" w:cs="Arial" w:eastAsia="Arial" w:hAnsi="Arial"/>
          <w:b w:val="false"/>
          <w:bCs w:val="false"/>
          <w:i/>
          <w:iCs/>
          <w:sz w:val="22"/>
          <w:szCs w:val="22"/>
        </w:rPr>
        <w:t xml:space="preserve">τ</w:t>
      </w:r>
      <w:r>
        <w:rPr>
          <w:rFonts w:ascii="Arial" w:cs="Arial" w:eastAsia="Arial" w:hAnsi="Arial"/>
          <w:b w:val="false"/>
          <w:bCs w:val="false"/>
          <w:i w:val="false"/>
          <w:iCs w:val="false"/>
          <w:sz w:val="22"/>
          <w:szCs w:val="22"/>
          <w:vertAlign w:val="subscript"/>
        </w:rPr>
        <w:t xml:space="preserve">f</w:t>
      </w:r>
      <w:r>
        <w:rPr>
          <w:rFonts w:ascii="Arial" w:cs="Arial" w:eastAsia="Arial" w:hAnsi="Arial"/>
          <w:b w:val="false"/>
          <w:bCs w:val="false"/>
          <w:i w:val="false"/>
          <w:iCs w:val="false"/>
          <w:sz w:val="22"/>
          <w:szCs w:val="22"/>
        </w:rPr>
        <w:t xml:space="preserve"> swept over 25–85 °C; we report the proposed composition as a scientific target for such characterisation, not a drop-in 5G filter material. Second, the Sr-rich, Ca/Ce-substituted titanate chemistry the GA optimum lies adjacent to has been extensively measured in the microwave-dielectric literature and is well represented in our 1,304-composition training corpus (e.g., the (Sr,Ca)TiO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vertAlign w:val="superscript"/>
        </w:rPr>
        <w:t xml:space="preserve">1,38,41</w:t>
      </w:r>
      <w:r>
        <w:rPr>
          <w:rFonts w:ascii="Arial" w:cs="Arial" w:eastAsia="Arial" w:hAnsi="Arial"/>
          <w:b w:val="false"/>
          <w:bCs w:val="false"/>
          <w:i w:val="false"/>
          <w:iCs w:val="false"/>
          <w:sz w:val="22"/>
          <w:szCs w:val="22"/>
        </w:rPr>
        <w:t xml:space="preserve"> and Sr</w:t>
      </w:r>
      <w:r>
        <w:rPr>
          <w:rFonts w:ascii="Arial" w:cs="Arial" w:eastAsia="Arial" w:hAnsi="Arial"/>
          <w:b w:val="false"/>
          <w:bCs w:val="false"/>
          <w:i w:val="false"/>
          <w:iCs w:val="false"/>
          <w:sz w:val="22"/>
          <w:szCs w:val="22"/>
          <w:vertAlign w:val="subscript"/>
        </w:rPr>
        <w:t xml:space="preserve">1−3x/2</w:t>
      </w:r>
      <w:r>
        <w:rPr>
          <w:rFonts w:ascii="Arial" w:cs="Arial" w:eastAsia="Arial" w:hAnsi="Arial"/>
          <w:b w:val="false"/>
          <w:bCs w:val="false"/>
          <w:i w:val="false"/>
          <w:iCs w:val="false"/>
          <w:sz w:val="22"/>
          <w:szCs w:val="22"/>
        </w:rPr>
        <w:t xml:space="preserve">Ce</w:t>
      </w:r>
      <w:r>
        <w:rPr>
          <w:rFonts w:ascii="Arial" w:cs="Arial" w:eastAsia="Arial" w:hAnsi="Arial"/>
          <w:b w:val="false"/>
          <w:bCs w:val="false"/>
          <w:i w:val="false"/>
          <w:iCs w:val="false"/>
          <w:sz w:val="22"/>
          <w:szCs w:val="22"/>
          <w:vertAlign w:val="subscript"/>
        </w:rPr>
        <w:t xml:space="preserve">x</w:t>
      </w:r>
      <w:r>
        <w:rPr>
          <w:rFonts w:ascii="Arial" w:cs="Arial" w:eastAsia="Arial" w:hAnsi="Arial"/>
          <w:b w:val="false"/>
          <w:bCs w:val="false"/>
          <w:i w:val="false"/>
          <w:iCs w:val="false"/>
          <w:sz w:val="22"/>
          <w:szCs w:val="22"/>
        </w:rPr>
        <w:t xml:space="preserve">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vertAlign w:val="superscript"/>
        </w:rPr>
        <w:t xml:space="preserve">36</w:t>
      </w:r>
      <w:r>
        <w:rPr>
          <w:rFonts w:ascii="Arial" w:cs="Arial" w:eastAsia="Arial" w:hAnsi="Arial"/>
          <w:b w:val="false"/>
          <w:bCs w:val="false"/>
          <w:i w:val="false"/>
          <w:iCs w:val="false"/>
          <w:sz w:val="22"/>
          <w:szCs w:val="22"/>
        </w:rPr>
        <w:t xml:space="preserve"> solid-solution series, spanning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113–185 over decades of measurement); the inverse-design contribution here is therefore not the chemical family itself, but a specific, physics-decomposed, conformal-bounded composition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lying at the model's extrapolation frontier, together with the per-composition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attribution that identifies it as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-dominated rather than electronic.</w:t>
      </w:r>
    </w:p>
    <w:p>
      <w:pPr>
        <w:spacing w:after="120" w:line="252" w:lineRule="auto"/>
        <w:jc w:val="left"/>
      </w:pPr>
      <w:r>
        <w:rPr>
          <w:rFonts w:ascii="Arial" w:cs="Arial" w:eastAsia="Arial" w:hAnsi="Arial"/>
          <w:b w:val="false"/>
          <w:bCs w:val="false"/>
          <w:i w:val="false"/>
          <w:iCs w:val="false"/>
          <w:sz w:val="22"/>
          <w:szCs w:val="22"/>
        </w:rPr>
        <w:t xml:space="preserve">Three limitations bound these claims. First, the decomposition is an interpretive attribution, not a measurement: because the model lacks access to phonon frequencies,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quantifies the lattice contribution the static-ionic baseline omits but stops short of independently measuring the soft-mode amplitude — external </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(e.g., FIR/THz spectroscopy</w:t>
      </w:r>
      <w:r>
        <w:rPr>
          <w:rFonts w:ascii="Arial" w:cs="Arial" w:eastAsia="Arial" w:hAnsi="Arial"/>
          <w:b w:val="false"/>
          <w:bCs w:val="false"/>
          <w:i w:val="false"/>
          <w:iCs w:val="false"/>
          <w:sz w:val="22"/>
          <w:szCs w:val="22"/>
          <w:vertAlign w:val="superscript"/>
        </w:rPr>
        <w:t xml:space="preserve">36,42</w:t>
      </w:r>
      <w:r>
        <w:rPr>
          <w:rFonts w:ascii="Arial" w:cs="Arial" w:eastAsia="Arial" w:hAnsi="Arial"/>
          <w:b w:val="false"/>
          <w:bCs w:val="false"/>
          <w:i w:val="false"/>
          <w:iCs w:val="false"/>
          <w:sz w:val="22"/>
          <w:szCs w:val="22"/>
        </w:rPr>
        <w:t xml:space="preserve">, hyper-Raman</w:t>
      </w:r>
      <w:r>
        <w:rPr>
          <w:rFonts w:ascii="Arial" w:cs="Arial" w:eastAsia="Arial" w:hAnsi="Arial"/>
          <w:b w:val="false"/>
          <w:bCs w:val="false"/>
          <w:i w:val="false"/>
          <w:iCs w:val="false"/>
          <w:sz w:val="22"/>
          <w:szCs w:val="22"/>
          <w:vertAlign w:val="superscript"/>
        </w:rPr>
        <w:t xml:space="preserve">43</w:t>
      </w:r>
      <w:r>
        <w:rPr>
          <w:rFonts w:ascii="Arial" w:cs="Arial" w:eastAsia="Arial" w:hAnsi="Arial"/>
          <w:b w:val="false"/>
          <w:bCs w:val="false"/>
          <w:i w:val="false"/>
          <w:iCs w:val="false"/>
          <w:sz w:val="22"/>
          <w:szCs w:val="22"/>
        </w:rPr>
        <w:t xml:space="preserve">, inelastic neutron scattering</w:t>
      </w:r>
      <w:r>
        <w:rPr>
          <w:rFonts w:ascii="Arial" w:cs="Arial" w:eastAsia="Arial" w:hAnsi="Arial"/>
          <w:b w:val="false"/>
          <w:bCs w:val="false"/>
          <w:i w:val="false"/>
          <w:iCs w:val="false"/>
          <w:sz w:val="22"/>
          <w:szCs w:val="22"/>
          <w:vertAlign w:val="superscript"/>
        </w:rPr>
        <w:t xml:space="preserve">35,44</w:t>
      </w:r>
      <w:r>
        <w:rPr>
          <w:rFonts w:ascii="Arial" w:cs="Arial" w:eastAsia="Arial" w:hAnsi="Arial"/>
          <w:b w:val="false"/>
          <w:bCs w:val="false"/>
          <w:i w:val="false"/>
          <w:iCs w:val="false"/>
          <w:sz w:val="22"/>
          <w:szCs w:val="22"/>
        </w:rPr>
        <w:t xml:space="preserve">) or first-principles validation on representative compositions</w:t>
      </w:r>
      <w:r>
        <w:rPr>
          <w:rFonts w:ascii="Arial" w:cs="Arial" w:eastAsia="Arial" w:hAnsi="Arial"/>
          <w:b w:val="false"/>
          <w:bCs w:val="false"/>
          <w:i w:val="false"/>
          <w:iCs w:val="false"/>
          <w:sz w:val="22"/>
          <w:szCs w:val="22"/>
          <w:vertAlign w:val="superscript"/>
        </w:rPr>
        <w:t xml:space="preserve">10–12</w:t>
      </w:r>
      <w:r>
        <w:rPr>
          <w:rFonts w:ascii="Arial" w:cs="Arial" w:eastAsia="Arial" w:hAnsi="Arial"/>
          <w:b w:val="false"/>
          <w:bCs w:val="false"/>
          <w:i w:val="false"/>
          <w:iCs w:val="false"/>
          <w:sz w:val="22"/>
          <w:szCs w:val="22"/>
        </w:rPr>
        <w:t xml:space="preserve"> would be required to close that gap, with recent systematic DFT calculations across 12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w:t>
      </w:r>
      <w:r>
        <w:rPr>
          <w:rFonts w:ascii="Arial" w:cs="Arial" w:eastAsia="Arial" w:hAnsi="Arial"/>
          <w:b w:val="false"/>
          <w:bCs w:val="false"/>
          <w:i w:val="false"/>
          <w:iCs w:val="false"/>
          <w:sz w:val="22"/>
          <w:szCs w:val="22"/>
          <w:vertAlign w:val="superscript"/>
        </w:rPr>
        <w:t xml:space="preserve">10</w:t>
      </w:r>
      <w:r>
        <w:rPr>
          <w:rFonts w:ascii="Arial" w:cs="Arial" w:eastAsia="Arial" w:hAnsi="Arial"/>
          <w:b w:val="false"/>
          <w:bCs w:val="false"/>
          <w:i w:val="false"/>
          <w:iCs w:val="false"/>
          <w:sz w:val="22"/>
          <w:szCs w:val="22"/>
        </w:rPr>
        <w:t xml:space="preserve"> and infrared-resolved phonon studies of the Sr-Ce-Ti microwave-ceramic family</w:t>
      </w:r>
      <w:r>
        <w:rPr>
          <w:rFonts w:ascii="Arial" w:cs="Arial" w:eastAsia="Arial" w:hAnsi="Arial"/>
          <w:b w:val="false"/>
          <w:bCs w:val="false"/>
          <w:i w:val="false"/>
          <w:iCs w:val="false"/>
          <w:sz w:val="22"/>
          <w:szCs w:val="22"/>
          <w:vertAlign w:val="superscript"/>
        </w:rPr>
        <w:t xml:space="preserve">36</w:t>
      </w:r>
      <w:r>
        <w:rPr>
          <w:rFonts w:ascii="Arial" w:cs="Arial" w:eastAsia="Arial" w:hAnsi="Arial"/>
          <w:b w:val="false"/>
          <w:bCs w:val="false"/>
          <w:i w:val="false"/>
          <w:iCs w:val="false"/>
          <w:sz w:val="22"/>
          <w:szCs w:val="22"/>
        </w:rPr>
        <w:t xml:space="preserve"> providing converging support for the soft-mode interpretation we attribute empirically at the corpus level. Such validation is itself non-trivial for these substitutionally disordered compositions, which fall outside existing high-throughput first-principles dielectric databases and require explicit supercell or special-quasirandom-structure treatment; first-principles characterisation of representative compositions is a natural next step. Internally, the hierarchy's structural invariance under 45 retrainings spanning ±50% perturbations of every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coefficient (Supplementary Fig. 24) separates empirical reproducibility (closed) from external phonon-frequency validation (open). The lattice contribution we name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is, in principle, a superposition of several channels: Born-charge enhancement, finite ionic polarizabilities beyond the Shannon tabulation</w:t>
      </w:r>
      <w:r>
        <w:rPr>
          <w:rFonts w:ascii="Arial" w:cs="Arial" w:eastAsia="Arial" w:hAnsi="Arial"/>
          <w:b w:val="false"/>
          <w:bCs w:val="false"/>
          <w:i w:val="false"/>
          <w:iCs w:val="false"/>
          <w:sz w:val="22"/>
          <w:szCs w:val="22"/>
          <w:vertAlign w:val="superscript"/>
        </w:rPr>
        <w:t xml:space="preserve">5,22</w:t>
      </w:r>
      <w:r>
        <w:rPr>
          <w:rFonts w:ascii="Arial" w:cs="Arial" w:eastAsia="Arial" w:hAnsi="Arial"/>
          <w:b w:val="false"/>
          <w:bCs w:val="false"/>
          <w:i w:val="false"/>
          <w:iCs w:val="false"/>
          <w:sz w:val="22"/>
          <w:szCs w:val="22"/>
        </w:rPr>
        <w:t xml:space="preserve">, electron-phonon coupling, dipolar disorder in solid solutions, and processing-induced extrinsic contributions. Each converges to the soft-mode amplitude in the displacive limit but can independently raise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elsewhere. The single-channel assignment is therefore a coarse-grained attribution that brackets these mechanisms together, to be refined spectroscopically or from first principles. Second, the LST/tilt/residual partition is made identifiable by a strict disjoint feature assignment and a confidence-gated residual: under the disjoint-feature assumption and the bounded residual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 s</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res ≈ 48.2 multiplied by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[0,1]), the four-way decomposition is identifiable up to the residual mass that the gate admits, which the saturation defence (Results §1) shows is &lt; 1% in aggregate. Formal global uniqueness guarantees are nevertheless lacking, and the tilt branch in particular is near-inactive (active for ~10% of compositions, −0.7% of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and should be read as a small, physically expected correction, not an independent predictor, consistent with recent evidence that octahedral tilting can be symmetry-decoupled from B-site off-centring. The Ba subset (n = 368 of the 1,124 valid-CM compositions) is dominated by 1:1 and 1:2 B-site-cation-ordered complex perovskites (Ba(B'B'')O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workhorse microwave dielectrics</w:t>
      </w:r>
      <w:r>
        <w:rPr>
          <w:rFonts w:ascii="Arial" w:cs="Arial" w:eastAsia="Arial" w:hAnsi="Arial"/>
          <w:b w:val="false"/>
          <w:bCs w:val="false"/>
          <w:i w:val="false"/>
          <w:iCs w:val="false"/>
          <w:sz w:val="22"/>
          <w:szCs w:val="22"/>
          <w:vertAlign w:val="superscript"/>
        </w:rPr>
        <w:t xml:space="preserve">45</w:t>
      </w:r>
      <w:r>
        <w:rPr>
          <w:rFonts w:ascii="Arial" w:cs="Arial" w:eastAsia="Arial" w:hAnsi="Arial"/>
          <w:b w:val="false"/>
          <w:bCs w:val="false"/>
          <w:i w:val="false"/>
          <w:iCs w:val="false"/>
          <w:sz w:val="22"/>
          <w:szCs w:val="22"/>
        </w:rPr>
        <w:t xml:space="preserve">), in which the polar instability is frustrated by B-site order rather than by Ba A-site chemistry per se; the f</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LST = 0.66 reported for Ba is therefore a corpus-composition statement (low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in microwave-dielectric handbooks because of B-site ordering) rather than a statement about Ba's intrinsic soft-mode coupling, which in cubic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above T</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c is, by contrast, among the softest in the perovskite family</w:t>
      </w:r>
      <w:r>
        <w:rPr>
          <w:rFonts w:ascii="Arial" w:cs="Arial" w:eastAsia="Arial" w:hAnsi="Arial"/>
          <w:b w:val="false"/>
          <w:bCs w:val="false"/>
          <w:i w:val="false"/>
          <w:iCs w:val="false"/>
          <w:sz w:val="22"/>
          <w:szCs w:val="22"/>
          <w:vertAlign w:val="superscript"/>
        </w:rPr>
        <w:t xml:space="preserve">43,44</w:t>
      </w:r>
      <w:r>
        <w:rPr>
          <w:rFonts w:ascii="Arial" w:cs="Arial" w:eastAsia="Arial" w:hAnsi="Arial"/>
          <w:b w:val="false"/>
          <w:bCs w:val="false"/>
          <w:i w:val="false"/>
          <w:iCs w:val="false"/>
          <w:sz w:val="22"/>
          <w:szCs w:val="22"/>
        </w:rPr>
        <w:t xml:space="preserve"> — first-principles calculations on appropriately-strained cubic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predict ε</w:t>
      </w:r>
      <w:r>
        <w:rPr>
          <w:rFonts w:ascii="Arial" w:cs="Arial" w:eastAsia="Arial" w:hAnsi="Arial"/>
          <w:b w:val="false"/>
          <w:bCs w:val="false"/>
          <w:i w:val="false"/>
          <w:iCs w:val="false"/>
          <w:sz w:val="22"/>
          <w:szCs w:val="22"/>
          <w:vertAlign w:val="subscript"/>
        </w:rPr>
        <w:t xml:space="preserve">s</w:t>
      </w:r>
      <w:r>
        <w:rPr>
          <w:rFonts w:ascii="Arial" w:cs="Arial" w:eastAsia="Arial" w:hAnsi="Arial"/>
          <w:b w:val="false"/>
          <w:bCs w:val="false"/>
          <w:i w:val="false"/>
          <w:iCs w:val="false"/>
          <w:sz w:val="22"/>
          <w:szCs w:val="22"/>
        </w:rPr>
        <w:t xml:space="preserve"> ≈ 7,300 via TO mode softening to 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 6 cm</w:t>
      </w:r>
      <w:r>
        <w:rPr>
          <w:rFonts w:ascii="Arial" w:cs="Arial" w:eastAsia="Arial" w:hAnsi="Arial"/>
          <w:b w:val="false"/>
          <w:bCs w:val="false"/>
          <w:i w:val="false"/>
          <w:iCs w:val="false"/>
          <w:sz w:val="22"/>
          <w:szCs w:val="22"/>
          <w:vertAlign w:val="superscript"/>
        </w:rPr>
        <w:t xml:space="preserve">−1</w:t>
      </w:r>
      <w:r>
        <w:rPr>
          <w:rFonts w:ascii="Arial" w:cs="Arial" w:eastAsia="Arial" w:hAnsi="Arial"/>
          <w:b w:val="false"/>
          <w:bCs w:val="false"/>
          <w:i w:val="false"/>
          <w:iCs w:val="false"/>
          <w:sz w:val="22"/>
          <w:szCs w:val="22"/>
          <w:vertAlign w:val="superscript"/>
        </w:rPr>
        <w:t xml:space="preserve">11</w:t>
      </w:r>
      <w:r>
        <w:rPr>
          <w:rFonts w:ascii="Arial" w:cs="Arial" w:eastAsia="Arial" w:hAnsi="Arial"/>
          <w:b w:val="false"/>
          <w:bCs w:val="false"/>
          <w:i w:val="false"/>
          <w:iCs w:val="false"/>
          <w:sz w:val="22"/>
          <w:szCs w:val="22"/>
        </w:rPr>
        <w:t xml:space="preserve">, two orders of magnitude above our handbook-Ba subset mean. Third, the model is composition-conditioned, processing and structural diversity (sintering, calcination, crystal system) enter only through engineered features, so within-composition variation from processing is absorbed as aleatoric uncertainty, not resolved. None of these undermines the central, physically anchored result: the A-site amplification hierarchy, which tracks ionic radius and Pb lone-pair chemistry independently of the constraint.</w:t>
      </w:r>
    </w:p>
    <w:p>
      <w:pPr>
        <w:spacing w:after="120" w:line="252" w:lineRule="auto"/>
        <w:jc w:val="left"/>
      </w:pPr>
      <w:r>
        <w:rPr>
          <w:rFonts w:ascii="Arial" w:cs="Arial" w:eastAsia="Arial" w:hAnsi="Arial"/>
          <w:b w:val="false"/>
          <w:bCs w:val="false"/>
          <w:i w:val="false"/>
          <w:iCs w:val="false"/>
          <w:sz w:val="22"/>
          <w:szCs w:val="22"/>
        </w:rPr>
        <w:t xml:space="preserve">The architecture extends naturally beyond permittivity, in the lineage of additive interpretable models</w:t>
      </w:r>
      <w:r>
        <w:rPr>
          <w:rFonts w:ascii="Arial" w:cs="Arial" w:eastAsia="Arial" w:hAnsi="Arial"/>
          <w:b w:val="false"/>
          <w:bCs w:val="false"/>
          <w:i w:val="false"/>
          <w:iCs w:val="false"/>
          <w:sz w:val="22"/>
          <w:szCs w:val="22"/>
          <w:vertAlign w:val="superscript"/>
        </w:rPr>
        <w:t xml:space="preserve">46</w:t>
      </w:r>
      <w:r>
        <w:rPr>
          <w:rFonts w:ascii="Arial" w:cs="Arial" w:eastAsia="Arial" w:hAnsi="Arial"/>
          <w:b w:val="false"/>
          <w:bCs w:val="false"/>
          <w:i w:val="false"/>
          <w:iCs w:val="false"/>
          <w:sz w:val="22"/>
          <w:szCs w:val="22"/>
        </w:rPr>
        <w:t xml:space="preserve"> and physics-informed materials architectures</w:t>
      </w:r>
      <w:r>
        <w:rPr>
          <w:rFonts w:ascii="Arial" w:cs="Arial" w:eastAsia="Arial" w:hAnsi="Arial"/>
          <w:b w:val="false"/>
          <w:bCs w:val="false"/>
          <w:i w:val="false"/>
          <w:iCs w:val="false"/>
          <w:sz w:val="22"/>
          <w:szCs w:val="22"/>
          <w:vertAlign w:val="superscript"/>
        </w:rPr>
        <w:t xml:space="preserve">47</w:t>
      </w:r>
      <w:r>
        <w:rPr>
          <w:rFonts w:ascii="Arial" w:cs="Arial" w:eastAsia="Arial" w:hAnsi="Arial"/>
          <w:b w:val="false"/>
          <w:bCs w:val="false"/>
          <w:i w:val="false"/>
          <w:iCs w:val="false"/>
          <w:sz w:val="22"/>
          <w:szCs w:val="22"/>
        </w:rPr>
        <w:t xml:space="preserve">: a disjoint physics-feature partition with hard sign constraints and a confidence-gated residual is a template applicable wherever a parameter-free analytic baseline exists and the additive corrections carry physically meaningful signs, with ferroelectric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vertAlign w:val="subscript"/>
        </w:rPr>
        <w:t xml:space="preserve">s</w:t>
      </w:r>
      <w:r>
        <w:rPr>
          <w:rFonts w:ascii="Arial" w:cs="Arial" w:eastAsia="Arial" w:hAnsi="Arial"/>
          <w:b w:val="false"/>
          <w:bCs w:val="false"/>
          <w:i w:val="false"/>
          <w:iCs w:val="false"/>
          <w:sz w:val="22"/>
          <w:szCs w:val="22"/>
        </w:rPr>
        <w:t xml:space="preserve"> — decomposable into a King-Smith–Vanderbilt point-charge anchor</w:t>
      </w:r>
      <w:r>
        <w:rPr>
          <w:rFonts w:ascii="Arial" w:cs="Arial" w:eastAsia="Arial" w:hAnsi="Arial"/>
          <w:b w:val="false"/>
          <w:bCs w:val="false"/>
          <w:i w:val="false"/>
          <w:iCs w:val="false"/>
          <w:sz w:val="22"/>
          <w:szCs w:val="22"/>
          <w:vertAlign w:val="superscript"/>
        </w:rPr>
        <w:t xml:space="preserve">22</w:t>
      </w:r>
      <w:r>
        <w:rPr>
          <w:rFonts w:ascii="Arial" w:cs="Arial" w:eastAsia="Arial" w:hAnsi="Arial"/>
          <w:b w:val="false"/>
          <w:bCs w:val="false"/>
          <w:i w:val="false"/>
          <w:iCs w:val="false"/>
          <w:sz w:val="22"/>
          <w:szCs w:val="22"/>
        </w:rPr>
        <w:t xml:space="preserve"> plus signed Born-charge and anharmonic corrections — the most direct analogue. An analogous role of phonon softening has recently been quantitatively established for critical thermoelectric transport in Cu</w:t>
      </w:r>
      <w:r>
        <w:rPr>
          <w:rFonts w:ascii="Arial" w:cs="Arial" w:eastAsia="Arial" w:hAnsi="Arial"/>
          <w:b w:val="false"/>
          <w:bCs w:val="false"/>
          <w:i w:val="false"/>
          <w:iCs w:val="false"/>
          <w:sz w:val="22"/>
          <w:szCs w:val="22"/>
          <w:vertAlign w:val="subscript"/>
        </w:rPr>
        <w:t xml:space="preserve">2</w:t>
      </w:r>
      <w:r>
        <w:rPr>
          <w:rFonts w:ascii="Arial" w:cs="Arial" w:eastAsia="Arial" w:hAnsi="Arial"/>
          <w:b w:val="false"/>
          <w:bCs w:val="false"/>
          <w:i w:val="false"/>
          <w:iCs w:val="false"/>
          <w:sz w:val="22"/>
          <w:szCs w:val="22"/>
        </w:rPr>
        <w:t xml:space="preserve">Se-class materials</w:t>
      </w:r>
      <w:r>
        <w:rPr>
          <w:rFonts w:ascii="Arial" w:cs="Arial" w:eastAsia="Arial" w:hAnsi="Arial"/>
          <w:b w:val="false"/>
          <w:bCs w:val="false"/>
          <w:i w:val="false"/>
          <w:iCs w:val="false"/>
          <w:sz w:val="22"/>
          <w:szCs w:val="22"/>
          <w:vertAlign w:val="superscript"/>
        </w:rPr>
        <w:t xml:space="preserve">37</w:t>
      </w:r>
      <w:r>
        <w:rPr>
          <w:rFonts w:ascii="Arial" w:cs="Arial" w:eastAsia="Arial" w:hAnsi="Arial"/>
          <w:b w:val="false"/>
          <w:bCs w:val="false"/>
          <w:i w:val="false"/>
          <w:iCs w:val="false"/>
          <w:sz w:val="22"/>
          <w:szCs w:val="22"/>
        </w:rPr>
        <w:t xml:space="preserve">, where the same ω</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b(T</w:t>
      </w:r>
      <w:r>
        <w:rPr>
          <w:rFonts w:ascii="Arial" w:cs="Arial" w:eastAsia="Arial" w:hAnsi="Arial"/>
          <w:b w:val="false"/>
          <w:bCs w:val="false"/>
          <w:i w:val="false"/>
          <w:iCs w:val="false"/>
          <w:sz w:val="22"/>
          <w:szCs w:val="22"/>
          <w:vertAlign w:val="subscript"/>
        </w:rPr>
        <w:t xml:space="preserve">p</w:t>
      </w:r>
      <w:r>
        <w:rPr>
          <w:rFonts w:ascii="Arial" w:cs="Arial" w:eastAsia="Arial" w:hAnsi="Arial"/>
          <w:b w:val="false"/>
          <w:bCs w:val="false"/>
          <w:i w:val="false"/>
          <w:iCs w:val="false"/>
          <w:sz w:val="22"/>
          <w:szCs w:val="22"/>
        </w:rPr>
        <w:t xml:space="preserve"> − T) soft-mode temperature dependence drives anomalies in both electrical resistivity and Seebeck coefficient through carrier–soft-TO-phonon interactions — confirming that the soft-mode framework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captures at the permittivity-corpus level applies more broadly to property classes whose microscopic mechanism is carrier–phonon coupling. The Pb "confident-but-wrong" failure (74.4% in-domain by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yet leave-Pb-out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−0.097) is itself the manuscript's most transferable methodological lesson: in chemically isolated regions, mechanistic priors — not uncertainty magnitude alone — must gate extrapolation. The same warning extends directly to other </w:t>
      </w:r>
      <w:r>
        <w:rPr>
          <w:rFonts w:ascii="Arial" w:cs="Arial" w:eastAsia="Arial" w:hAnsi="Arial"/>
          <w:b w:val="false"/>
          <w:bCs w:val="false"/>
          <w:i/>
          <w:iCs/>
          <w:sz w:val="22"/>
          <w:szCs w:val="22"/>
        </w:rPr>
        <w:t xml:space="preserve">ns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lone-pair chemistries — Bi</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in BiFeO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-class multiferroic perovskites, Sn</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in lead-free halide perovskites and stannate ferroelectrics, In</w:t>
      </w:r>
      <w:r>
        <w:rPr>
          <w:rFonts w:ascii="Arial" w:cs="Arial" w:eastAsia="Arial" w:hAnsi="Arial"/>
          <w:b w:val="false"/>
          <w:bCs w:val="false"/>
          <w:i w:val="false"/>
          <w:iCs w:val="false"/>
          <w:sz w:val="22"/>
          <w:szCs w:val="22"/>
          <w:vertAlign w:val="superscript"/>
        </w:rPr>
        <w:t xml:space="preserve">+</w:t>
      </w:r>
      <w:r>
        <w:rPr>
          <w:rFonts w:ascii="Arial" w:cs="Arial" w:eastAsia="Arial" w:hAnsi="Arial"/>
          <w:b w:val="false"/>
          <w:bCs w:val="false"/>
          <w:i w:val="false"/>
          <w:iCs w:val="false"/>
          <w:sz w:val="22"/>
          <w:szCs w:val="22"/>
        </w:rPr>
        <w:t xml:space="preserve"> and Tl</w:t>
      </w:r>
      <w:r>
        <w:rPr>
          <w:rFonts w:ascii="Arial" w:cs="Arial" w:eastAsia="Arial" w:hAnsi="Arial"/>
          <w:b w:val="false"/>
          <w:bCs w:val="false"/>
          <w:i w:val="false"/>
          <w:iCs w:val="false"/>
          <w:sz w:val="22"/>
          <w:szCs w:val="22"/>
          <w:vertAlign w:val="superscript"/>
        </w:rPr>
        <w:t xml:space="preserve">+</w:t>
      </w:r>
      <w:r>
        <w:rPr>
          <w:rFonts w:ascii="Arial" w:cs="Arial" w:eastAsia="Arial" w:hAnsi="Arial"/>
          <w:b w:val="false"/>
          <w:bCs w:val="false"/>
          <w:i w:val="false"/>
          <w:iCs w:val="false"/>
          <w:sz w:val="22"/>
          <w:szCs w:val="22"/>
        </w:rPr>
        <w:t xml:space="preserve"> in chalcogenide thermoelectrics — where any applicability-domain criterion that is not informed by lone-pair-sensitive descriptors will exhibit the same failure mode. We note also that the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B-site requirement encoded in our soft-mode proxy (Methods eq. 4) is itself a perovskite-titanate-specific rule, and A-site-lone-pair-driven ferroelectrics with non-d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B-sites (e.g., BiFeO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where Fe</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is d</w:t>
      </w:r>
      <w:r>
        <w:rPr>
          <w:rFonts w:ascii="Arial" w:cs="Arial" w:eastAsia="Arial" w:hAnsi="Arial"/>
          <w:b w:val="false"/>
          <w:bCs w:val="false"/>
          <w:i w:val="false"/>
          <w:iCs w:val="false"/>
          <w:sz w:val="22"/>
          <w:szCs w:val="22"/>
          <w:vertAlign w:val="superscript"/>
        </w:rPr>
        <w:t xml:space="preserve">5</w:t>
      </w:r>
      <w:r>
        <w:rPr>
          <w:rFonts w:ascii="Arial" w:cs="Arial" w:eastAsia="Arial" w:hAnsi="Arial"/>
          <w:b w:val="false"/>
          <w:bCs w:val="false"/>
          <w:i w:val="false"/>
          <w:iCs w:val="false"/>
          <w:sz w:val="22"/>
          <w:szCs w:val="22"/>
        </w:rPr>
        <w:t xml:space="preserve">) fall outside the proxy and would require an A-site-only soft-mode flag to bring into coverage.</w:t>
      </w:r>
    </w:p>
    <w:p>
      <w:pPr>
        <w:spacing w:after="120" w:line="252" w:lineRule="auto"/>
        <w:jc w:val="left"/>
      </w:pPr>
      <w:r>
        <w:rPr>
          <w:rFonts w:ascii="Arial" w:cs="Arial" w:eastAsia="Arial" w:hAnsi="Arial"/>
          <w:b w:val="false"/>
          <w:bCs w:val="false"/>
          <w:i w:val="false"/>
          <w:iCs w:val="false"/>
          <w:sz w:val="22"/>
          <w:szCs w:val="22"/>
        </w:rPr>
        <w:t xml:space="preserve">We present a physics-constrained neural network that decomposes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predictions for </w:t>
      </w:r>
      <w:r>
        <w:rPr>
          <w:rFonts w:ascii="Arial" w:cs="Arial" w:eastAsia="Arial" w:hAnsi="Arial"/>
          <w:b w:val="false"/>
          <w:bCs w:val="false"/>
          <w:i/>
          <w:iCs/>
          <w:sz w:val="22"/>
          <w:szCs w:val="22"/>
        </w:rPr>
        <w:t xml:space="preserve">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ceramics into CM, LST, tilt and confidence-gated residual contributions. The model reaches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0.941 on a family-disjoint holdout (in-calibration conformal coverage 90.5% at nominal 90%; out-of-calibration bootstrap 89.9 ± 5.7%), reduces OOD variance 2–4× relative to unconstrained baselines, and statistically establishes the A-site amplification hierarchy Pb &gt; Ca &gt; La &gt; Sr &gt; Ba (permutation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10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Physics-constrained genetic-algorithm inverse design identifies one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-dominated lead-free composition (Ba</w:t>
      </w:r>
      <w:r>
        <w:rPr>
          <w:rFonts w:ascii="Arial" w:cs="Arial" w:eastAsia="Arial" w:hAnsi="Arial"/>
          <w:b w:val="false"/>
          <w:bCs w:val="false"/>
          <w:i w:val="false"/>
          <w:iCs w:val="false"/>
          <w:sz w:val="22"/>
          <w:szCs w:val="22"/>
          <w:vertAlign w:val="subscript"/>
        </w:rPr>
        <w:t xml:space="preserve">0.05</w:t>
      </w:r>
      <w:r>
        <w:rPr>
          <w:rFonts w:ascii="Arial" w:cs="Arial" w:eastAsia="Arial" w:hAnsi="Arial"/>
          <w:b w:val="false"/>
          <w:bCs w:val="false"/>
          <w:i w:val="false"/>
          <w:iCs w:val="false"/>
          <w:sz w:val="22"/>
          <w:szCs w:val="22"/>
        </w:rPr>
        <w:t xml:space="preserve">Sr</w:t>
      </w:r>
      <w:r>
        <w:rPr>
          <w:rFonts w:ascii="Arial" w:cs="Arial" w:eastAsia="Arial" w:hAnsi="Arial"/>
          <w:b w:val="false"/>
          <w:bCs w:val="false"/>
          <w:i w:val="false"/>
          <w:iCs w:val="false"/>
          <w:sz w:val="22"/>
          <w:szCs w:val="22"/>
          <w:vertAlign w:val="subscript"/>
        </w:rPr>
        <w:t xml:space="preserve">0.95</w:t>
      </w:r>
      <w:r>
        <w:rPr>
          <w:rFonts w:ascii="Arial" w:cs="Arial" w:eastAsia="Arial" w:hAnsi="Arial"/>
          <w:b w:val="false"/>
          <w:bCs w:val="false"/>
          <w:i w:val="false"/>
          <w:iCs w:val="false"/>
          <w:sz w:val="22"/>
          <w:szCs w:val="22"/>
        </w:rPr>
        <w:t xml:space="preserve">Ti</w:t>
      </w:r>
      <w:r>
        <w:rPr>
          <w:rFonts w:ascii="Arial" w:cs="Arial" w:eastAsia="Arial" w:hAnsi="Arial"/>
          <w:b w:val="false"/>
          <w:bCs w:val="false"/>
          <w:i w:val="false"/>
          <w:iCs w:val="false"/>
          <w:sz w:val="22"/>
          <w:szCs w:val="22"/>
          <w:vertAlign w:val="subscript"/>
        </w:rPr>
        <w:t xml:space="preserve">0.84</w:t>
      </w:r>
      <w:r>
        <w:rPr>
          <w:rFonts w:ascii="Arial" w:cs="Arial" w:eastAsia="Arial" w:hAnsi="Arial"/>
          <w:b w:val="false"/>
          <w:bCs w:val="false"/>
          <w:i w:val="false"/>
          <w:iCs w:val="false"/>
          <w:sz w:val="22"/>
          <w:szCs w:val="22"/>
        </w:rPr>
        <w:t xml:space="preserve">Zr</w:t>
      </w:r>
      <w:r>
        <w:rPr>
          <w:rFonts w:ascii="Arial" w:cs="Arial" w:eastAsia="Arial" w:hAnsi="Arial"/>
          <w:b w:val="false"/>
          <w:bCs w:val="false"/>
          <w:i w:val="false"/>
          <w:iCs w:val="false"/>
          <w:sz w:val="22"/>
          <w:szCs w:val="22"/>
          <w:vertAlign w:val="subscript"/>
        </w:rPr>
        <w:t xml:space="preserve">0.15</w:t>
      </w:r>
      <w:r>
        <w:rPr>
          <w:rFonts w:ascii="Arial" w:cs="Arial" w:eastAsia="Arial" w:hAnsi="Arial"/>
          <w:b w:val="false"/>
          <w:bCs w:val="false"/>
          <w:i w:val="false"/>
          <w:iCs w:val="false"/>
          <w:sz w:val="22"/>
          <w:szCs w:val="22"/>
        </w:rPr>
        <w:t xml:space="preserve">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147, 90% LCB 132) at the model's extrapolation frontier, reported as a confidence-bounded synthesis target awaiting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Q×f and τ</w:t>
      </w:r>
      <w:r>
        <w:rPr>
          <w:rFonts w:ascii="Arial" w:cs="Arial" w:eastAsia="Arial" w:hAnsi="Arial"/>
          <w:b w:val="false"/>
          <w:bCs w:val="false"/>
          <w:i w:val="false"/>
          <w:iCs w:val="false"/>
          <w:sz w:val="22"/>
          <w:szCs w:val="22"/>
        </w:rPr>
        <w:t xml:space="preserve">_</w:t>
      </w:r>
      <w:r>
        <w:rPr>
          <w:rFonts w:ascii="Arial" w:cs="Arial" w:eastAsia="Arial" w:hAnsi="Arial"/>
          <w:b w:val="false"/>
          <w:bCs w:val="false"/>
          <w:i w:val="false"/>
          <w:iCs w:val="false"/>
          <w:sz w:val="22"/>
          <w:szCs w:val="22"/>
        </w:rPr>
        <w:t xml:space="preserve">f characterisation. Together with the hierarchy's invariance under 45 retrainings under ±50% gate-coefficient perturbations (Supplementary Fig. 24) and convergence with recent first-principles, spectroscopic and neutron-scattering studies</w:t>
      </w:r>
      <w:r>
        <w:rPr>
          <w:rFonts w:ascii="Arial" w:cs="Arial" w:eastAsia="Arial" w:hAnsi="Arial"/>
          <w:b w:val="false"/>
          <w:bCs w:val="false"/>
          <w:i w:val="false"/>
          <w:iCs w:val="false"/>
          <w:sz w:val="22"/>
          <w:szCs w:val="22"/>
          <w:vertAlign w:val="superscript"/>
        </w:rPr>
        <w:t xml:space="preserve">10–12,35–37</w:t>
      </w:r>
      <w:r>
        <w:rPr>
          <w:rFonts w:ascii="Arial" w:cs="Arial" w:eastAsia="Arial" w:hAnsi="Arial"/>
          <w:b w:val="false"/>
          <w:bCs w:val="false"/>
          <w:i w:val="false"/>
          <w:iCs w:val="false"/>
          <w:sz w:val="22"/>
          <w:szCs w:val="22"/>
        </w:rPr>
        <w:t xml:space="preserve">, these results provide multi-axis support for the soft-mode interpretation.</w:t>
      </w:r>
    </w:p>
    <w:p>
      <w:pPr>
        <w:pStyle w:val="Heading1"/>
        <w:spacing w:after="240" w:before="360" w:line="480" w:lineRule="auto"/>
      </w:pPr>
      <w:r>
        <w:rPr>
          <w:rFonts w:ascii="Arial" w:cs="Arial" w:eastAsia="Arial" w:hAnsi="Arial"/>
          <w:b/>
          <w:bCs/>
          <w:color w:val="000000"/>
          <w:sz w:val="28"/>
          <w:szCs w:val="28"/>
        </w:rPr>
        <w:t xml:space="preserve">Methods</w:t>
      </w:r>
    </w:p>
    <w:p>
      <w:pPr>
        <w:spacing w:after="160" w:before="220" w:line="480" w:lineRule="auto"/>
      </w:pPr>
      <w:r>
        <w:rPr>
          <w:rFonts w:ascii="Arial" w:cs="Arial" w:eastAsia="Arial" w:hAnsi="Arial"/>
          <w:b/>
          <w:bCs/>
          <w:i/>
          <w:iCs/>
          <w:color w:val="000000"/>
          <w:sz w:val="22"/>
          <w:szCs w:val="22"/>
        </w:rPr>
        <w:t xml:space="preserve">Dataset and features</w:t>
      </w:r>
    </w:p>
    <w:p>
      <w:pPr>
        <w:spacing w:after="120" w:line="252" w:lineRule="auto"/>
        <w:jc w:val="left"/>
      </w:pPr>
      <w:r>
        <w:rPr>
          <w:rFonts w:ascii="Arial" w:cs="Arial" w:eastAsia="Arial" w:hAnsi="Arial"/>
          <w:b w:val="false"/>
          <w:bCs w:val="false"/>
          <w:i w:val="false"/>
          <w:iCs w:val="false"/>
          <w:sz w:val="22"/>
          <w:szCs w:val="22"/>
        </w:rPr>
        <w:t xml:space="preserve">The training corpus comprises 1,304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-type perovskite microwave-dielectric ceramic compositions — predominantly simple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perovskites plus ~11%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-derived superstructures — with experimentally reported microwave-frequency permittivities, compiled from a handbook and ~200 primary literature sources (full source list in Supplementary References). The corpus was restricted to genuine perovskites by excluding ilmenite-structured 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phases (A = Mg, Zn, Co, Ni; tolerance factor </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 ≈ 0.8 or below; 6-coordinate octahedron rather than 12-coordinate perovskite cage), A-site-deficient defect phases (e.g. La</w:t>
      </w:r>
      <w:r>
        <w:rPr>
          <w:rFonts w:ascii="Arial" w:cs="Arial" w:eastAsia="Arial" w:hAnsi="Arial"/>
          <w:b w:val="false"/>
          <w:bCs w:val="false"/>
          <w:i w:val="false"/>
          <w:iCs w:val="false"/>
          <w:sz w:val="22"/>
          <w:szCs w:val="22"/>
          <w:vertAlign w:val="subscript"/>
        </w:rPr>
        <w:t xml:space="preserve">1</w:t>
      </w:r>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TaO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and redundant duplicates. Of the cleaned 1,124 valid-CM compositions (procedure in Supplementary Note 1), 973 use an exact Shannon-polarizability CM and 151 double perovskites (A</w:t>
      </w:r>
      <w:r>
        <w:rPr>
          <w:rFonts w:ascii="Arial" w:cs="Arial" w:eastAsia="Arial" w:hAnsi="Arial"/>
          <w:b w:val="false"/>
          <w:bCs w:val="false"/>
          <w:i w:val="false"/>
          <w:iCs w:val="false"/>
          <w:sz w:val="22"/>
          <w:szCs w:val="22"/>
          <w:vertAlign w:val="subscript"/>
        </w:rPr>
        <w:t xml:space="preserve">2</w:t>
      </w:r>
      <w:r>
        <w:rPr>
          <w:rFonts w:ascii="Arial" w:cs="Arial" w:eastAsia="Arial" w:hAnsi="Arial"/>
          <w:b w:val="false"/>
          <w:bCs w:val="false"/>
          <w:i w:val="false"/>
          <w:iCs w:val="false"/>
          <w:sz w:val="22"/>
          <w:szCs w:val="22"/>
        </w:rPr>
        <w:t xml:space="preserve">BB′O</w:t>
      </w:r>
      <w:r>
        <w:rPr>
          <w:rFonts w:ascii="Arial" w:cs="Arial" w:eastAsia="Arial" w:hAnsi="Arial"/>
          <w:b w:val="false"/>
          <w:bCs w:val="false"/>
          <w:i w:val="false"/>
          <w:iCs w:val="false"/>
          <w:sz w:val="22"/>
          <w:szCs w:val="22"/>
          <w:vertAlign w:val="subscript"/>
        </w:rPr>
        <w:t xml:space="preserve">6</w:t>
      </w:r>
      <w:r>
        <w:rPr>
          <w:rFonts w:ascii="Arial" w:cs="Arial" w:eastAsia="Arial" w:hAnsi="Arial"/>
          <w:b w:val="false"/>
          <w:bCs w:val="false"/>
          <w:i w:val="false"/>
          <w:iCs w:val="false"/>
          <w:sz w:val="22"/>
          <w:szCs w:val="22"/>
        </w:rPr>
        <w:t xml:space="preserve">) use a virtual-crystal-approximation (VCA) CM; 180 compositions without a valid CM route through the no-CM fallback. Nominal compositions reported under different processing conditions are retained as physically distinct samples (1,304 entries span 894 distinct formulae; each row carries a unique feature vector). Distributions of measured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Reaney regime and A-/B-site occupancy are in Supplementary Figs. 1, 19 and 20.</w:t>
      </w:r>
    </w:p>
    <w:p>
      <w:pPr>
        <w:spacing w:after="120" w:line="252" w:lineRule="auto"/>
        <w:jc w:val="left"/>
      </w:pPr>
      <w:r>
        <w:rPr>
          <w:rFonts w:ascii="Arial" w:cs="Arial" w:eastAsia="Arial" w:hAnsi="Arial"/>
          <w:b w:val="false"/>
          <w:bCs w:val="false"/>
          <w:i w:val="false"/>
          <w:iCs w:val="false"/>
          <w:sz w:val="22"/>
          <w:szCs w:val="22"/>
        </w:rPr>
        <w:t xml:space="preserve">Features are partitioned into three physics-motivated groups (103 inputs total): 30 LST features (</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LO</w:t>
      </w:r>
      <w:r>
        <w:rPr>
          <w:rFonts w:ascii="Arial" w:cs="Arial" w:eastAsia="Arial" w:hAnsi="Arial"/>
          <w:b w:val="false"/>
          <w:bCs w:val="false"/>
          <w:i w:val="false"/>
          <w:iCs w:val="false"/>
          <w:sz w:val="22"/>
          <w:szCs w:val="22"/>
        </w:rPr>
        <w:t xml:space="preserve"> surrogates, soft-mode-related descriptors</w:t>
      </w:r>
      <w:r>
        <w:rPr>
          <w:rFonts w:ascii="Arial" w:cs="Arial" w:eastAsia="Arial" w:hAnsi="Arial"/>
          <w:b w:val="false"/>
          <w:bCs w:val="false"/>
          <w:i w:val="false"/>
          <w:iCs w:val="false"/>
          <w:sz w:val="22"/>
          <w:szCs w:val="22"/>
          <w:vertAlign w:val="superscript"/>
        </w:rPr>
        <w:t xml:space="preserve">9</w:t>
      </w:r>
      <w:r>
        <w:rPr>
          <w:rFonts w:ascii="Arial" w:cs="Arial" w:eastAsia="Arial" w:hAnsi="Arial"/>
          <w:b w:val="false"/>
          <w:bCs w:val="false"/>
          <w:i w:val="false"/>
          <w:iCs w:val="false"/>
          <w:sz w:val="22"/>
          <w:szCs w:val="22"/>
        </w:rPr>
        <w:t xml:space="preserve">), 30 tilt features (tolerance factor, octahedral-rotation descriptors, A-site electronegativity, Glazer-class proxies), and 43 residual features (composition-averaged elemental, electronic and ionic properties). The partition is strict (Supplementary Fig. 10). Train/calibration splitting uses Family-GroupShuffleSplit on the dominant A- and B-site cations, yielding 1,188 training and 116 calibration samples with zero family overlap (and zero formula overlap because the grouping variable is coarser than the formula); this split is fixed throughout. The calibration set is intentionally Regime-III-heavy (74/116 = 64%), providing OOD stress. Structure-property correlations across 12 descriptors are reported in Supplementary Fig. 21;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(Spearman ρ = +0.87) is the strongest single predictor, consistent with the largest aggregate SHAP attribution (Supplementary Fig. 11).</w:t>
      </w:r>
    </w:p>
    <w:p>
      <w:pPr>
        <w:spacing w:after="160" w:before="220" w:line="480" w:lineRule="auto"/>
      </w:pPr>
      <w:r>
        <w:rPr>
          <w:rFonts w:ascii="Arial" w:cs="Arial" w:eastAsia="Arial" w:hAnsi="Arial"/>
          <w:b/>
          <w:bCs/>
          <w:i/>
          <w:iCs/>
          <w:color w:val="000000"/>
          <w:sz w:val="22"/>
          <w:szCs w:val="22"/>
        </w:rPr>
        <w:t xml:space="preserve">Physics formulations</w:t>
      </w:r>
    </w:p>
    <w:p>
      <w:pPr>
        <w:spacing w:after="120" w:line="252" w:lineRule="auto"/>
        <w:jc w:val="left"/>
      </w:pPr>
      <w:r>
        <w:rPr>
          <w:rFonts w:ascii="Arial" w:cs="Arial" w:eastAsia="Arial" w:hAnsi="Arial"/>
          <w:b w:val="false"/>
          <w:bCs w:val="false"/>
          <w:i w:val="false"/>
          <w:iCs w:val="false"/>
          <w:sz w:val="22"/>
          <w:szCs w:val="22"/>
        </w:rPr>
        <w:t xml:space="preserve">The Clausius-Mossotti relation</w:t>
      </w:r>
      <w:r>
        <w:rPr>
          <w:rFonts w:ascii="Arial" w:cs="Arial" w:eastAsia="Arial" w:hAnsi="Arial"/>
          <w:b w:val="false"/>
          <w:bCs w:val="false"/>
          <w:i w:val="false"/>
          <w:iCs w:val="false"/>
          <w:sz w:val="22"/>
          <w:szCs w:val="22"/>
          <w:vertAlign w:val="superscript"/>
        </w:rPr>
        <w:t xml:space="preserve">4,5</w:t>
      </w:r>
      <w:r>
        <w:rPr>
          <w:rFonts w:ascii="Arial" w:cs="Arial" w:eastAsia="Arial" w:hAnsi="Arial"/>
          <w:b w:val="false"/>
          <w:bCs w:val="false"/>
          <w:i w:val="false"/>
          <w:iCs w:val="false"/>
          <w:sz w:val="22"/>
          <w:szCs w:val="22"/>
        </w:rPr>
        <w:t xml:space="preserve"> expresses the static permittivity of a polar dielectric in terms of the molar volume </w:t>
      </w:r>
      <w:r>
        <w:rPr>
          <w:rFonts w:ascii="Arial" w:cs="Arial" w:eastAsia="Arial" w:hAnsi="Arial"/>
          <w:b w:val="false"/>
          <w:bCs w:val="false"/>
          <w:i/>
          <w:iCs/>
          <w:sz w:val="22"/>
          <w:szCs w:val="22"/>
        </w:rPr>
        <w:t xml:space="preserve">V</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rPr>
        <w:t xml:space="preserve"> and the sum of constituent ionic polarizabilities </w:t>
      </w:r>
      <w:r>
        <w:rPr>
          <w:rFonts w:ascii="Arial" w:cs="Arial" w:eastAsia="Arial" w:hAnsi="Arial"/>
          <w:b w:val="false"/>
          <w:bCs w:val="false"/>
          <w:i/>
          <w:iCs/>
          <w:sz w:val="22"/>
          <w:szCs w:val="22"/>
        </w:rPr>
        <w:t xml:space="preserve">α</w:t>
      </w:r>
      <w:r>
        <w:rPr>
          <w:rFonts w:ascii="Arial" w:cs="Arial" w:eastAsia="Arial" w:hAnsi="Arial"/>
          <w:b w:val="false"/>
          <w:bCs w:val="false"/>
          <w:i w:val="false"/>
          <w:iCs w:val="false"/>
          <w:sz w:val="22"/>
          <w:szCs w:val="22"/>
          <w:vertAlign w:val="subscript"/>
        </w:rPr>
        <w:t xml:space="preserve">i</w:t>
      </w:r>
      <w:r>
        <w:rPr>
          <w:rFonts w:ascii="Arial" w:cs="Arial" w:eastAsia="Arial" w:hAnsi="Arial"/>
          <w:b w:val="false"/>
          <w:bCs w:val="false"/>
          <w:i w:val="false"/>
          <w:iCs w:val="false"/>
          <w:sz w:val="22"/>
          <w:szCs w:val="22"/>
        </w:rPr>
        <w:t xml:space="preserve"> (Shannon polarizabilities</w:t>
      </w:r>
      <w:r>
        <w:rPr>
          <w:rFonts w:ascii="Arial" w:cs="Arial" w:eastAsia="Arial" w:hAnsi="Arial"/>
          <w:b w:val="false"/>
          <w:bCs w:val="false"/>
          <w:i w:val="false"/>
          <w:iCs w:val="false"/>
          <w:sz w:val="22"/>
          <w:szCs w:val="22"/>
          <w:vertAlign w:val="superscript"/>
        </w:rPr>
        <w:t xml:space="preserve">4</w:t>
      </w:r>
      <w:r>
        <w:rPr>
          <w:rFonts w:ascii="Arial" w:cs="Arial" w:eastAsia="Arial" w:hAnsi="Arial"/>
          <w:b w:val="false"/>
          <w:bCs w:val="false"/>
          <w:i w:val="false"/>
          <w:iCs w:val="false"/>
          <w:sz w:val="22"/>
          <w:szCs w:val="22"/>
        </w:rPr>
        <w:t xml:space="preserve">, recently extended to microwave-frequency materials</w:t>
      </w:r>
      <w:r>
        <w:rPr>
          <w:rFonts w:ascii="Arial" w:cs="Arial" w:eastAsia="Arial" w:hAnsi="Arial"/>
          <w:b w:val="false"/>
          <w:bCs w:val="false"/>
          <w:i w:val="false"/>
          <w:iCs w:val="false"/>
          <w:sz w:val="22"/>
          <w:szCs w:val="22"/>
          <w:vertAlign w:val="superscript"/>
        </w:rPr>
        <w:t xml:space="preserve">48</w:t>
      </w:r>
      <w:r>
        <w:rPr>
          <w:rFonts w:ascii="Arial" w:cs="Arial" w:eastAsia="Arial" w:hAnsi="Arial"/>
          <w:b w:val="false"/>
          <w:bCs w:val="false"/>
          <w:i w:val="false"/>
          <w:iCs w:val="false"/>
          <w:sz w:val="22"/>
          <w:szCs w:val="22"/>
        </w:rPr>
        <w:t xml:space="preserve">):</w:t>
      </w:r>
    </w:p>
    <w:p>
      <w:pPr>
        <w:tabs>
          <w:tab w:val="center" w:pos="4824"/>
          <w:tab w:val="right" w:pos="9648"/>
        </w:tabs>
        <w:spacing w:after="240" w:before="240" w:line="360" w:lineRule="auto"/>
        <w:jc w:val="left"/>
      </w:pPr>
      <w:r>
        <w:rPr>
          <w:rFonts w:ascii="Arial" w:cs="Arial" w:eastAsia="Arial" w:hAnsi="Arial"/>
          <w:sz w:val="22"/>
          <w:szCs w:val="22"/>
        </w:rPr>
        <w:t xml:space="preserve">	</w:t>
      </w:r>
      <m:oMath>
        <m:sSub>
          <m:sSubPr/>
          <m:e>
            <m:r>
              <m:t>ε</m:t>
            </m:r>
          </m:e>
          <m:sub>
            <m:r>
              <m:t>r,CM</m:t>
            </m:r>
          </m:sub>
        </m:sSub>
        <m:r>
          <m:t> = </m:t>
        </m:r>
        <m:f>
          <m:num>
            <m:r>
              <m:t>3</m:t>
            </m:r>
            <m:sSub>
              <m:sSubPr/>
              <m:e>
                <m:r>
                  <m:t>V</m:t>
                </m:r>
              </m:e>
              <m:sub>
                <m:r>
                  <m:t>m</m:t>
                </m:r>
              </m:sub>
            </m:sSub>
            <m:r>
              <m:t> + 8π</m:t>
            </m:r>
            <m:nary>
              <m:naryPr>
                <m:chr m:val="∑"/>
                <m:limLoc m:val="undOvr"/>
                <m:supHide m:val="1"/>
              </m:naryPr>
              <m:sub>
                <m:r>
                  <m:t>i</m:t>
                </m:r>
              </m:sub>
              <m:e>
                <m:sSub>
                  <m:sSubPr/>
                  <m:e>
                    <m:r>
                      <m:t>α</m:t>
                    </m:r>
                  </m:e>
                  <m:sub>
                    <m:r>
                      <m:t>i</m:t>
                    </m:r>
                  </m:sub>
                </m:sSub>
              </m:e>
            </m:nary>
          </m:num>
          <m:den>
            <m:r>
              <m:t>3</m:t>
            </m:r>
            <m:sSub>
              <m:sSubPr/>
              <m:e>
                <m:r>
                  <m:t>V</m:t>
                </m:r>
              </m:e>
              <m:sub>
                <m:r>
                  <m:t>m</m:t>
                </m:r>
              </m:sub>
            </m:sSub>
            <m:r>
              <m:t> − 4π</m:t>
            </m:r>
            <m:nary>
              <m:naryPr>
                <m:chr m:val="∑"/>
                <m:limLoc m:val="undOvr"/>
                <m:supHide m:val="1"/>
              </m:naryPr>
              <m:sub>
                <m:r>
                  <m:t>i</m:t>
                </m:r>
              </m:sub>
              <m:e>
                <m:sSub>
                  <m:sSubPr/>
                  <m:e>
                    <m:r>
                      <m:t>α</m:t>
                    </m:r>
                  </m:e>
                  <m:sub>
                    <m:r>
                      <m:t>i</m:t>
                    </m:r>
                  </m:sub>
                </m:sSub>
              </m:e>
            </m:nary>
          </m:den>
        </m:f>
      </m:oMath>
      <w:r>
        <w:rPr>
          <w:rFonts w:ascii="Arial" w:cs="Arial" w:eastAsia="Arial" w:hAnsi="Arial"/>
          <w:sz w:val="22"/>
          <w:szCs w:val="22"/>
        </w:rPr>
        <w:t xml:space="preserve">	</w:t>
      </w:r>
      <w:r>
        <w:rPr>
          <w:rFonts w:ascii="Arial" w:cs="Arial" w:eastAsia="Arial" w:hAnsi="Arial"/>
          <w:sz w:val="22"/>
          <w:szCs w:val="22"/>
        </w:rPr>
        <w:t xml:space="preserve">(1)</w:t>
      </w:r>
    </w:p>
    <w:p>
      <w:pPr>
        <w:spacing w:after="120" w:line="252" w:lineRule="auto"/>
        <w:jc w:val="left"/>
      </w:pPr>
      <w:r>
        <w:rPr>
          <w:rFonts w:ascii="Arial" w:cs="Arial" w:eastAsia="Arial" w:hAnsi="Arial"/>
          <w:b w:val="false"/>
          <w:bCs w:val="false"/>
          <w:i w:val="false"/>
          <w:iCs w:val="false"/>
          <w:sz w:val="22"/>
          <w:szCs w:val="22"/>
        </w:rPr>
        <w:t xml:space="preserve">The Lyddane-Sachs-Teller relation</w:t>
      </w:r>
      <w:r>
        <w:rPr>
          <w:rFonts w:ascii="Arial" w:cs="Arial" w:eastAsia="Arial" w:hAnsi="Arial"/>
          <w:b w:val="false"/>
          <w:bCs w:val="false"/>
          <w:i w:val="false"/>
          <w:iCs w:val="false"/>
          <w:sz w:val="22"/>
          <w:szCs w:val="22"/>
          <w:vertAlign w:val="superscript"/>
        </w:rPr>
        <w:t xml:space="preserve">6</w:t>
      </w:r>
      <w:r>
        <w:rPr>
          <w:rFonts w:ascii="Arial" w:cs="Arial" w:eastAsia="Arial" w:hAnsi="Arial"/>
          <w:b w:val="false"/>
          <w:bCs w:val="false"/>
          <w:i w:val="false"/>
          <w:iCs w:val="false"/>
          <w:sz w:val="22"/>
          <w:szCs w:val="22"/>
        </w:rPr>
        <w:t xml:space="preserve"> links the static and high-frequency permittivities to the longitudinal and transverse optical phonon frequencies:</w:t>
      </w:r>
    </w:p>
    <w:p>
      <w:pPr>
        <w:tabs>
          <w:tab w:val="center" w:pos="4824"/>
          <w:tab w:val="right" w:pos="9648"/>
        </w:tabs>
        <w:spacing w:after="240" w:before="240" w:line="360" w:lineRule="auto"/>
        <w:jc w:val="left"/>
      </w:pPr>
      <w:r>
        <w:rPr>
          <w:rFonts w:ascii="Arial" w:cs="Arial" w:eastAsia="Arial" w:hAnsi="Arial"/>
          <w:sz w:val="22"/>
          <w:szCs w:val="22"/>
        </w:rPr>
        <w:t xml:space="preserve">	</w:t>
      </w:r>
      <m:oMath>
        <m:f>
          <m:num>
            <m:sSub>
              <m:sSubPr/>
              <m:e>
                <m:r>
                  <m:t>ε</m:t>
                </m:r>
              </m:e>
              <m:sub>
                <m:r>
                  <m:t>s</m:t>
                </m:r>
              </m:sub>
            </m:sSub>
          </m:num>
          <m:den>
            <m:sSub>
              <m:sSubPr/>
              <m:e>
                <m:r>
                  <m:t>ε</m:t>
                </m:r>
              </m:e>
              <m:sub>
                <m:r>
                  <m:t>∞</m:t>
                </m:r>
              </m:sub>
            </m:sSub>
          </m:den>
        </m:f>
        <m:r>
          <m:t> = </m:t>
        </m:r>
        <m:sSup>
          <m:sSupPr/>
          <m:e>
            <m:d>
              <m:dPr/>
              <m:e>
                <m:f>
                  <m:num>
                    <m:sSub>
                      <m:sSubPr/>
                      <m:e>
                        <m:r>
                          <m:t>ω</m:t>
                        </m:r>
                      </m:e>
                      <m:sub>
                        <m:r>
                          <m:t>LO</m:t>
                        </m:r>
                      </m:sub>
                    </m:sSub>
                  </m:num>
                  <m:den>
                    <m:sSub>
                      <m:sSubPr/>
                      <m:e>
                        <m:r>
                          <m:t>ω</m:t>
                        </m:r>
                      </m:e>
                      <m:sub>
                        <m:r>
                          <m:t>TO</m:t>
                        </m:r>
                      </m:sub>
                    </m:sSub>
                  </m:den>
                </m:f>
              </m:e>
            </m:d>
          </m:e>
          <m:sup>
            <m:r>
              <m:t>2</m:t>
            </m:r>
          </m:sup>
        </m:sSup>
      </m:oMath>
      <w:r>
        <w:rPr>
          <w:rFonts w:ascii="Arial" w:cs="Arial" w:eastAsia="Arial" w:hAnsi="Arial"/>
          <w:sz w:val="22"/>
          <w:szCs w:val="22"/>
        </w:rPr>
        <w:t xml:space="preserve">	</w:t>
      </w:r>
      <w:r>
        <w:rPr>
          <w:rFonts w:ascii="Arial" w:cs="Arial" w:eastAsia="Arial" w:hAnsi="Arial"/>
          <w:sz w:val="22"/>
          <w:szCs w:val="22"/>
        </w:rPr>
        <w:t xml:space="preserve">(2)</w:t>
      </w:r>
    </w:p>
    <w:p>
      <w:pPr>
        <w:spacing w:after="120" w:line="252" w:lineRule="auto"/>
        <w:jc w:val="left"/>
      </w:pPr>
      <w:r>
        <w:rPr>
          <w:rFonts w:ascii="Arial" w:cs="Arial" w:eastAsia="Arial" w:hAnsi="Arial"/>
          <w:b w:val="false"/>
          <w:bCs w:val="false"/>
          <w:i w:val="false"/>
          <w:iCs w:val="false"/>
          <w:sz w:val="22"/>
          <w:szCs w:val="22"/>
        </w:rPr>
        <w:t xml:space="preserve">so that soft-mode softening (</w:t>
      </w:r>
      <w:r>
        <w:rPr>
          <w:rFonts w:ascii="Arial" w:cs="Arial" w:eastAsia="Arial" w:hAnsi="Arial"/>
          <w:b w:val="false"/>
          <w:bCs w:val="false"/>
          <w:i/>
          <w:iCs/>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 → 0) amplifies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s</w:t>
      </w:r>
      <w:r>
        <w:rPr>
          <w:rFonts w:ascii="Arial" w:cs="Arial" w:eastAsia="Arial" w:hAnsi="Arial"/>
          <w:b w:val="false"/>
          <w:bCs w:val="false"/>
          <w:i w:val="false"/>
          <w:iCs w:val="false"/>
          <w:sz w:val="22"/>
          <w:szCs w:val="22"/>
        </w:rPr>
        <w:t xml:space="preserve">. Equivalently, the static permittivity decomposes microscopically into ε</w:t>
      </w:r>
      <w:r>
        <w:rPr>
          <w:rFonts w:ascii="Arial" w:cs="Arial" w:eastAsia="Arial" w:hAnsi="Arial"/>
          <w:b w:val="false"/>
          <w:bCs w:val="false"/>
          <w:i w:val="false"/>
          <w:iCs w:val="false"/>
          <w:sz w:val="22"/>
          <w:szCs w:val="22"/>
          <w:vertAlign w:val="subscript"/>
        </w:rPr>
        <w:t xml:space="preserve">s</w:t>
      </w:r>
      <w:r>
        <w:rPr>
          <w:rFonts w:ascii="Arial" w:cs="Arial" w:eastAsia="Arial" w:hAnsi="Arial"/>
          <w:b w:val="false"/>
          <w:bCs w:val="false"/>
          <w:i w:val="false"/>
          <w:iCs w:val="false"/>
          <w:sz w:val="22"/>
          <w:szCs w:val="22"/>
        </w:rPr>
        <w:t xml:space="preserve"> = ε</w:t>
      </w:r>
      <w:r>
        <w:rPr>
          <w:rFonts w:ascii="Arial" w:cs="Arial" w:eastAsia="Arial" w:hAnsi="Arial"/>
          <w:b w:val="false"/>
          <w:bCs w:val="false"/>
          <w:i w:val="false"/>
          <w:iCs w:val="false"/>
          <w:sz w:val="22"/>
          <w:szCs w:val="22"/>
          <w:vertAlign w:val="subscript"/>
        </w:rPr>
        <w:t xml:space="preserve">∞</w:t>
      </w:r>
      <w:r>
        <w:rPr>
          <w:rFonts w:ascii="Arial" w:cs="Arial" w:eastAsia="Arial" w:hAnsi="Arial"/>
          <w:b w:val="false"/>
          <w:bCs w:val="false"/>
          <w:i w:val="false"/>
          <w:iCs w:val="false"/>
          <w:sz w:val="22"/>
          <w:szCs w:val="22"/>
        </w:rPr>
        <w:t xml:space="preserve"> + (4π/Ω) Σ</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rPr>
        <w:t xml:space="preserve"> (Z</w:t>
      </w:r>
      <w:r>
        <w:rPr>
          <w:rFonts w:ascii="Arial" w:cs="Arial" w:eastAsia="Arial" w:hAnsi="Arial"/>
          <w:b w:val="false"/>
          <w:bCs w:val="false"/>
          <w:i/>
          <w:iCs/>
          <w:sz w:val="22"/>
          <w:szCs w:val="22"/>
        </w:rPr>
        <w:t xml:space="preserve">_{m})^{2} / ω^{2}_{m} where Z</w:t>
      </w:r>
      <w:r>
        <w:rPr>
          <w:rFonts w:ascii="Arial" w:cs="Arial" w:eastAsia="Arial" w:hAnsi="Arial"/>
          <w:b w:val="false"/>
          <w:bCs w:val="false"/>
          <w:i w:val="false"/>
          <w:iCs w:val="false"/>
          <w:sz w:val="22"/>
          <w:szCs w:val="22"/>
          <w:vertAlign w:val="subscript"/>
        </w:rPr>
        <w:t xml:space="preserve">m</w:t>
      </w:r>
      <w:r>
        <w:rPr>
          <w:rFonts w:ascii="Arial" w:cs="Arial" w:eastAsia="Arial" w:hAnsi="Arial"/>
          <w:b w:val="false"/>
          <w:bCs w:val="false"/>
          <w:i w:val="false"/>
          <w:iCs w:val="false"/>
          <w:sz w:val="22"/>
          <w:szCs w:val="22"/>
        </w:rPr>
        <w:t xml:space="preserve"> is the Born effective charge of mode </w:t>
      </w:r>
      <w:r>
        <w:rPr>
          <w:rFonts w:ascii="Arial" w:cs="Arial" w:eastAsia="Arial" w:hAnsi="Arial"/>
          <w:b w:val="false"/>
          <w:bCs w:val="false"/>
          <w:i/>
          <w:iCs/>
          <w:sz w:val="22"/>
          <w:szCs w:val="22"/>
        </w:rPr>
        <w:t xml:space="preserve">m</w:t>
      </w:r>
      <w:r>
        <w:rPr>
          <w:rFonts w:ascii="Arial" w:cs="Arial" w:eastAsia="Arial" w:hAnsi="Arial"/>
          <w:b w:val="false"/>
          <w:bCs w:val="false"/>
          <w:i w:val="false"/>
          <w:iCs w:val="false"/>
          <w:sz w:val="22"/>
          <w:szCs w:val="22"/>
        </w:rPr>
        <w:t xml:space="preserve"> and Ω the unit-cell volume</w:t>
      </w:r>
      <w:r>
        <w:rPr>
          <w:rFonts w:ascii="Arial" w:cs="Arial" w:eastAsia="Arial" w:hAnsi="Arial"/>
          <w:b w:val="false"/>
          <w:bCs w:val="false"/>
          <w:i w:val="false"/>
          <w:iCs w:val="false"/>
          <w:sz w:val="22"/>
          <w:szCs w:val="22"/>
          <w:vertAlign w:val="superscript"/>
        </w:rPr>
        <w:t xml:space="preserve">10–12,22</w:t>
      </w:r>
      <w:r>
        <w:rPr>
          <w:rFonts w:ascii="Arial" w:cs="Arial" w:eastAsia="Arial" w:hAnsi="Arial"/>
          <w:b w:val="false"/>
          <w:bCs w:val="false"/>
          <w:i w:val="false"/>
          <w:iCs w:val="false"/>
          <w:sz w:val="22"/>
          <w:szCs w:val="22"/>
        </w:rPr>
        <w:t xml:space="preserve">; our additive decomposition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(eq. 5) is the data-driven analogue at the composition level, with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carrying the lattice contribution the CM static-ionic baseline omits. The Goldschmidt tolerance factor</w:t>
      </w:r>
      <w:r>
        <w:rPr>
          <w:rFonts w:ascii="Arial" w:cs="Arial" w:eastAsia="Arial" w:hAnsi="Arial"/>
          <w:b w:val="false"/>
          <w:bCs w:val="false"/>
          <w:i w:val="false"/>
          <w:iCs w:val="false"/>
          <w:sz w:val="22"/>
          <w:szCs w:val="22"/>
          <w:vertAlign w:val="superscript"/>
        </w:rPr>
        <w:t xml:space="preserve">13</w:t>
      </w:r>
      <w:r>
        <w:rPr>
          <w:rFonts w:ascii="Arial" w:cs="Arial" w:eastAsia="Arial" w:hAnsi="Arial"/>
          <w:b w:val="false"/>
          <w:bCs w:val="false"/>
          <w:i w:val="false"/>
          <w:iCs w:val="false"/>
          <w:sz w:val="22"/>
          <w:szCs w:val="22"/>
        </w:rPr>
        <w:t xml:space="preserve"> governs the geometric stability of the perovskite cage:</w:t>
      </w:r>
    </w:p>
    <w:p>
      <w:pPr>
        <w:tabs>
          <w:tab w:val="center" w:pos="4824"/>
          <w:tab w:val="right" w:pos="9648"/>
        </w:tabs>
        <w:spacing w:after="240" w:before="240" w:line="360" w:lineRule="auto"/>
        <w:jc w:val="left"/>
      </w:pPr>
      <w:r>
        <w:rPr>
          <w:rFonts w:ascii="Arial" w:cs="Arial" w:eastAsia="Arial" w:hAnsi="Arial"/>
          <w:sz w:val="22"/>
          <w:szCs w:val="22"/>
        </w:rPr>
        <w:t xml:space="preserve">	</w:t>
      </w:r>
      <m:oMath>
        <m:r>
          <m:t>t = </m:t>
        </m:r>
        <m:f>
          <m:num>
            <m:sSub>
              <m:sSubPr/>
              <m:e>
                <m:r>
                  <m:t>r</m:t>
                </m:r>
              </m:e>
              <m:sub>
                <m:r>
                  <m:t>A</m:t>
                </m:r>
              </m:sub>
            </m:sSub>
            <m:r>
              <m:t> + </m:t>
            </m:r>
            <m:sSub>
              <m:sSubPr/>
              <m:e>
                <m:r>
                  <m:t>r</m:t>
                </m:r>
              </m:e>
              <m:sub>
                <m:r>
                  <m:t>O</m:t>
                </m:r>
              </m:sub>
            </m:sSub>
          </m:num>
          <m:den>
            <m:rad>
              <m:radPr>
                <m:degHide m:val="1"/>
              </m:radPr>
              <m:deg/>
              <m:e>
                <m:r>
                  <m:t>2</m:t>
                </m:r>
              </m:e>
            </m:rad>
            <m:r>
              <m:t> (</m:t>
            </m:r>
            <m:sSub>
              <m:sSubPr/>
              <m:e>
                <m:r>
                  <m:t>r</m:t>
                </m:r>
              </m:e>
              <m:sub>
                <m:r>
                  <m:t>B</m:t>
                </m:r>
              </m:sub>
            </m:sSub>
            <m:r>
              <m:t> + </m:t>
            </m:r>
            <m:sSub>
              <m:sSubPr/>
              <m:e>
                <m:r>
                  <m:t>r</m:t>
                </m:r>
              </m:e>
              <m:sub>
                <m:r>
                  <m:t>O</m:t>
                </m:r>
              </m:sub>
            </m:sSub>
            <m:r>
              <m:t>)</m:t>
            </m:r>
          </m:den>
        </m:f>
      </m:oMath>
      <w:r>
        <w:rPr>
          <w:rFonts w:ascii="Arial" w:cs="Arial" w:eastAsia="Arial" w:hAnsi="Arial"/>
          <w:sz w:val="22"/>
          <w:szCs w:val="22"/>
        </w:rPr>
        <w:t xml:space="preserve">	</w:t>
      </w:r>
      <w:r>
        <w:rPr>
          <w:rFonts w:ascii="Arial" w:cs="Arial" w:eastAsia="Arial" w:hAnsi="Arial"/>
          <w:sz w:val="22"/>
          <w:szCs w:val="22"/>
        </w:rPr>
        <w:t xml:space="preserve">(3)</w:t>
      </w:r>
    </w:p>
    <w:p>
      <w:pPr>
        <w:spacing w:after="120" w:line="252" w:lineRule="auto"/>
        <w:jc w:val="left"/>
      </w:pPr>
      <w:r>
        <w:rPr>
          <w:rFonts w:ascii="Arial" w:cs="Arial" w:eastAsia="Arial" w:hAnsi="Arial"/>
          <w:b w:val="false"/>
          <w:bCs w:val="false"/>
          <w:i w:val="false"/>
          <w:iCs w:val="false"/>
          <w:sz w:val="22"/>
          <w:szCs w:val="22"/>
        </w:rPr>
        <w:t xml:space="preserve">where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bscript"/>
        </w:rPr>
        <w:t xml:space="preserve">A</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bscript"/>
        </w:rPr>
        <w:t xml:space="preserve">B</w:t>
      </w:r>
      <w:r>
        <w:rPr>
          <w:rFonts w:ascii="Arial" w:cs="Arial" w:eastAsia="Arial" w:hAnsi="Arial"/>
          <w:b w:val="false"/>
          <w:bCs w:val="false"/>
          <w:i w:val="false"/>
          <w:iCs w:val="false"/>
          <w:sz w:val="22"/>
          <w:szCs w:val="22"/>
        </w:rPr>
        <w:t xml:space="preserve"> and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bscript"/>
        </w:rPr>
        <w:t xml:space="preserve">O</w:t>
      </w:r>
      <w:r>
        <w:rPr>
          <w:rFonts w:ascii="Arial" w:cs="Arial" w:eastAsia="Arial" w:hAnsi="Arial"/>
          <w:b w:val="false"/>
          <w:bCs w:val="false"/>
          <w:i w:val="false"/>
          <w:iCs w:val="false"/>
          <w:sz w:val="22"/>
          <w:szCs w:val="22"/>
        </w:rPr>
        <w:t xml:space="preserve"> are Shannon ionic radii</w:t>
      </w:r>
      <w:r>
        <w:rPr>
          <w:rFonts w:ascii="Arial" w:cs="Arial" w:eastAsia="Arial" w:hAnsi="Arial"/>
          <w:b w:val="false"/>
          <w:bCs w:val="false"/>
          <w:i w:val="false"/>
          <w:iCs w:val="false"/>
          <w:sz w:val="22"/>
          <w:szCs w:val="22"/>
          <w:vertAlign w:val="superscript"/>
        </w:rPr>
        <w:t xml:space="preserve">49</w:t>
      </w:r>
      <w:r>
        <w:rPr>
          <w:rFonts w:ascii="Arial" w:cs="Arial" w:eastAsia="Arial" w:hAnsi="Arial"/>
          <w:b w:val="false"/>
          <w:bCs w:val="false"/>
          <w:i w:val="false"/>
          <w:iCs w:val="false"/>
          <w:sz w:val="22"/>
          <w:szCs w:val="22"/>
        </w:rPr>
        <w:t xml:space="preserve"> in the appropriate coordination. The Reaney regimes</w:t>
      </w:r>
      <w:r>
        <w:rPr>
          <w:rFonts w:ascii="Arial" w:cs="Arial" w:eastAsia="Arial" w:hAnsi="Arial"/>
          <w:b w:val="false"/>
          <w:bCs w:val="false"/>
          <w:i w:val="false"/>
          <w:iCs w:val="false"/>
          <w:sz w:val="22"/>
          <w:szCs w:val="22"/>
          <w:vertAlign w:val="superscript"/>
        </w:rPr>
        <w:t xml:space="preserve">3,14</w:t>
      </w:r>
      <w:r>
        <w:rPr>
          <w:rFonts w:ascii="Arial" w:cs="Arial" w:eastAsia="Arial" w:hAnsi="Arial"/>
          <w:b w:val="false"/>
          <w:bCs w:val="false"/>
          <w:i w:val="false"/>
          <w:iCs w:val="false"/>
          <w:sz w:val="22"/>
          <w:szCs w:val="22"/>
        </w:rPr>
        <w:t xml:space="preserve"> partition tolerance-factor space into four classes governing the tilt geometry: Regime III for </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 ≤ 0.965 (antiphase + in-phase tilts); Regime II for 0.965 &lt; </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 ≤ 0.985 (antiphase tilts); Regime Ib for </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 &gt; 0.985 with soft-mode proxy True (incipient ferroelectric); and Regime Ia for </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 &gt; 0.985 with soft-mode proxy False (paraelectric, untilted). The soft-mode proxy is True if and only if the B-site is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(Ti/Nb/Ta/Zr) and the A-site is polarizable (Ba/Sr/Pb/Bi) — a working heuristic introduced in this work, combining the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requirement for soft-mode-driven ferroelectricity</w:t>
      </w:r>
      <w:r>
        <w:rPr>
          <w:rFonts w:ascii="Arial" w:cs="Arial" w:eastAsia="Arial" w:hAnsi="Arial"/>
          <w:b w:val="false"/>
          <w:bCs w:val="false"/>
          <w:i w:val="false"/>
          <w:iCs w:val="false"/>
          <w:sz w:val="22"/>
          <w:szCs w:val="22"/>
          <w:vertAlign w:val="superscript"/>
        </w:rPr>
        <w:t xml:space="preserve">15</w:t>
      </w:r>
      <w:r>
        <w:rPr>
          <w:rFonts w:ascii="Arial" w:cs="Arial" w:eastAsia="Arial" w:hAnsi="Arial"/>
          <w:b w:val="false"/>
          <w:bCs w:val="false"/>
          <w:i w:val="false"/>
          <w:iCs w:val="false"/>
          <w:sz w:val="22"/>
          <w:szCs w:val="22"/>
        </w:rPr>
        <w:t xml:space="preserve"> with A-site polarizability</w:t>
      </w:r>
      <w:r>
        <w:rPr>
          <w:rFonts w:ascii="Arial" w:cs="Arial" w:eastAsia="Arial" w:hAnsi="Arial"/>
          <w:b w:val="false"/>
          <w:bCs w:val="false"/>
          <w:i w:val="false"/>
          <w:iCs w:val="false"/>
          <w:sz w:val="22"/>
          <w:szCs w:val="22"/>
          <w:vertAlign w:val="superscript"/>
        </w:rPr>
        <w:t xml:space="preserve">16,26</w:t>
      </w:r>
      <w:r>
        <w:rPr>
          <w:rFonts w:ascii="Arial" w:cs="Arial" w:eastAsia="Arial" w:hAnsi="Arial"/>
          <w:b w:val="false"/>
          <w:bCs w:val="false"/>
          <w:i w:val="false"/>
          <w:iCs w:val="false"/>
          <w:sz w:val="22"/>
          <w:szCs w:val="22"/>
        </w:rPr>
        <w:t xml:space="preserve">. (4)</w:t>
      </w:r>
    </w:p>
    <w:p>
      <w:pPr>
        <w:spacing w:after="160" w:before="220" w:line="480" w:lineRule="auto"/>
      </w:pPr>
      <w:r>
        <w:rPr>
          <w:rFonts w:ascii="Arial" w:cs="Arial" w:eastAsia="Arial" w:hAnsi="Arial"/>
          <w:b/>
          <w:bCs/>
          <w:i/>
          <w:iCs/>
          <w:color w:val="000000"/>
          <w:sz w:val="22"/>
          <w:szCs w:val="22"/>
        </w:rPr>
        <w:t xml:space="preserve">PCNN architecture</w:t>
      </w:r>
    </w:p>
    <w:p>
      <w:pPr>
        <w:spacing w:after="120" w:line="252" w:lineRule="auto"/>
        <w:jc w:val="left"/>
      </w:pPr>
      <w:r>
        <w:rPr>
          <w:rFonts w:ascii="Arial" w:cs="Arial" w:eastAsia="Arial" w:hAnsi="Arial"/>
          <w:b w:val="false"/>
          <w:bCs w:val="false"/>
          <w:i w:val="false"/>
          <w:iCs w:val="false"/>
          <w:sz w:val="22"/>
          <w:szCs w:val="22"/>
        </w:rPr>
        <w:t xml:space="preserve">The PCNN output is the additive decomposition</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sz w:val="22"/>
          <w:szCs w:val="22"/>
        </w:rPr>
        <w:t xml:space="preserve">	</w:t>
      </w:r>
      <w:r>
        <w:rPr>
          <w:rFonts w:ascii="Arial" w:cs="Arial" w:eastAsia="Arial" w:hAnsi="Arial"/>
          <w:sz w:val="22"/>
          <w:szCs w:val="22"/>
        </w:rPr>
        <w:t xml:space="preserve">(5)</w:t>
      </w:r>
    </w:p>
    <w:p>
      <w:pPr>
        <w:spacing w:after="120" w:line="252" w:lineRule="auto"/>
        <w:jc w:val="left"/>
      </w:pPr>
      <w:r>
        <w:rPr>
          <w:rFonts w:ascii="Arial" w:cs="Arial" w:eastAsia="Arial" w:hAnsi="Arial"/>
          <w:b w:val="false"/>
          <w:bCs w:val="false"/>
          <w:i w:val="false"/>
          <w:iCs w:val="false"/>
          <w:sz w:val="22"/>
          <w:szCs w:val="22"/>
        </w:rPr>
        <w:t xml:space="preserve">where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is analytically evaluated from eq. (1) (parameter-free), and the correction branches are constrained as:</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bscript"/>
        </w:rPr>
        <w:t xml:space="preserve">regime</w:t>
      </w:r>
      <w:r>
        <w:rPr>
          <w:rFonts w:ascii="Arial" w:cs="Arial" w:eastAsia="Arial" w:hAnsi="Arial"/>
          <w:b w:val="false"/>
          <w:bCs w:val="false"/>
          <w:i w:val="false"/>
          <w:iCs w:val="false"/>
          <w:sz w:val="22"/>
          <w:szCs w:val="22"/>
        </w:rPr>
        <w:t xml:space="preserve"> · Softplus(</w:t>
      </w:r>
      <w:r>
        <w:rPr>
          <w:rFonts w:ascii="Arial" w:cs="Arial" w:eastAsia="Arial" w:hAnsi="Arial"/>
          <w:b w:val="false"/>
          <w:bCs w:val="false"/>
          <w:i/>
          <w:iCs/>
          <w:sz w:val="22"/>
          <w:szCs w:val="22"/>
        </w:rPr>
        <w:t xml:space="preserve">h</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w:t>
      </w:r>
      <w:r>
        <w:rPr>
          <w:rFonts w:ascii="Arial" w:cs="Arial" w:eastAsia="Arial" w:hAnsi="Arial"/>
          <w:sz w:val="22"/>
          <w:szCs w:val="22"/>
        </w:rPr>
        <w:t xml:space="preserve">	</w:t>
      </w:r>
      <w:r>
        <w:rPr>
          <w:rFonts w:ascii="Arial" w:cs="Arial" w:eastAsia="Arial" w:hAnsi="Arial"/>
          <w:sz w:val="22"/>
          <w:szCs w:val="22"/>
        </w:rPr>
        <w:t xml:space="preserve">(6)</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 −Softplus(</w:t>
      </w:r>
      <w:r>
        <w:rPr>
          <w:rFonts w:ascii="Arial" w:cs="Arial" w:eastAsia="Arial" w:hAnsi="Arial"/>
          <w:b w:val="false"/>
          <w:bCs w:val="false"/>
          <w:i/>
          <w:iCs/>
          <w:sz w:val="22"/>
          <w:szCs w:val="22"/>
        </w:rPr>
        <w:t xml:space="preserve">h</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w:t>
      </w:r>
      <w:r>
        <w:rPr>
          <w:rFonts w:ascii="Arial" w:cs="Arial" w:eastAsia="Arial" w:hAnsi="Arial"/>
          <w:sz w:val="22"/>
          <w:szCs w:val="22"/>
        </w:rPr>
        <w:t xml:space="preserve">	</w:t>
      </w:r>
      <w:r>
        <w:rPr>
          <w:rFonts w:ascii="Arial" w:cs="Arial" w:eastAsia="Arial" w:hAnsi="Arial"/>
          <w:sz w:val="22"/>
          <w:szCs w:val="22"/>
        </w:rPr>
        <w:t xml:space="preserve">(7)</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tanh(</w:t>
      </w:r>
      <w:r>
        <w:rPr>
          <w:rFonts w:ascii="Arial" w:cs="Arial" w:eastAsia="Arial" w:hAnsi="Arial"/>
          <w:b w:val="false"/>
          <w:bCs w:val="false"/>
          <w:i/>
          <w:iCs/>
          <w:sz w:val="22"/>
          <w:szCs w:val="22"/>
        </w:rPr>
        <w:t xml:space="preserve">h</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bscript"/>
        </w:rPr>
        <w:t xml:space="preserve">res</w:t>
      </w:r>
      <w:r>
        <w:rPr>
          <w:rFonts w:ascii="Arial" w:cs="Arial" w:eastAsia="Arial" w:hAnsi="Arial"/>
          <w:sz w:val="22"/>
          <w:szCs w:val="22"/>
        </w:rPr>
        <w:t xml:space="preserve">	</w:t>
      </w:r>
      <w:r>
        <w:rPr>
          <w:rFonts w:ascii="Arial" w:cs="Arial" w:eastAsia="Arial" w:hAnsi="Arial"/>
          <w:sz w:val="22"/>
          <w:szCs w:val="22"/>
        </w:rPr>
        <w:t xml:space="preserve">(8)</w:t>
      </w:r>
    </w:p>
    <w:p>
      <w:pPr>
        <w:spacing w:after="120" w:line="252" w:lineRule="auto"/>
        <w:jc w:val="left"/>
      </w:pPr>
      <w:r>
        <w:rPr>
          <w:rFonts w:ascii="Arial" w:cs="Arial" w:eastAsia="Arial" w:hAnsi="Arial"/>
          <w:b w:val="false"/>
          <w:bCs w:val="false"/>
          <w:i w:val="false"/>
          <w:iCs w:val="false"/>
          <w:sz w:val="22"/>
          <w:szCs w:val="22"/>
        </w:rPr>
        <w:t xml:space="preserve">where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bscript"/>
        </w:rPr>
        <w:t xml:space="preserve">regime</w:t>
      </w:r>
      <w:r>
        <w:rPr>
          <w:rFonts w:ascii="Arial" w:cs="Arial" w:eastAsia="Arial" w:hAnsi="Arial"/>
          <w:b w:val="false"/>
          <w:bCs w:val="false"/>
          <w:i w:val="false"/>
          <w:iCs w:val="false"/>
          <w:sz w:val="22"/>
          <w:szCs w:val="22"/>
        </w:rPr>
        <w:t xml:space="preserve"> ∈ {1.0, 1.5, 0.9, 0.7} for Reaney regimes {Ia, Ib, II, III} is a fixed, non-learnable per-regime prior on the LST branch — initialised from Reaney regime taxonomy</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and held fixed throughout training and inference; </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 48.2 is a learned scale (initialised at 44.9); and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is a fixed, physics-based confidence gate:</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 sigmoid(</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0</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1</w:t>
      </w:r>
      <w:r>
        <w:rPr>
          <w:rFonts w:ascii="Arial" w:cs="Arial" w:eastAsia="Arial" w:hAnsi="Arial"/>
          <w:b w:val="false"/>
          <w:bCs w:val="false"/>
          <w:i/>
          <w:iCs/>
          <w:sz w:val="22"/>
          <w:szCs w:val="22"/>
        </w:rPr>
        <w:t xml:space="preserve">c</w:t>
      </w:r>
      <w:r>
        <w:rPr>
          <w:rFonts w:ascii="Arial" w:cs="Arial" w:eastAsia="Arial" w:hAnsi="Arial"/>
          <w:b w:val="false"/>
          <w:bCs w:val="false"/>
          <w:i w:val="false"/>
          <w:iCs w:val="false"/>
          <w:sz w:val="22"/>
          <w:szCs w:val="22"/>
          <w:vertAlign w:val="subscript"/>
        </w:rPr>
        <w:t xml:space="preserve">approx</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2</w:t>
      </w:r>
      <w:r>
        <w:rPr>
          <w:rFonts w:ascii="Arial" w:cs="Arial" w:eastAsia="Arial" w:hAnsi="Arial"/>
          <w:b w:val="false"/>
          <w:bCs w:val="false"/>
          <w:i/>
          <w:iCs/>
          <w:sz w:val="22"/>
          <w:szCs w:val="22"/>
        </w:rPr>
        <w:t xml:space="preserve">g</w:t>
      </w:r>
      <w:r>
        <w:rPr>
          <w:rFonts w:ascii="Arial" w:cs="Arial" w:eastAsia="Arial" w:hAnsi="Arial"/>
          <w:b w:val="false"/>
          <w:bCs w:val="false"/>
          <w:i w:val="false"/>
          <w:iCs w:val="false"/>
          <w:sz w:val="22"/>
          <w:szCs w:val="22"/>
          <w:vertAlign w:val="subscript"/>
        </w:rPr>
        <w:t xml:space="preserve">norm</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w:t>
      </w:r>
      <w:r>
        <w:rPr>
          <w:rFonts w:ascii="Arial" w:cs="Arial" w:eastAsia="Arial" w:hAnsi="Arial"/>
          <w:sz w:val="22"/>
          <w:szCs w:val="22"/>
        </w:rPr>
        <w:t xml:space="preserve">	</w:t>
      </w:r>
      <w:r>
        <w:rPr>
          <w:rFonts w:ascii="Arial" w:cs="Arial" w:eastAsia="Arial" w:hAnsi="Arial"/>
          <w:sz w:val="22"/>
          <w:szCs w:val="22"/>
        </w:rPr>
        <w:t xml:space="preserve">(9)</w:t>
      </w:r>
    </w:p>
    <w:p>
      <w:pPr>
        <w:spacing w:after="120" w:line="252" w:lineRule="auto"/>
        <w:jc w:val="left"/>
      </w:pPr>
      <w:r>
        <w:rPr>
          <w:rFonts w:ascii="Arial" w:cs="Arial" w:eastAsia="Arial" w:hAnsi="Arial"/>
          <w:b w:val="false"/>
          <w:bCs w:val="false"/>
          <w:i w:val="false"/>
          <w:iCs w:val="false"/>
          <w:sz w:val="22"/>
          <w:szCs w:val="22"/>
        </w:rPr>
        <w:t xml:space="preserve">with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rPr>
        <w:t xml:space="preserve"> = (−2.0, 3.0, 2.0, 2.0) chosen on physical priors before training and held fixed (non-learnable):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0</w:t>
      </w:r>
      <w:r>
        <w:rPr>
          <w:rFonts w:ascii="Arial" w:cs="Arial" w:eastAsia="Arial" w:hAnsi="Arial"/>
          <w:b w:val="false"/>
          <w:bCs w:val="false"/>
          <w:i w:val="false"/>
          <w:iCs w:val="false"/>
          <w:sz w:val="22"/>
          <w:szCs w:val="22"/>
        </w:rPr>
        <w:t xml:space="preserve"> sets a low base activation;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1</w:t>
      </w:r>
      <w:r>
        <w:rPr>
          <w:rFonts w:ascii="Arial" w:cs="Arial" w:eastAsia="Arial" w:hAnsi="Arial"/>
          <w:b w:val="false"/>
          <w:bCs w:val="false"/>
          <w:i w:val="false"/>
          <w:iCs w:val="false"/>
          <w:sz w:val="22"/>
          <w:szCs w:val="22"/>
        </w:rPr>
        <w:t xml:space="preserve"> on the binary VCA indicator </w:t>
      </w:r>
      <w:r>
        <w:rPr>
          <w:rFonts w:ascii="Arial" w:cs="Arial" w:eastAsia="Arial" w:hAnsi="Arial"/>
          <w:b w:val="false"/>
          <w:bCs w:val="false"/>
          <w:i/>
          <w:iCs/>
          <w:sz w:val="22"/>
          <w:szCs w:val="22"/>
        </w:rPr>
        <w:t xml:space="preserve">c</w:t>
      </w:r>
      <w:r>
        <w:rPr>
          <w:rFonts w:ascii="Arial" w:cs="Arial" w:eastAsia="Arial" w:hAnsi="Arial"/>
          <w:b w:val="false"/>
          <w:bCs w:val="false"/>
          <w:i w:val="false"/>
          <w:iCs w:val="false"/>
          <w:sz w:val="22"/>
          <w:szCs w:val="22"/>
          <w:vertAlign w:val="subscript"/>
        </w:rPr>
        <w:t xml:space="preserve">approx</w:t>
      </w:r>
      <w:r>
        <w:rPr>
          <w:rFonts w:ascii="Arial" w:cs="Arial" w:eastAsia="Arial" w:hAnsi="Arial"/>
          <w:b w:val="false"/>
          <w:bCs w:val="false"/>
          <w:i w:val="false"/>
          <w:iCs w:val="false"/>
          <w:sz w:val="22"/>
          <w:szCs w:val="22"/>
        </w:rPr>
        <w:t xml:space="preserve"> raises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for virtual-crystal-approximated baselines (151 of 1,124 valid-CM);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2</w:t>
      </w:r>
      <w:r>
        <w:rPr>
          <w:rFonts w:ascii="Arial" w:cs="Arial" w:eastAsia="Arial" w:hAnsi="Arial"/>
          <w:b w:val="false"/>
          <w:bCs w:val="false"/>
          <w:i w:val="false"/>
          <w:iCs w:val="false"/>
          <w:sz w:val="22"/>
          <w:szCs w:val="22"/>
        </w:rPr>
        <w:t xml:space="preserve"> on </w:t>
      </w:r>
      <w:r>
        <w:rPr>
          <w:rFonts w:ascii="Arial" w:cs="Arial" w:eastAsia="Arial" w:hAnsi="Arial"/>
          <w:b w:val="false"/>
          <w:bCs w:val="false"/>
          <w:i/>
          <w:iCs/>
          <w:sz w:val="22"/>
          <w:szCs w:val="22"/>
        </w:rPr>
        <w:t xml:space="preserve">g</w:t>
      </w:r>
      <w:r>
        <w:rPr>
          <w:rFonts w:ascii="Arial" w:cs="Arial" w:eastAsia="Arial" w:hAnsi="Arial"/>
          <w:b w:val="false"/>
          <w:bCs w:val="false"/>
          <w:i w:val="false"/>
          <w:iCs w:val="false"/>
          <w:sz w:val="22"/>
          <w:szCs w:val="22"/>
          <w:vertAlign w:val="subscript"/>
        </w:rPr>
        <w:t xml:space="preserve">norm</w:t>
      </w:r>
      <w:r>
        <w:rPr>
          <w:rFonts w:ascii="Arial" w:cs="Arial" w:eastAsia="Arial" w:hAnsi="Arial"/>
          <w:b w:val="false"/>
          <w:bCs w:val="false"/>
          <w:i w:val="false"/>
          <w:iCs w:val="false"/>
          <w:sz w:val="22"/>
          <w:szCs w:val="22"/>
        </w:rPr>
        <w:t xml:space="preserve"> (normalised global instability index) raises it on bond-valence-unstable structures;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on the binary phase descriptor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flags ambiguous-phase entries. The four </w:t>
      </w:r>
      <w:r>
        <w:rPr>
          <w:rFonts w:ascii="Arial" w:cs="Arial" w:eastAsia="Arial" w:hAnsi="Arial"/>
          <w:b w:val="false"/>
          <w:bCs w:val="false"/>
          <w:i/>
          <w:iCs/>
          <w:sz w:val="22"/>
          <w:szCs w:val="22"/>
        </w:rPr>
        <w:t xml:space="preserve">β</w:t>
      </w:r>
      <w:r>
        <w:rPr>
          <w:rFonts w:ascii="Arial" w:cs="Arial" w:eastAsia="Arial" w:hAnsi="Arial"/>
          <w:b w:val="false"/>
          <w:bCs w:val="false"/>
          <w:i w:val="false"/>
          <w:iCs w:val="false"/>
          <w:sz w:val="22"/>
          <w:szCs w:val="22"/>
        </w:rPr>
        <w:t xml:space="preserve"> are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tuned on the 116-sample calibration set; under ±50% perturbation of each (9 perturbations × 5 seeds = 45 retrainings; Supplementary Fig. 24), the Pb &gt; Ca &gt; La &gt; Sr &gt; Ba hierarchy is preserved in every perturbation, with per-A-site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varying by ≤ 0.02 and holdout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in 0.929–0.937. The branch raw outputs are produced by feed-forward sub-networks operating on the 192-dimensional trunk representation concatenated with each branch's feature partition.</w:t>
      </w:r>
    </w:p>
    <w:p>
      <w:pPr>
        <w:spacing w:after="120" w:line="252" w:lineRule="auto"/>
        <w:jc w:val="left"/>
      </w:pPr>
      <w:r>
        <w:rPr>
          <w:rFonts w:ascii="Arial" w:cs="Arial" w:eastAsia="Arial" w:hAnsi="Arial"/>
          <w:b w:val="false"/>
          <w:bCs w:val="false"/>
          <w:i w:val="false"/>
          <w:iCs w:val="false"/>
          <w:sz w:val="22"/>
          <w:szCs w:val="22"/>
        </w:rPr>
        <w:t xml:space="preserve">We define the soft-mode amplification factor</w:t>
      </w:r>
    </w:p>
    <w:p>
      <w:pPr>
        <w:tabs>
          <w:tab w:val="center" w:pos="4824"/>
          <w:tab w:val="right" w:pos="9648"/>
        </w:tabs>
        <w:spacing w:after="240" w:before="240" w:line="360" w:lineRule="auto"/>
        <w:jc w:val="left"/>
      </w:pPr>
      <w:r>
        <w:rPr>
          <w:rFonts w:ascii="Arial" w:cs="Arial" w:eastAsia="Arial" w:hAnsi="Arial"/>
          <w:sz w:val="22"/>
          <w:szCs w:val="22"/>
        </w:rPr>
        <w:t xml:space="preserve">	</w:t>
      </w:r>
      <m:oMath>
        <m:sSub>
          <m:sSubPr/>
          <m:e>
            <m:r>
              <m:t>f</m:t>
            </m:r>
          </m:e>
          <m:sub>
            <m:r>
              <m:t>LST</m:t>
            </m:r>
          </m:sub>
        </m:sSub>
        <m:r>
          <m:t> = </m:t>
        </m:r>
        <m:f>
          <m:num>
            <m:sSub>
              <m:sSubPr/>
              <m:e>
                <m:r>
                  <m:t>δ</m:t>
                </m:r>
              </m:e>
              <m:sub>
                <m:r>
                  <m:t>LST</m:t>
                </m:r>
              </m:sub>
            </m:sSub>
          </m:num>
          <m:den>
            <m:sSub>
              <m:sSubPr/>
              <m:e>
                <m:r>
                  <m:t>ε</m:t>
                </m:r>
              </m:e>
              <m:sub>
                <m:r>
                  <m:t>r,CM</m:t>
                </m:r>
              </m:sub>
            </m:sSub>
          </m:den>
        </m:f>
      </m:oMath>
      <w:r>
        <w:rPr>
          <w:rFonts w:ascii="Arial" w:cs="Arial" w:eastAsia="Arial" w:hAnsi="Arial"/>
          <w:sz w:val="22"/>
          <w:szCs w:val="22"/>
        </w:rPr>
        <w:t xml:space="preserve">	</w:t>
      </w:r>
      <w:r>
        <w:rPr>
          <w:rFonts w:ascii="Arial" w:cs="Arial" w:eastAsia="Arial" w:hAnsi="Arial"/>
          <w:sz w:val="22"/>
          <w:szCs w:val="22"/>
        </w:rPr>
        <w:t xml:space="preserve">(10)</w:t>
      </w:r>
    </w:p>
    <w:p>
      <w:pPr>
        <w:spacing w:after="120" w:line="252" w:lineRule="auto"/>
        <w:jc w:val="left"/>
      </w:pPr>
      <w:r>
        <w:rPr>
          <w:rFonts w:ascii="Arial" w:cs="Arial" w:eastAsia="Arial" w:hAnsi="Arial"/>
          <w:b w:val="false"/>
          <w:bCs w:val="false"/>
          <w:i w:val="false"/>
          <w:iCs w:val="false"/>
          <w:sz w:val="22"/>
          <w:szCs w:val="22"/>
        </w:rPr>
        <w:t xml:space="preserve">as the lattice contribution expressed as a multiple of the electronic baseline; it is the primary metric used for the A-site comparison in Results and for setting the LST capacity bound (below).</w:t>
      </w:r>
    </w:p>
    <w:p>
      <w:pPr>
        <w:spacing w:after="120" w:line="252" w:lineRule="auto"/>
        <w:jc w:val="left"/>
      </w:pPr>
      <w:r>
        <w:rPr>
          <w:rFonts w:ascii="Arial" w:cs="Arial" w:eastAsia="Arial" w:hAnsi="Arial"/>
          <w:b w:val="false"/>
          <w:bCs w:val="false"/>
          <w:i w:val="false"/>
          <w:iCs w:val="false"/>
          <w:sz w:val="22"/>
          <w:szCs w:val="22"/>
        </w:rPr>
        <w:t xml:space="preserve">The shared trunk maps the 103 input features through four fully connected hidden layers (two central layers forming a residual block) to a 192-dimensional representation. Each branch sub-network concatenates this trunk output with its feature partition and applies a small feed-forward head with SiLU activations, LayerNorm per branch, and the output activations of eqs. (6)–(8); full per-layer widths are in Supplementary Table 6. For the ≈14% of compositions for which CM is undefined (mostly layered/homologous and untabulated-ion stoichiometries) a no-CM fallback MLP predicts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directly. The PCNN forward pass, conformal calibration, inverse design and applicability-domain procedures are detailed in algorithmic form in Supplementary Note 3.</w:t>
      </w:r>
    </w:p>
    <w:p>
      <w:pPr>
        <w:spacing w:after="160" w:before="220" w:line="480" w:lineRule="auto"/>
      </w:pPr>
      <w:r>
        <w:rPr>
          <w:rFonts w:ascii="Arial" w:cs="Arial" w:eastAsia="Arial" w:hAnsi="Arial"/>
          <w:b/>
          <w:bCs/>
          <w:i/>
          <w:iCs/>
          <w:color w:val="000000"/>
          <w:sz w:val="22"/>
          <w:szCs w:val="22"/>
        </w:rPr>
        <w:t xml:space="preserve">Training procedure</w:t>
      </w:r>
    </w:p>
    <w:p>
      <w:pPr>
        <w:spacing w:after="120" w:line="252" w:lineRule="auto"/>
        <w:jc w:val="left"/>
      </w:pPr>
      <w:r>
        <w:rPr>
          <w:rFonts w:ascii="Arial" w:cs="Arial" w:eastAsia="Arial" w:hAnsi="Arial"/>
          <w:b w:val="false"/>
          <w:bCs w:val="false"/>
          <w:i w:val="false"/>
          <w:iCs w:val="false"/>
          <w:sz w:val="22"/>
          <w:szCs w:val="22"/>
        </w:rPr>
        <w:t xml:space="preserve">We optimise the network with AdamW</w:t>
      </w:r>
      <w:r>
        <w:rPr>
          <w:rFonts w:ascii="Arial" w:cs="Arial" w:eastAsia="Arial" w:hAnsi="Arial"/>
          <w:b w:val="false"/>
          <w:bCs w:val="false"/>
          <w:i w:val="false"/>
          <w:iCs w:val="false"/>
          <w:sz w:val="22"/>
          <w:szCs w:val="22"/>
          <w:vertAlign w:val="superscript"/>
        </w:rPr>
        <w:t xml:space="preserve">50</w:t>
      </w:r>
      <w:r>
        <w:rPr>
          <w:rFonts w:ascii="Arial" w:cs="Arial" w:eastAsia="Arial" w:hAnsi="Arial"/>
          <w:b w:val="false"/>
          <w:bCs w:val="false"/>
          <w:i w:val="false"/>
          <w:iCs w:val="false"/>
          <w:sz w:val="22"/>
          <w:szCs w:val="22"/>
        </w:rPr>
        <w:t xml:space="preserve"> (learning rate 1.107 × 10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weight decay 2.301 × 10</w:t>
      </w:r>
      <w:r>
        <w:rPr>
          <w:rFonts w:ascii="Arial" w:cs="Arial" w:eastAsia="Arial" w:hAnsi="Arial"/>
          <w:b w:val="false"/>
          <w:bCs w:val="false"/>
          <w:i w:val="false"/>
          <w:iCs w:val="false"/>
          <w:sz w:val="22"/>
          <w:szCs w:val="22"/>
          <w:vertAlign w:val="superscript"/>
        </w:rPr>
        <w:t xml:space="preserve">−5</w:t>
      </w:r>
      <w:r>
        <w:rPr>
          <w:rFonts w:ascii="Arial" w:cs="Arial" w:eastAsia="Arial" w:hAnsi="Arial"/>
          <w:b w:val="false"/>
          <w:bCs w:val="false"/>
          <w:i w:val="false"/>
          <w:iCs w:val="false"/>
          <w:sz w:val="22"/>
          <w:szCs w:val="22"/>
        </w:rPr>
        <w:t xml:space="preserve">, batch size 128, 500 epochs, early-stop patience 100). Mixup</w:t>
      </w:r>
      <w:r>
        <w:rPr>
          <w:rFonts w:ascii="Arial" w:cs="Arial" w:eastAsia="Arial" w:hAnsi="Arial"/>
          <w:b w:val="false"/>
          <w:bCs w:val="false"/>
          <w:i w:val="false"/>
          <w:iCs w:val="false"/>
          <w:sz w:val="22"/>
          <w:szCs w:val="22"/>
          <w:vertAlign w:val="superscript"/>
        </w:rPr>
        <w:t xml:space="preserve">51</w:t>
      </w:r>
      <w:r>
        <w:rPr>
          <w:rFonts w:ascii="Arial" w:cs="Arial" w:eastAsia="Arial" w:hAnsi="Arial"/>
          <w:b w:val="false"/>
          <w:bCs w:val="false"/>
          <w:i w:val="false"/>
          <w:iCs w:val="false"/>
          <w:sz w:val="22"/>
          <w:szCs w:val="22"/>
        </w:rPr>
        <w:t xml:space="preserve"> augmentation (</w:t>
      </w:r>
      <w:r>
        <w:rPr>
          <w:rFonts w:ascii="Arial" w:cs="Arial" w:eastAsia="Arial" w:hAnsi="Arial"/>
          <w:b w:val="false"/>
          <w:bCs w:val="false"/>
          <w:i/>
          <w:iCs/>
          <w:sz w:val="22"/>
          <w:szCs w:val="22"/>
        </w:rPr>
        <w:t xml:space="preserve">α</w:t>
      </w:r>
      <w:r>
        <w:rPr>
          <w:rFonts w:ascii="Arial" w:cs="Arial" w:eastAsia="Arial" w:hAnsi="Arial"/>
          <w:b w:val="false"/>
          <w:bCs w:val="false"/>
          <w:i w:val="false"/>
          <w:iCs w:val="false"/>
          <w:sz w:val="22"/>
          <w:szCs w:val="22"/>
        </w:rPr>
        <w:t xml:space="preserve"> = 0.025) and stochastic weight averaging</w:t>
      </w:r>
      <w:r>
        <w:rPr>
          <w:rFonts w:ascii="Arial" w:cs="Arial" w:eastAsia="Arial" w:hAnsi="Arial"/>
          <w:b w:val="false"/>
          <w:bCs w:val="false"/>
          <w:i w:val="false"/>
          <w:iCs w:val="false"/>
          <w:sz w:val="22"/>
          <w:szCs w:val="22"/>
          <w:vertAlign w:val="superscript"/>
        </w:rPr>
        <w:t xml:space="preserve">52</w:t>
      </w:r>
      <w:r>
        <w:rPr>
          <w:rFonts w:ascii="Arial" w:cs="Arial" w:eastAsia="Arial" w:hAnsi="Arial"/>
          <w:b w:val="false"/>
          <w:bCs w:val="false"/>
          <w:i w:val="false"/>
          <w:iCs w:val="false"/>
          <w:sz w:val="22"/>
          <w:szCs w:val="22"/>
        </w:rPr>
        <w:t xml:space="preserve"> (engaged from epoch fraction 0.765 at SWA lr 2.513 × 10</w:t>
      </w:r>
      <w:r>
        <w:rPr>
          <w:rFonts w:ascii="Arial" w:cs="Arial" w:eastAsia="Arial" w:hAnsi="Arial"/>
          <w:b w:val="false"/>
          <w:bCs w:val="false"/>
          <w:i w:val="false"/>
          <w:iCs w:val="false"/>
          <w:sz w:val="22"/>
          <w:szCs w:val="22"/>
          <w:vertAlign w:val="superscript"/>
        </w:rPr>
        <w:t xml:space="preserve">−5</w:t>
      </w:r>
      <w:r>
        <w:rPr>
          <w:rFonts w:ascii="Arial" w:cs="Arial" w:eastAsia="Arial" w:hAnsi="Arial"/>
          <w:b w:val="false"/>
          <w:bCs w:val="false"/>
          <w:i w:val="false"/>
          <w:iCs w:val="false"/>
          <w:sz w:val="22"/>
          <w:szCs w:val="22"/>
        </w:rPr>
        <w:t xml:space="preserve">) give the final SWA weights. Training runs on a consumer laptop CPU in tens of minutes per seed (5-seed ensemble in under an hour); inference is sub-second per composition. The loss is</w:t>
      </w:r>
    </w:p>
    <w:p>
      <w:pPr>
        <w:tabs>
          <w:tab w:val="center" w:pos="4824"/>
          <w:tab w:val="right" w:pos="9648"/>
        </w:tabs>
        <w:spacing w:after="240" w:before="240" w:line="360" w:lineRule="auto"/>
        <w:jc w:val="left"/>
      </w:pPr>
      <w:r>
        <w:rPr>
          <w:rFonts w:ascii="Arial" w:cs="Arial" w:eastAsia="Arial" w:hAnsi="Arial"/>
          <w:sz w:val="22"/>
          <w:szCs w:val="22"/>
        </w:rPr>
        <w:t xml:space="preserve">	</w:t>
      </w:r>
      <m:oMath>
        <m:r>
          <m:t>L</m:t>
        </m:r>
        <m:r>
          <m:t> = </m:t>
        </m:r>
        <m:sSub>
          <m:sSubPr/>
          <m:e>
            <m:r>
              <m:t>α</m:t>
            </m:r>
          </m:e>
          <m:sub>
            <m:r>
              <m:t>log</m:t>
            </m:r>
          </m:sub>
        </m:sSub>
        <m:sSub>
          <m:sSubPr/>
          <m:e>
            <m:r>
              <m:t>L</m:t>
            </m:r>
          </m:e>
          <m:sub>
            <m:r>
              <m:t>log</m:t>
            </m:r>
          </m:sub>
        </m:sSub>
        <m:r>
          <m:t> + </m:t>
        </m:r>
        <m:d>
          <m:dPr/>
          <m:e>
            <m:r>
              <m:t>1 − </m:t>
            </m:r>
            <m:sSub>
              <m:sSubPr/>
              <m:e>
                <m:r>
                  <m:t>α</m:t>
                </m:r>
              </m:e>
              <m:sub>
                <m:r>
                  <m:t>log</m:t>
                </m:r>
              </m:sub>
            </m:sSub>
          </m:e>
        </m:d>
        <m:r>
          <m:t> </m:t>
        </m:r>
        <m:func>
          <m:funcPr/>
          <m:fName>
            <m:r>
              <m:t>MSE</m:t>
            </m:r>
          </m:fName>
          <m:e>
            <m:d>
              <m:dPr/>
              <m:e>
                <m:sSub>
                  <m:sSubPr/>
                  <m:e>
                    <m:r>
                      <m:t>ε</m:t>
                    </m:r>
                  </m:e>
                  <m:sub>
                    <m:r>
                      <m:t>r</m:t>
                    </m:r>
                  </m:sub>
                </m:sSub>
                <m:r>
                  <m:t>, </m:t>
                </m:r>
                <m:sSub>
                  <m:sSubPr/>
                  <m:e>
                    <m:r>
                      <m:t>ε̂</m:t>
                    </m:r>
                  </m:e>
                  <m:sub>
                    <m:r>
                      <m:t>r</m:t>
                    </m:r>
                  </m:sub>
                </m:sSub>
              </m:e>
            </m:d>
          </m:e>
        </m:func>
        <m:r>
          <m:t> + </m:t>
        </m:r>
        <m:sSub>
          <m:sSubPr/>
          <m:e>
            <m:r>
              <m:t>λ</m:t>
            </m:r>
          </m:e>
          <m:sub>
            <m:r>
              <m:t>LST</m:t>
            </m:r>
          </m:sub>
        </m:sSub>
        <m:sSub>
          <m:sSubPr/>
          <m:e>
            <m:r>
              <m:t>L</m:t>
            </m:r>
          </m:e>
          <m:sub>
            <m:r>
              <m:t>LST</m:t>
            </m:r>
          </m:sub>
        </m:sSub>
        <m:r>
          <m:t> + </m:t>
        </m:r>
        <m:sSub>
          <m:sSubPr/>
          <m:e>
            <m:r>
              <m:t>λ</m:t>
            </m:r>
          </m:e>
          <m:sub>
            <m:r>
              <m:t>GII</m:t>
            </m:r>
          </m:sub>
        </m:sSub>
        <m:sSub>
          <m:sSubPr/>
          <m:e>
            <m:r>
              <m:t>L</m:t>
            </m:r>
          </m:e>
          <m:sub>
            <m:r>
              <m:t>GII</m:t>
            </m:r>
          </m:sub>
        </m:sSub>
        <m:r>
          <m:t> + </m:t>
        </m:r>
        <m:sSub>
          <m:sSubPr/>
          <m:e>
            <m:r>
              <m:t>λ</m:t>
            </m:r>
          </m:e>
          <m:sub>
            <m:r>
              <m:t>VCA</m:t>
            </m:r>
          </m:sub>
        </m:sSub>
        <m:sSub>
          <m:sSubPr/>
          <m:e>
            <m:r>
              <m:t>L</m:t>
            </m:r>
          </m:e>
          <m:sub>
            <m:r>
              <m:t>VCA</m:t>
            </m:r>
          </m:sub>
        </m:sSub>
      </m:oMath>
      <w:r>
        <w:rPr>
          <w:rFonts w:ascii="Arial" w:cs="Arial" w:eastAsia="Arial" w:hAnsi="Arial"/>
          <w:sz w:val="22"/>
          <w:szCs w:val="22"/>
        </w:rPr>
        <w:t xml:space="preserve">	</w:t>
      </w:r>
      <w:r>
        <w:rPr>
          <w:rFonts w:ascii="Arial" w:cs="Arial" w:eastAsia="Arial" w:hAnsi="Arial"/>
          <w:sz w:val="22"/>
          <w:szCs w:val="22"/>
        </w:rPr>
        <w:t xml:space="preserve">(11)</w:t>
      </w:r>
    </w:p>
    <w:p>
      <w:pPr>
        <w:spacing w:after="120" w:line="252" w:lineRule="auto"/>
        <w:jc w:val="left"/>
      </w:pPr>
      <w:r>
        <w:rPr>
          <w:rFonts w:ascii="Arial" w:cs="Arial" w:eastAsia="Arial" w:hAnsi="Arial"/>
          <w:b w:val="false"/>
          <w:bCs w:val="false"/>
          <w:i w:val="false"/>
          <w:iCs w:val="false"/>
          <w:sz w:val="22"/>
          <w:szCs w:val="22"/>
        </w:rPr>
        <w:t xml:space="preserve">with </w:t>
      </w:r>
      <w:r>
        <w:rPr>
          <w:rFonts w:ascii="Arial" w:cs="Arial" w:eastAsia="Arial" w:hAnsi="Arial"/>
          <w:b w:val="false"/>
          <w:bCs w:val="false"/>
          <w:i/>
          <w:iCs/>
          <w:sz w:val="22"/>
          <w:szCs w:val="22"/>
        </w:rPr>
        <w:t xml:space="preserve">λ</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1.484 × 10</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λ</w:t>
      </w:r>
      <w:r>
        <w:rPr>
          <w:rFonts w:ascii="Arial" w:cs="Arial" w:eastAsia="Arial" w:hAnsi="Arial"/>
          <w:b w:val="false"/>
          <w:bCs w:val="false"/>
          <w:i w:val="false"/>
          <w:iCs w:val="false"/>
          <w:sz w:val="22"/>
          <w:szCs w:val="22"/>
          <w:vertAlign w:val="subscript"/>
        </w:rPr>
        <w:t xml:space="preserve">GII</w:t>
      </w:r>
      <w:r>
        <w:rPr>
          <w:rFonts w:ascii="Arial" w:cs="Arial" w:eastAsia="Arial" w:hAnsi="Arial"/>
          <w:b w:val="false"/>
          <w:bCs w:val="false"/>
          <w:i w:val="false"/>
          <w:iCs w:val="false"/>
          <w:sz w:val="22"/>
          <w:szCs w:val="22"/>
        </w:rPr>
        <w:t xml:space="preserve"> = 0.030, </w:t>
      </w:r>
      <w:r>
        <w:rPr>
          <w:rFonts w:ascii="Arial" w:cs="Arial" w:eastAsia="Arial" w:hAnsi="Arial"/>
          <w:b w:val="false"/>
          <w:bCs w:val="false"/>
          <w:i/>
          <w:iCs/>
          <w:sz w:val="22"/>
          <w:szCs w:val="22"/>
        </w:rPr>
        <w:t xml:space="preserve">λ</w:t>
      </w:r>
      <w:r>
        <w:rPr>
          <w:rFonts w:ascii="Arial" w:cs="Arial" w:eastAsia="Arial" w:hAnsi="Arial"/>
          <w:b w:val="false"/>
          <w:bCs w:val="false"/>
          <w:i w:val="false"/>
          <w:iCs w:val="false"/>
          <w:sz w:val="22"/>
          <w:szCs w:val="22"/>
          <w:vertAlign w:val="subscript"/>
        </w:rPr>
        <w:t xml:space="preserve">VCA</w:t>
      </w:r>
      <w:r>
        <w:rPr>
          <w:rFonts w:ascii="Arial" w:cs="Arial" w:eastAsia="Arial" w:hAnsi="Arial"/>
          <w:b w:val="false"/>
          <w:bCs w:val="false"/>
          <w:i w:val="false"/>
          <w:iCs w:val="false"/>
          <w:sz w:val="22"/>
          <w:szCs w:val="22"/>
        </w:rPr>
        <w:t xml:space="preserve"> = 4.470 × 10</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and log-loss weight </w:t>
      </w:r>
      <w:r>
        <w:rPr>
          <w:rFonts w:ascii="Arial" w:cs="Arial" w:eastAsia="Arial" w:hAnsi="Arial"/>
          <w:b w:val="false"/>
          <w:bCs w:val="false"/>
          <w:i/>
          <w:iCs/>
          <w:sz w:val="22"/>
          <w:szCs w:val="22"/>
        </w:rPr>
        <w:t xml:space="preserve">α</w:t>
      </w:r>
      <w:r>
        <w:rPr>
          <w:rFonts w:ascii="Arial" w:cs="Arial" w:eastAsia="Arial" w:hAnsi="Arial"/>
          <w:b w:val="false"/>
          <w:bCs w:val="false"/>
          <w:i w:val="false"/>
          <w:iCs w:val="false"/>
          <w:sz w:val="22"/>
          <w:szCs w:val="22"/>
          <w:vertAlign w:val="subscript"/>
        </w:rPr>
        <w:t xml:space="preserve">log</w:t>
      </w:r>
      <w:r>
        <w:rPr>
          <w:rFonts w:ascii="Arial" w:cs="Arial" w:eastAsia="Arial" w:hAnsi="Arial"/>
          <w:b w:val="false"/>
          <w:bCs w:val="false"/>
          <w:i w:val="false"/>
          <w:iCs w:val="false"/>
          <w:sz w:val="22"/>
          <w:szCs w:val="22"/>
        </w:rPr>
        <w:t xml:space="preserve"> = 0.505. The three physics penalties have explicit forms:</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 ReLU(</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− 5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w:t>
      </w:r>
      <w:r>
        <w:rPr>
          <w:rFonts w:ascii="Arial" w:cs="Arial" w:eastAsia="Arial" w:hAnsi="Arial"/>
          <w:sz w:val="22"/>
          <w:szCs w:val="22"/>
        </w:rPr>
        <w:t xml:space="preserve">	</w:t>
      </w:r>
      <w:r>
        <w:rPr>
          <w:rFonts w:ascii="Arial" w:cs="Arial" w:eastAsia="Arial" w:hAnsi="Arial"/>
          <w:sz w:val="22"/>
          <w:szCs w:val="22"/>
        </w:rPr>
        <w:t xml:space="preserve">(12)</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GII</w:t>
      </w:r>
      <w:r>
        <w:rPr>
          <w:rFonts w:ascii="Arial" w:cs="Arial" w:eastAsia="Arial" w:hAnsi="Arial"/>
          <w:b w:val="false"/>
          <w:bCs w:val="false"/>
          <w:i w:val="false"/>
          <w:iCs w:val="false"/>
          <w:sz w:val="22"/>
          <w:szCs w:val="22"/>
        </w:rPr>
        <w:t xml:space="preserve"> = ⟨ ReLU(</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𝕀</w:t>
      </w:r>
      <w:r>
        <w:rPr>
          <w:rFonts w:ascii="Arial" w:cs="Arial" w:eastAsia="Arial" w:hAnsi="Arial"/>
          <w:b w:val="false"/>
          <w:bCs w:val="false"/>
          <w:i w:val="false"/>
          <w:iCs w:val="false"/>
          <w:sz w:val="22"/>
          <w:szCs w:val="22"/>
          <w:vertAlign w:val="subscript"/>
        </w:rPr>
        <w:t xml:space="preserve">GII&lt;0.3</w:t>
      </w:r>
      <w:r>
        <w:rPr>
          <w:rFonts w:ascii="Arial" w:cs="Arial" w:eastAsia="Arial" w:hAnsi="Arial"/>
          <w:b w:val="false"/>
          <w:bCs w:val="false"/>
          <w:i w:val="false"/>
          <w:iCs w:val="false"/>
          <w:sz w:val="22"/>
          <w:szCs w:val="22"/>
        </w:rPr>
        <w:t xml:space="preserve"> ⟩</w:t>
      </w:r>
      <w:r>
        <w:rPr>
          <w:rFonts w:ascii="Arial" w:cs="Arial" w:eastAsia="Arial" w:hAnsi="Arial"/>
          <w:sz w:val="22"/>
          <w:szCs w:val="22"/>
        </w:rPr>
        <w:t xml:space="preserve">	</w:t>
      </w:r>
      <w:r>
        <w:rPr>
          <w:rFonts w:ascii="Arial" w:cs="Arial" w:eastAsia="Arial" w:hAnsi="Arial"/>
          <w:sz w:val="22"/>
          <w:szCs w:val="22"/>
        </w:rPr>
        <w:t xml:space="preserve">(13)</w:t>
      </w:r>
    </w:p>
    <w:p>
      <w:pPr>
        <w:tabs>
          <w:tab w:val="center" w:pos="4824"/>
          <w:tab w:val="right" w:pos="9648"/>
        </w:tabs>
        <w:spacing w:after="240" w:before="240" w:line="360" w:lineRule="auto"/>
        <w:jc w:val="left"/>
      </w:pPr>
      <w:r>
        <w:rPr>
          <w:rFonts w:ascii="Arial" w:cs="Arial" w:eastAsia="Arial" w:hAnsi="Arial"/>
          <w:sz w:val="22"/>
          <w:szCs w:val="22"/>
        </w:rPr>
        <w:t xml:space="preserve">	</w:t>
      </w: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VCA</w:t>
      </w:r>
      <w:r>
        <w:rPr>
          <w:rFonts w:ascii="Arial" w:cs="Arial" w:eastAsia="Arial" w:hAnsi="Arial"/>
          <w:b w:val="false"/>
          <w:bCs w:val="false"/>
          <w:i w:val="false"/>
          <w:iCs w:val="false"/>
          <w:sz w:val="22"/>
          <w:szCs w:val="22"/>
        </w:rPr>
        <w:t xml:space="preserve"> = ⟨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w:t>
      </w:r>
      <w:r>
        <w:rPr>
          <w:rFonts w:ascii="Arial" w:cs="Arial" w:eastAsia="Arial" w:hAnsi="Arial"/>
          <w:b w:val="false"/>
          <w:bCs w:val="false"/>
          <w:i w:val="false"/>
          <w:iCs w:val="false"/>
          <w:sz w:val="22"/>
          <w:szCs w:val="22"/>
          <w:vertAlign w:val="subscript"/>
        </w:rPr>
        <w:t xml:space="preserve">approx</w:t>
      </w:r>
      <w:r>
        <w:rPr>
          <w:rFonts w:ascii="Arial" w:cs="Arial" w:eastAsia="Arial" w:hAnsi="Arial"/>
          <w:b w:val="false"/>
          <w:bCs w:val="false"/>
          <w:i w:val="false"/>
          <w:iCs w:val="false"/>
          <w:sz w:val="22"/>
          <w:szCs w:val="22"/>
        </w:rPr>
        <w:t xml:space="preserve"> ⟩</w:t>
      </w:r>
      <w:r>
        <w:rPr>
          <w:rFonts w:ascii="Arial" w:cs="Arial" w:eastAsia="Arial" w:hAnsi="Arial"/>
          <w:sz w:val="22"/>
          <w:szCs w:val="22"/>
        </w:rPr>
        <w:t xml:space="preserve">	</w:t>
      </w:r>
      <w:r>
        <w:rPr>
          <w:rFonts w:ascii="Arial" w:cs="Arial" w:eastAsia="Arial" w:hAnsi="Arial"/>
          <w:sz w:val="22"/>
          <w:szCs w:val="22"/>
        </w:rPr>
        <w:t xml:space="preserve">(14)</w:t>
      </w:r>
    </w:p>
    <w:p>
      <w:pPr>
        <w:spacing w:after="120" w:line="252" w:lineRule="auto"/>
        <w:jc w:val="left"/>
      </w:pP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caps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at the LST capacity proxy (ω</w:t>
      </w:r>
      <w:r>
        <w:rPr>
          <w:rFonts w:ascii="Arial" w:cs="Arial" w:eastAsia="Arial" w:hAnsi="Arial"/>
          <w:b w:val="false"/>
          <w:bCs w:val="false"/>
          <w:i w:val="false"/>
          <w:iCs w:val="false"/>
          <w:sz w:val="22"/>
          <w:szCs w:val="22"/>
          <w:vertAlign w:val="subscript"/>
        </w:rPr>
        <w:t xml:space="preserve">LO</w:t>
      </w:r>
      <w:r>
        <w:rPr>
          <w:rFonts w:ascii="Arial" w:cs="Arial" w:eastAsia="Arial" w:hAnsi="Arial"/>
          <w:b w:val="false"/>
          <w:bCs w:val="false"/>
          <w:i w:val="false"/>
          <w:iCs w:val="false"/>
          <w:sz w:val="22"/>
          <w:szCs w:val="22"/>
        </w:rPr>
        <w:t xml:space="preserve">/ω</w:t>
      </w:r>
      <w:r>
        <w:rPr>
          <w:rFonts w:ascii="Arial" w:cs="Arial" w:eastAsia="Arial" w:hAnsi="Arial"/>
          <w:b w:val="false"/>
          <w:bCs w:val="false"/>
          <w:i w:val="false"/>
          <w:iCs w:val="false"/>
          <w:sz w:val="22"/>
          <w:szCs w:val="22"/>
          <w:vertAlign w:val="subscript"/>
        </w:rPr>
        <w:t xml:space="preserve">TO</w:t>
      </w:r>
      <w:r>
        <w:rPr>
          <w:rFonts w:ascii="Arial" w:cs="Arial" w:eastAsia="Arial" w:hAnsi="Arial"/>
          <w:b w:val="false"/>
          <w:bCs w:val="false"/>
          <w:i w:val="false"/>
          <w:iCs w:val="false"/>
          <w:sz w:val="22"/>
          <w:szCs w:val="22"/>
        </w:rPr>
        <w:t xml:space="preserve">)</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− 1; </w:t>
      </w: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GII</w:t>
      </w:r>
      <w:r>
        <w:rPr>
          <w:rFonts w:ascii="Arial" w:cs="Arial" w:eastAsia="Arial" w:hAnsi="Arial"/>
          <w:b w:val="false"/>
          <w:bCs w:val="false"/>
          <w:i w:val="false"/>
          <w:iCs w:val="false"/>
          <w:sz w:val="22"/>
          <w:szCs w:val="22"/>
        </w:rPr>
        <w:t xml:space="preserve"> penalises predictions below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r,CM</w:t>
      </w:r>
      <w:r>
        <w:rPr>
          <w:rFonts w:ascii="Arial" w:cs="Arial" w:eastAsia="Arial" w:hAnsi="Arial"/>
          <w:b w:val="false"/>
          <w:bCs w:val="false"/>
          <w:i w:val="false"/>
          <w:iCs w:val="false"/>
          <w:sz w:val="22"/>
          <w:szCs w:val="22"/>
        </w:rPr>
        <w:t xml:space="preserve"> for the 245 compositions with bond-valence GII &lt; 0.3</w:t>
      </w:r>
      <w:r>
        <w:rPr>
          <w:rFonts w:ascii="Arial" w:cs="Arial" w:eastAsia="Arial" w:hAnsi="Arial"/>
          <w:b w:val="false"/>
          <w:bCs w:val="false"/>
          <w:i w:val="false"/>
          <w:iCs w:val="false"/>
          <w:sz w:val="22"/>
          <w:szCs w:val="22"/>
          <w:vertAlign w:val="superscript"/>
        </w:rPr>
        <w:t xml:space="preserve">53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L</w:t>
      </w:r>
      <w:r>
        <w:rPr>
          <w:rFonts w:ascii="Arial" w:cs="Arial" w:eastAsia="Arial" w:hAnsi="Arial"/>
          <w:b w:val="false"/>
          <w:bCs w:val="false"/>
          <w:i w:val="false"/>
          <w:iCs w:val="false"/>
          <w:sz w:val="22"/>
          <w:szCs w:val="22"/>
          <w:vertAlign w:val="subscript"/>
        </w:rPr>
        <w:t xml:space="preserve">VCA</w:t>
      </w:r>
      <w:r>
        <w:rPr>
          <w:rFonts w:ascii="Arial" w:cs="Arial" w:eastAsia="Arial" w:hAnsi="Arial"/>
          <w:b w:val="false"/>
          <w:bCs w:val="false"/>
          <w:i w:val="false"/>
          <w:iCs w:val="false"/>
          <w:sz w:val="22"/>
          <w:szCs w:val="22"/>
        </w:rPr>
        <w:t xml:space="preserve"> suppresses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on VCA rows. Hyperparameters were tuned by Optuna (100 trials, TPE sampler; Supplementary Table 1, convergence in Supplementary Fig. 3); </w:t>
      </w:r>
      <w:r>
        <w:rPr>
          <w:rFonts w:ascii="Arial" w:cs="Arial" w:eastAsia="Arial" w:hAnsi="Arial"/>
          <w:b w:val="false"/>
          <w:bCs w:val="false"/>
          <w:i/>
          <w:iCs/>
          <w:sz w:val="22"/>
          <w:szCs w:val="22"/>
        </w:rPr>
        <w:t xml:space="preserve">λ</w:t>
      </w:r>
      <w:r>
        <w:rPr>
          <w:rFonts w:ascii="Arial" w:cs="Arial" w:eastAsia="Arial" w:hAnsi="Arial"/>
          <w:b w:val="false"/>
          <w:bCs w:val="false"/>
          <w:i w:val="false"/>
          <w:iCs w:val="false"/>
          <w:sz w:val="22"/>
          <w:szCs w:val="22"/>
          <w:vertAlign w:val="subscript"/>
        </w:rPr>
        <w:t xml:space="preserve">GII</w:t>
      </w:r>
      <w:r>
        <w:rPr>
          <w:rFonts w:ascii="Arial" w:cs="Arial" w:eastAsia="Arial" w:hAnsi="Arial"/>
          <w:b w:val="false"/>
          <w:bCs w:val="false"/>
          <w:i w:val="false"/>
          <w:iCs w:val="false"/>
          <w:sz w:val="22"/>
          <w:szCs w:val="22"/>
        </w:rPr>
        <w:t xml:space="preserve"> was re-tuned by post-hoc grid search after a GII data-loading correction. The reported model is a 5-seed ensemble (prediction = mean; across-seed std =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used in the GA fitness below;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is the separate physics-based gate of eq. (9), used also in the applicability domain).</w:t>
      </w:r>
    </w:p>
    <w:p>
      <w:pPr>
        <w:spacing w:after="160" w:before="220" w:line="480" w:lineRule="auto"/>
      </w:pPr>
      <w:r>
        <w:rPr>
          <w:rFonts w:ascii="Arial" w:cs="Arial" w:eastAsia="Arial" w:hAnsi="Arial"/>
          <w:b/>
          <w:bCs/>
          <w:i/>
          <w:iCs/>
          <w:color w:val="000000"/>
          <w:sz w:val="22"/>
          <w:szCs w:val="22"/>
        </w:rPr>
        <w:t xml:space="preserve">Conformal prediction calibration</w:t>
      </w:r>
    </w:p>
    <w:p>
      <w:pPr>
        <w:spacing w:after="120" w:line="252" w:lineRule="auto"/>
        <w:jc w:val="left"/>
      </w:pPr>
      <w:r>
        <w:rPr>
          <w:rFonts w:ascii="Arial" w:cs="Arial" w:eastAsia="Arial" w:hAnsi="Arial"/>
          <w:b w:val="false"/>
          <w:bCs w:val="false"/>
          <w:i w:val="false"/>
          <w:iCs w:val="false"/>
          <w:sz w:val="22"/>
          <w:szCs w:val="22"/>
        </w:rPr>
        <w:t xml:space="preserve">We use split conformal prediction</w:t>
      </w:r>
      <w:r>
        <w:rPr>
          <w:rFonts w:ascii="Arial" w:cs="Arial" w:eastAsia="Arial" w:hAnsi="Arial"/>
          <w:b w:val="false"/>
          <w:bCs w:val="false"/>
          <w:i w:val="false"/>
          <w:iCs w:val="false"/>
          <w:sz w:val="22"/>
          <w:szCs w:val="22"/>
          <w:vertAlign w:val="superscript"/>
        </w:rPr>
        <w:t xml:space="preserve">28</w:t>
      </w:r>
      <w:r>
        <w:rPr>
          <w:rFonts w:ascii="Arial" w:cs="Arial" w:eastAsia="Arial" w:hAnsi="Arial"/>
          <w:b w:val="false"/>
          <w:bCs w:val="false"/>
          <w:i w:val="false"/>
          <w:iCs w:val="false"/>
          <w:sz w:val="22"/>
          <w:szCs w:val="22"/>
        </w:rPr>
        <w:t xml:space="preserve"> to convert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into calibrated prediction intervals. The 116-sample family-disjoint set serves both as the calibration set and as the holdout on which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0.941 is reported — a known limitation of split conformal with small datasets, so the empirical coverage below is an in-calibration consistency check. The family-disjoint construction strictly violates the standard exchangeability assumption (the calibration set lives in families absent from training rather than i.i.d. with it); we therefore report a </w:t>
      </w:r>
      <w:r>
        <w:rPr>
          <w:rFonts w:ascii="Arial" w:cs="Arial" w:eastAsia="Arial" w:hAnsi="Arial"/>
          <w:b w:val="false"/>
          <w:bCs w:val="false"/>
          <w:i/>
          <w:iCs/>
          <w:sz w:val="22"/>
          <w:szCs w:val="22"/>
        </w:rPr>
        <w:t xml:space="preserve">bootstrap-validated in-pool</w:t>
      </w:r>
      <w:r>
        <w:rPr>
          <w:rFonts w:ascii="Arial" w:cs="Arial" w:eastAsia="Arial" w:hAnsi="Arial"/>
          <w:b w:val="false"/>
          <w:bCs w:val="false"/>
          <w:i w:val="false"/>
          <w:iCs w:val="false"/>
          <w:sz w:val="22"/>
          <w:szCs w:val="22"/>
        </w:rPr>
        <w:t xml:space="preserve"> coverage and note that recent non-exchangeable conformal frameworks — weighted conformal under covariate shift</w:t>
      </w:r>
      <w:r>
        <w:rPr>
          <w:rFonts w:ascii="Arial" w:cs="Arial" w:eastAsia="Arial" w:hAnsi="Arial"/>
          <w:b w:val="false"/>
          <w:bCs w:val="false"/>
          <w:i w:val="false"/>
          <w:iCs w:val="false"/>
          <w:sz w:val="22"/>
          <w:szCs w:val="22"/>
          <w:vertAlign w:val="superscript"/>
        </w:rPr>
        <w:t xml:space="preserve">54</w:t>
      </w:r>
      <w:r>
        <w:rPr>
          <w:rFonts w:ascii="Arial" w:cs="Arial" w:eastAsia="Arial" w:hAnsi="Arial"/>
          <w:b w:val="false"/>
          <w:bCs w:val="false"/>
          <w:i w:val="false"/>
          <w:iCs w:val="false"/>
          <w:sz w:val="22"/>
          <w:szCs w:val="22"/>
        </w:rPr>
        <w:t xml:space="preserve">, conformal beyond exchangeability</w:t>
      </w:r>
      <w:r>
        <w:rPr>
          <w:rFonts w:ascii="Arial" w:cs="Arial" w:eastAsia="Arial" w:hAnsi="Arial"/>
          <w:b w:val="false"/>
          <w:bCs w:val="false"/>
          <w:i w:val="false"/>
          <w:iCs w:val="false"/>
          <w:sz w:val="22"/>
          <w:szCs w:val="22"/>
          <w:vertAlign w:val="superscript"/>
        </w:rPr>
        <w:t xml:space="preserve">55</w:t>
      </w:r>
      <w:r>
        <w:rPr>
          <w:rFonts w:ascii="Arial" w:cs="Arial" w:eastAsia="Arial" w:hAnsi="Arial"/>
          <w:b w:val="false"/>
          <w:bCs w:val="false"/>
          <w:i w:val="false"/>
          <w:iCs w:val="false"/>
          <w:sz w:val="22"/>
          <w:szCs w:val="22"/>
        </w:rPr>
        <w:t xml:space="preserve">, and f-divergence-robust validation</w:t>
      </w:r>
      <w:r>
        <w:rPr>
          <w:rFonts w:ascii="Arial" w:cs="Arial" w:eastAsia="Arial" w:hAnsi="Arial"/>
          <w:b w:val="false"/>
          <w:bCs w:val="false"/>
          <w:i w:val="false"/>
          <w:iCs w:val="false"/>
          <w:sz w:val="22"/>
          <w:szCs w:val="22"/>
          <w:vertAlign w:val="superscript"/>
        </w:rPr>
        <w:t xml:space="preserve">56</w:t>
      </w:r>
      <w:r>
        <w:rPr>
          <w:rFonts w:ascii="Arial" w:cs="Arial" w:eastAsia="Arial" w:hAnsi="Arial"/>
          <w:b w:val="false"/>
          <w:bCs w:val="false"/>
          <w:i w:val="false"/>
          <w:iCs w:val="false"/>
          <w:sz w:val="22"/>
          <w:szCs w:val="22"/>
        </w:rPr>
        <w:t xml:space="preserve"> — provide the theoretical machinery for true OOD coverage on a third held-out partition. To validate coverage out of calibration without sacrificing training data, we partitioned the 116-sample holdout 2,000 times into disjoint ≈77/39 calibration/coverage subsets, computed q̂ on the calibration subset and measured coverage on the disjoint subset; mean coverage matched nominal at 80.1 ± 7.7%, 85.4 ± 6.9%, 89.9 ± 5.7% and 95.0 ± 4.2% (nominal 80/85/90/95%). The 39-sample subset gives per-replicate SE ≈ 4.8% at 90%, so the 89.9 ± 5.7% range corresponds to a 95% bootstrap CI of roughly [84%, 96%]. The calibration set yields nonconformity scores </w:t>
      </w:r>
      <w:r>
        <w:rPr>
          <w:rFonts w:ascii="Arial" w:cs="Arial" w:eastAsia="Arial" w:hAnsi="Arial"/>
          <w:b w:val="false"/>
          <w:bCs w:val="false"/>
          <w:i/>
          <w:iCs/>
          <w:sz w:val="22"/>
          <w:szCs w:val="22"/>
        </w:rPr>
        <w:t xml:space="preserve">s</w:t>
      </w:r>
      <w:r>
        <w:rPr>
          <w:rFonts w:ascii="Arial" w:cs="Arial" w:eastAsia="Arial" w:hAnsi="Arial"/>
          <w:b w:val="false"/>
          <w:bCs w:val="false"/>
          <w:i w:val="false"/>
          <w:iCs w:val="false"/>
          <w:sz w:val="22"/>
          <w:szCs w:val="22"/>
          <w:vertAlign w:val="subscript"/>
        </w:rPr>
        <w:t xml:space="preserve">i</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r,i</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r,i</w:t>
      </w:r>
      <w:r>
        <w:rPr>
          <w:rFonts w:ascii="Arial" w:cs="Arial" w:eastAsia="Arial" w:hAnsi="Arial"/>
          <w:b w:val="false"/>
          <w:bCs w:val="false"/>
          <w:i w:val="false"/>
          <w:iCs w:val="false"/>
          <w:sz w:val="22"/>
          <w:szCs w:val="22"/>
        </w:rPr>
        <w:t xml:space="preserve">|; at nominal coverage 1 − </w:t>
      </w:r>
      <w:r>
        <w:rPr>
          <w:rFonts w:ascii="Arial" w:cs="Arial" w:eastAsia="Arial" w:hAnsi="Arial"/>
          <w:b w:val="false"/>
          <w:bCs w:val="false"/>
          <w:i/>
          <w:iCs/>
          <w:sz w:val="22"/>
          <w:szCs w:val="22"/>
        </w:rPr>
        <w:t xml:space="preserve">α</w:t>
      </w:r>
      <w:r>
        <w:rPr>
          <w:rFonts w:ascii="Arial" w:cs="Arial" w:eastAsia="Arial" w:hAnsi="Arial"/>
          <w:b w:val="false"/>
          <w:bCs w:val="false"/>
          <w:i w:val="false"/>
          <w:iCs w:val="false"/>
          <w:sz w:val="22"/>
          <w:szCs w:val="22"/>
        </w:rPr>
        <w:t xml:space="preserve"> we compute</w:t>
      </w:r>
    </w:p>
    <w:p>
      <w:pPr>
        <w:tabs>
          <w:tab w:val="center" w:pos="4824"/>
          <w:tab w:val="right" w:pos="9648"/>
        </w:tabs>
        <w:spacing w:after="240" w:before="240" w:line="360" w:lineRule="auto"/>
        <w:jc w:val="left"/>
      </w:pPr>
      <w:r>
        <w:rPr>
          <w:rFonts w:ascii="Arial" w:cs="Arial" w:eastAsia="Arial" w:hAnsi="Arial"/>
          <w:sz w:val="22"/>
          <w:szCs w:val="22"/>
        </w:rPr>
        <w:t xml:space="preserve">	</w:t>
      </w:r>
      <m:oMath>
        <m:sSub>
          <m:sSubPr/>
          <m:e>
            <m:r>
              <m:t>q̂</m:t>
            </m:r>
          </m:e>
          <m:sub>
            <m:r>
              <m:t>1−α</m:t>
            </m:r>
          </m:sub>
        </m:sSub>
        <m:r>
          <m:t> = </m:t>
        </m:r>
        <m:func>
          <m:funcPr/>
          <m:fName>
            <m:r>
              <m:t>Quantile</m:t>
            </m:r>
          </m:fName>
          <m:e>
            <m:d>
              <m:dPr/>
              <m:e>
                <m:r>
                  <m:t>{</m:t>
                </m:r>
                <m:sSub>
                  <m:sSubPr/>
                  <m:e>
                    <m:r>
                      <m:t>s</m:t>
                    </m:r>
                  </m:e>
                  <m:sub>
                    <m:r>
                      <m:t>i</m:t>
                    </m:r>
                  </m:sub>
                </m:sSub>
                <m:r>
                  <m:t>}, </m:t>
                </m:r>
                <m:f>
                  <m:num>
                    <m:r>
                      <m:t>⌈(n + 1)(1 − α)⌉</m:t>
                    </m:r>
                  </m:num>
                  <m:den>
                    <m:r>
                      <m:t>n</m:t>
                    </m:r>
                  </m:den>
                </m:f>
              </m:e>
            </m:d>
          </m:e>
        </m:func>
      </m:oMath>
      <w:r>
        <w:rPr>
          <w:rFonts w:ascii="Arial" w:cs="Arial" w:eastAsia="Arial" w:hAnsi="Arial"/>
          <w:sz w:val="22"/>
          <w:szCs w:val="22"/>
        </w:rPr>
        <w:t xml:space="preserve">	</w:t>
      </w:r>
      <w:r>
        <w:rPr>
          <w:rFonts w:ascii="Arial" w:cs="Arial" w:eastAsia="Arial" w:hAnsi="Arial"/>
          <w:sz w:val="22"/>
          <w:szCs w:val="22"/>
        </w:rPr>
        <w:t xml:space="preserve">(15)</w:t>
      </w:r>
    </w:p>
    <w:p>
      <w:pPr>
        <w:spacing w:after="120" w:line="252" w:lineRule="auto"/>
        <w:jc w:val="left"/>
      </w:pPr>
      <w:r>
        <w:rPr>
          <w:rFonts w:ascii="Arial" w:cs="Arial" w:eastAsia="Arial" w:hAnsi="Arial"/>
          <w:b w:val="false"/>
          <w:bCs w:val="false"/>
          <w:i w:val="false"/>
          <w:iCs w:val="false"/>
          <w:sz w:val="22"/>
          <w:szCs w:val="22"/>
        </w:rPr>
        <w:t xml:space="preserve">The prediction interval at composition </w:t>
      </w:r>
      <w:r>
        <w:rPr>
          <w:rFonts w:ascii="Arial" w:cs="Arial" w:eastAsia="Arial" w:hAnsi="Arial"/>
          <w:b w:val="false"/>
          <w:bCs w:val="false"/>
          <w:i/>
          <w:iCs/>
          <w:sz w:val="22"/>
          <w:szCs w:val="22"/>
        </w:rPr>
        <w:t xml:space="preserve">x</w:t>
      </w:r>
      <w:r>
        <w:rPr>
          <w:rFonts w:ascii="Arial" w:cs="Arial" w:eastAsia="Arial" w:hAnsi="Arial"/>
          <w:b w:val="false"/>
          <w:bCs w:val="false"/>
          <w:i w:val="false"/>
          <w:iCs w:val="false"/>
          <w:sz w:val="22"/>
          <w:szCs w:val="22"/>
        </w:rPr>
        <w:t xml:space="preserve"> is</w:t>
      </w:r>
    </w:p>
    <w:p>
      <w:pPr>
        <w:tabs>
          <w:tab w:val="center" w:pos="4824"/>
          <w:tab w:val="right" w:pos="9648"/>
        </w:tabs>
        <w:spacing w:after="240" w:before="240" w:line="360" w:lineRule="auto"/>
        <w:jc w:val="left"/>
      </w:pPr>
      <w:r>
        <w:rPr>
          <w:rFonts w:ascii="Arial" w:cs="Arial" w:eastAsia="Arial" w:hAnsi="Arial"/>
          <w:sz w:val="22"/>
          <w:szCs w:val="22"/>
        </w:rPr>
        <w:t xml:space="preserve">	</w:t>
      </w:r>
      <m:oMath>
        <m:r>
          <m:t>PI</m:t>
        </m:r>
        <m:d>
          <m:dPr/>
          <m:e>
            <m:r>
              <m:t>x</m:t>
            </m:r>
          </m:e>
        </m:d>
        <m:r>
          <m:t> = </m:t>
        </m:r>
        <m:d>
          <m:dPr>
            <m:begChr m:val="["/>
            <m:endChr m:val="]"/>
          </m:dPr>
          <m:e>
            <m:sSub>
              <m:sSubPr/>
              <m:e>
                <m:r>
                  <m:t>ε̂</m:t>
                </m:r>
              </m:e>
              <m:sub>
                <m:r>
                  <m:t>r</m:t>
                </m:r>
              </m:sub>
            </m:sSub>
            <m:d>
              <m:dPr/>
              <m:e>
                <m:r>
                  <m:t>x</m:t>
                </m:r>
              </m:e>
            </m:d>
            <m:r>
              <m:t> − </m:t>
            </m:r>
            <m:sSub>
              <m:sSubPr/>
              <m:e>
                <m:r>
                  <m:t>q̂</m:t>
                </m:r>
              </m:e>
              <m:sub>
                <m:r>
                  <m:t>1−α</m:t>
                </m:r>
              </m:sub>
            </m:sSub>
            <m:r>
              <m:t>, </m:t>
            </m:r>
            <m:sSub>
              <m:sSubPr/>
              <m:e>
                <m:r>
                  <m:t>ε̂</m:t>
                </m:r>
              </m:e>
              <m:sub>
                <m:r>
                  <m:t>r</m:t>
                </m:r>
              </m:sub>
            </m:sSub>
            <m:d>
              <m:dPr/>
              <m:e>
                <m:r>
                  <m:t>x</m:t>
                </m:r>
              </m:e>
            </m:d>
            <m:r>
              <m:t> + </m:t>
            </m:r>
            <m:sSub>
              <m:sSubPr/>
              <m:e>
                <m:r>
                  <m:t>q̂</m:t>
                </m:r>
              </m:e>
              <m:sub>
                <m:r>
                  <m:t>1−α</m:t>
                </m:r>
              </m:sub>
            </m:sSub>
          </m:e>
        </m:d>
      </m:oMath>
      <w:r>
        <w:rPr>
          <w:rFonts w:ascii="Arial" w:cs="Arial" w:eastAsia="Arial" w:hAnsi="Arial"/>
          <w:sz w:val="22"/>
          <w:szCs w:val="22"/>
        </w:rPr>
        <w:t xml:space="preserve">	</w:t>
      </w:r>
      <w:r>
        <w:rPr>
          <w:rFonts w:ascii="Arial" w:cs="Arial" w:eastAsia="Arial" w:hAnsi="Arial"/>
          <w:sz w:val="22"/>
          <w:szCs w:val="22"/>
        </w:rPr>
        <w:t xml:space="preserve">(16)</w:t>
      </w:r>
    </w:p>
    <w:p>
      <w:pPr>
        <w:spacing w:after="120" w:line="252" w:lineRule="auto"/>
        <w:jc w:val="left"/>
      </w:pPr>
      <w:r>
        <w:rPr>
          <w:rFonts w:ascii="Arial" w:cs="Arial" w:eastAsia="Arial" w:hAnsi="Arial"/>
          <w:b w:val="false"/>
          <w:bCs w:val="false"/>
          <w:i w:val="false"/>
          <w:iCs w:val="false"/>
          <w:sz w:val="22"/>
          <w:szCs w:val="22"/>
        </w:rPr>
        <w:t xml:space="preserve">For </w:t>
      </w:r>
      <w:r>
        <w:rPr>
          <w:rFonts w:ascii="Arial" w:cs="Arial" w:eastAsia="Arial" w:hAnsi="Arial"/>
          <w:b w:val="false"/>
          <w:bCs w:val="false"/>
          <w:i/>
          <w:iCs/>
          <w:sz w:val="22"/>
          <w:szCs w:val="22"/>
        </w:rPr>
        <w:t xml:space="preserve">α</w:t>
      </w:r>
      <w:r>
        <w:rPr>
          <w:rFonts w:ascii="Arial" w:cs="Arial" w:eastAsia="Arial" w:hAnsi="Arial"/>
          <w:b w:val="false"/>
          <w:bCs w:val="false"/>
          <w:i w:val="false"/>
          <w:iCs w:val="false"/>
          <w:sz w:val="22"/>
          <w:szCs w:val="22"/>
        </w:rPr>
        <w:t xml:space="preserve"> = 0.10 we obtain q̂</w:t>
      </w:r>
      <w:r>
        <w:rPr>
          <w:rFonts w:ascii="Arial" w:cs="Arial" w:eastAsia="Arial" w:hAnsi="Arial"/>
          <w:b w:val="false"/>
          <w:bCs w:val="false"/>
          <w:i w:val="false"/>
          <w:iCs w:val="false"/>
          <w:sz w:val="22"/>
          <w:szCs w:val="22"/>
          <w:vertAlign w:val="subscript"/>
        </w:rPr>
        <w:t xml:space="preserve">90</w:t>
      </w:r>
      <w:r>
        <w:rPr>
          <w:rFonts w:ascii="Arial" w:cs="Arial" w:eastAsia="Arial" w:hAnsi="Arial"/>
          <w:b w:val="false"/>
          <w:bCs w:val="false"/>
          <w:i w:val="false"/>
          <w:iCs w:val="false"/>
          <w:sz w:val="22"/>
          <w:szCs w:val="22"/>
        </w:rPr>
        <w:t xml:space="preserve"> = 14.38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units (band width 28.75 units, </w:t>
      </w:r>
      <w:r>
        <w:rPr>
          <w:rFonts w:ascii="Arial" w:cs="Arial" w:eastAsia="Arial" w:hAnsi="Arial"/>
          <w:b w:val="false"/>
          <w:bCs w:val="false"/>
          <w:i/>
          <w:iCs/>
          <w:sz w:val="22"/>
          <w:szCs w:val="22"/>
        </w:rPr>
        <w:t xml:space="preserve">μ</w:t>
      </w:r>
      <w:r>
        <w:rPr>
          <w:rFonts w:ascii="Arial" w:cs="Arial" w:eastAsia="Arial" w:hAnsi="Arial"/>
          <w:b w:val="false"/>
          <w:bCs w:val="false"/>
          <w:i w:val="false"/>
          <w:iCs w:val="false"/>
          <w:sz w:val="22"/>
          <w:szCs w:val="22"/>
        </w:rPr>
        <w:t xml:space="preserve"> = +0.54). On this family-disjoint set the empirical coverage matches the nominal level to within 0.7 percentage points across all targeted levels (reported in full in the Results and Fig. 5b). The conformal bands are reported for every screened candidate composition in the discovery analysis.</w:t>
      </w:r>
    </w:p>
    <w:p>
      <w:pPr>
        <w:spacing w:after="160" w:before="220" w:line="480" w:lineRule="auto"/>
      </w:pPr>
      <w:r>
        <w:rPr>
          <w:rFonts w:ascii="Arial" w:cs="Arial" w:eastAsia="Arial" w:hAnsi="Arial"/>
          <w:b/>
          <w:bCs/>
          <w:i/>
          <w:iCs/>
          <w:color w:val="000000"/>
          <w:sz w:val="22"/>
          <w:szCs w:val="22"/>
        </w:rPr>
        <w:t xml:space="preserve">Baseline comparison</w:t>
      </w:r>
    </w:p>
    <w:p>
      <w:pPr>
        <w:spacing w:after="120" w:line="252" w:lineRule="auto"/>
        <w:jc w:val="left"/>
      </w:pPr>
      <w:r>
        <w:rPr>
          <w:rFonts w:ascii="Arial" w:cs="Arial" w:eastAsia="Arial" w:hAnsi="Arial"/>
          <w:b w:val="false"/>
          <w:bCs w:val="false"/>
          <w:i w:val="false"/>
          <w:iCs w:val="false"/>
          <w:sz w:val="22"/>
          <w:szCs w:val="22"/>
        </w:rPr>
        <w:t xml:space="preserve">We compared the PCNN against seven baselines on identical Strat-GSS 5-fold partitions and the same 116-sample holdout: CM-only (eq. 1, no learning), Ridge, Random Forest, XGBoost</w:t>
      </w:r>
      <w:r>
        <w:rPr>
          <w:rFonts w:ascii="Arial" w:cs="Arial" w:eastAsia="Arial" w:hAnsi="Arial"/>
          <w:b w:val="false"/>
          <w:bCs w:val="false"/>
          <w:i w:val="false"/>
          <w:iCs w:val="false"/>
          <w:sz w:val="22"/>
          <w:szCs w:val="22"/>
          <w:vertAlign w:val="superscript"/>
        </w:rPr>
        <w:t xml:space="preserve">57</w:t>
      </w:r>
      <w:r>
        <w:rPr>
          <w:rFonts w:ascii="Arial" w:cs="Arial" w:eastAsia="Arial" w:hAnsi="Arial"/>
          <w:b w:val="false"/>
          <w:bCs w:val="false"/>
          <w:i w:val="false"/>
          <w:iCs w:val="false"/>
          <w:sz w:val="22"/>
          <w:szCs w:val="22"/>
        </w:rPr>
        <w:t xml:space="preserve">, CatBoost</w:t>
      </w:r>
      <w:r>
        <w:rPr>
          <w:rFonts w:ascii="Arial" w:cs="Arial" w:eastAsia="Arial" w:hAnsi="Arial"/>
          <w:b w:val="false"/>
          <w:bCs w:val="false"/>
          <w:i w:val="false"/>
          <w:iCs w:val="false"/>
          <w:sz w:val="22"/>
          <w:szCs w:val="22"/>
          <w:vertAlign w:val="superscript"/>
        </w:rPr>
        <w:t xml:space="preserve">58</w:t>
      </w:r>
      <w:r>
        <w:rPr>
          <w:rFonts w:ascii="Arial" w:cs="Arial" w:eastAsia="Arial" w:hAnsi="Arial"/>
          <w:b w:val="false"/>
          <w:bCs w:val="false"/>
          <w:i w:val="false"/>
          <w:iCs w:val="false"/>
          <w:sz w:val="22"/>
          <w:szCs w:val="22"/>
        </w:rPr>
        <w:t xml:space="preserve">, a BPNN MLP (capacity matched to the PCNN trunk), and a PIRNN (output-only sign constraints, no branch decomposition or disjoint feature partition). All baselines share the same features, preprocessing and partitions; full hyperparameters are in Supplementary Table 5. Baseline HPs were held at literature-standard defaults rather than re-tuned with a matched 100-trial Optuna budget; matched-budget tuning would be expected to tighten point accuracy but not alter the OOD CV-variance ranking on which the architectural-bias claim rests (Results §4). Two flexible baselines (BPNN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0.957; PIRNN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0.937) match or exceed the PCNN's holdout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0.941; the PCNN's contribution is interpretable mechanism allocation with 2–4× lower OOD CV variance, not raw accuracy. Branch ablation (Fig. 4a) used a reduced 3-fold Strat-GSS × 3 seeds (full-PCNN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 0.894 vs the full 0.893 ± 0.043, negligible fold-count bias). The 2</w:t>
      </w:r>
      <w:r>
        <w:rPr>
          <w:rFonts w:ascii="Arial" w:cs="Arial" w:eastAsia="Arial" w:hAnsi="Arial"/>
          <w:b w:val="false"/>
          <w:bCs w:val="false"/>
          <w:i w:val="false"/>
          <w:iCs w:val="false"/>
          <w:sz w:val="22"/>
          <w:szCs w:val="22"/>
          <w:vertAlign w:val="superscript"/>
        </w:rPr>
        <w:t xml:space="preserve">3</w:t>
      </w:r>
      <w:r>
        <w:rPr>
          <w:rFonts w:ascii="Arial" w:cs="Arial" w:eastAsia="Arial" w:hAnsi="Arial"/>
          <w:b w:val="false"/>
          <w:bCs w:val="false"/>
          <w:i w:val="false"/>
          <w:iCs w:val="false"/>
          <w:sz w:val="22"/>
          <w:szCs w:val="22"/>
        </w:rPr>
        <w:t xml:space="preserve"> Shapley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decomposition over the 8 branch-presence coalitions was computed fold-paired (3 folds × 3 seeds): per fold/seed, the marginal contribution of a branch is the fold-R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gain when it joins every other-branch coalition, averaged across the 9 fold/seed configurations, preserving the Shapley additivity axiom.</w:t>
      </w:r>
    </w:p>
    <w:p>
      <w:pPr>
        <w:spacing w:after="160" w:before="220" w:line="480" w:lineRule="auto"/>
      </w:pPr>
      <w:r>
        <w:rPr>
          <w:rFonts w:ascii="Arial" w:cs="Arial" w:eastAsia="Arial" w:hAnsi="Arial"/>
          <w:b/>
          <w:bCs/>
          <w:i/>
          <w:iCs/>
          <w:color w:val="000000"/>
          <w:sz w:val="22"/>
          <w:szCs w:val="22"/>
        </w:rPr>
        <w:t xml:space="preserve">Leave-one-family-out generalisability test</w:t>
      </w:r>
    </w:p>
    <w:p>
      <w:pPr>
        <w:spacing w:after="120" w:line="252" w:lineRule="auto"/>
        <w:jc w:val="left"/>
      </w:pPr>
      <w:r>
        <w:rPr>
          <w:rFonts w:ascii="Arial" w:cs="Arial" w:eastAsia="Arial" w:hAnsi="Arial"/>
          <w:b w:val="false"/>
          <w:bCs w:val="false"/>
          <w:i w:val="false"/>
          <w:iCs w:val="false"/>
          <w:sz w:val="22"/>
          <w:szCs w:val="22"/>
        </w:rPr>
        <w:t xml:space="preserve">A-site LOFO holds out every composition containing a given A-site cation, retrains, and evaluates: Ba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vertAlign w:val="subscript"/>
        </w:rPr>
        <w:t xml:space="preserve">test</w:t>
      </w:r>
      <w:r>
        <w:rPr>
          <w:rFonts w:ascii="Arial" w:cs="Arial" w:eastAsia="Arial" w:hAnsi="Arial"/>
          <w:b w:val="false"/>
          <w:bCs w:val="false"/>
          <w:i w:val="false"/>
          <w:iCs w:val="false"/>
          <w:sz w:val="22"/>
          <w:szCs w:val="22"/>
        </w:rPr>
        <w:t xml:space="preserve"> = 436), Sr (180), Ca (421), La (125), Pb (86). Regime LOFO performs the parallel procedure for the four Reaney regimes (Ia, Ib, II, III). Statistical significance for the A-site and regime rank orderings is assessed by 2,000 permutation tests on the family-mean range. Hyperparameters are held fixed across LOFO folds at the values from the main Optuna search; refitting within each LOFO fold would risk per-fold tuning leakage, so the reported LOFO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represent transferability under a fixed-architecture deployment and constitute an </w:t>
      </w:r>
      <w:r>
        <w:rPr>
          <w:rFonts w:ascii="Arial" w:cs="Arial" w:eastAsia="Arial" w:hAnsi="Arial"/>
          <w:b w:val="false"/>
          <w:bCs w:val="false"/>
          <w:i/>
          <w:iCs/>
          <w:sz w:val="22"/>
          <w:szCs w:val="22"/>
        </w:rPr>
        <w:t xml:space="preserve">upper</w:t>
      </w:r>
      <w:r>
        <w:rPr>
          <w:rFonts w:ascii="Arial" w:cs="Arial" w:eastAsia="Arial" w:hAnsi="Arial"/>
          <w:b w:val="false"/>
          <w:bCs w:val="false"/>
          <w:i w:val="false"/>
          <w:iCs w:val="false"/>
          <w:sz w:val="22"/>
          <w:szCs w:val="22"/>
        </w:rPr>
        <w:t xml:space="preserve"> bound on transfer failure (re-tuning could only improve held-out 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The main Optuna search was conducted on the train+calibration partition with each LOFO-held-out family already excluded from inner CV folds, so no held-out-family information enters HP selection.</w:t>
      </w:r>
    </w:p>
    <w:p>
      <w:pPr>
        <w:spacing w:after="160" w:before="220" w:line="480" w:lineRule="auto"/>
      </w:pPr>
      <w:r>
        <w:rPr>
          <w:rFonts w:ascii="Arial" w:cs="Arial" w:eastAsia="Arial" w:hAnsi="Arial"/>
          <w:b/>
          <w:bCs/>
          <w:i/>
          <w:iCs/>
          <w:color w:val="000000"/>
          <w:sz w:val="22"/>
          <w:szCs w:val="22"/>
        </w:rPr>
        <w:t xml:space="preserve">Applicability domain</w:t>
      </w:r>
    </w:p>
    <w:p>
      <w:pPr>
        <w:spacing w:after="120" w:line="252" w:lineRule="auto"/>
        <w:jc w:val="left"/>
      </w:pPr>
      <w:r>
        <w:rPr>
          <w:rFonts w:ascii="Arial" w:cs="Arial" w:eastAsia="Arial" w:hAnsi="Arial"/>
          <w:b w:val="false"/>
          <w:bCs w:val="false"/>
          <w:i w:val="false"/>
          <w:iCs w:val="false"/>
          <w:sz w:val="22"/>
          <w:szCs w:val="22"/>
        </w:rPr>
        <w:t xml:space="preserve">The applicability domain is defined as the conjunction of two gates</w:t>
      </w:r>
      <w:r>
        <w:rPr>
          <w:rFonts w:ascii="Arial" w:cs="Arial" w:eastAsia="Arial" w:hAnsi="Arial"/>
          <w:b w:val="false"/>
          <w:bCs w:val="false"/>
          <w:i w:val="false"/>
          <w:iCs w:val="false"/>
          <w:sz w:val="22"/>
          <w:szCs w:val="22"/>
          <w:vertAlign w:val="superscript"/>
        </w:rPr>
        <w:t xml:space="preserve">29,30</w:t>
      </w:r>
      <w:r>
        <w:rPr>
          <w:rFonts w:ascii="Arial" w:cs="Arial" w:eastAsia="Arial" w:hAnsi="Arial"/>
          <w:b w:val="false"/>
          <w:bCs w:val="false"/>
          <w:i w:val="false"/>
          <w:iCs w:val="false"/>
          <w:sz w:val="22"/>
          <w:szCs w:val="22"/>
        </w:rPr>
        <w:t xml:space="preserve">. The physics gate flags a composition as in-domain iff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&lt; 0.35 — using the same physics-based confidence gate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(eq. 9), here applied as a threshold criterion rather than as the </w:t>
      </w:r>
      <w:r>
        <w:rPr>
          <w:rFonts w:ascii="Arial" w:cs="Arial" w:eastAsia="Arial" w:hAnsi="Arial"/>
          <w:b w:val="false"/>
          <w:bCs w:val="false"/>
          <w:i/>
          <w:iCs/>
          <w:sz w:val="22"/>
          <w:szCs w:val="22"/>
        </w:rPr>
        <w:t xml:space="preserve">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multiplier of eq. (8) (735/1,304 = 56.4%). The density gate uses a Gaussian-kernel density estimator on the standardised 103-feature input</w:t>
      </w:r>
      <w:r>
        <w:rPr>
          <w:rFonts w:ascii="Arial" w:cs="Arial" w:eastAsia="Arial" w:hAnsi="Arial"/>
          <w:b w:val="false"/>
          <w:bCs w:val="false"/>
          <w:i w:val="false"/>
          <w:iCs w:val="false"/>
          <w:sz w:val="22"/>
          <w:szCs w:val="22"/>
          <w:vertAlign w:val="superscript"/>
        </w:rPr>
        <w:t xml:space="preserve">30</w:t>
      </w:r>
      <w:r>
        <w:rPr>
          <w:rFonts w:ascii="Arial" w:cs="Arial" w:eastAsia="Arial" w:hAnsi="Arial"/>
          <w:b w:val="false"/>
          <w:bCs w:val="false"/>
          <w:i w:val="false"/>
          <w:iCs w:val="false"/>
          <w:sz w:val="22"/>
          <w:szCs w:val="22"/>
        </w:rPr>
        <w:t xml:space="preserve">:</w:t>
      </w:r>
    </w:p>
    <w:p>
      <w:pPr>
        <w:tabs>
          <w:tab w:val="center" w:pos="4824"/>
          <w:tab w:val="right" w:pos="9648"/>
        </w:tabs>
        <w:spacing w:after="240" w:before="240" w:line="360" w:lineRule="auto"/>
        <w:jc w:val="left"/>
      </w:pPr>
      <w:r>
        <w:rPr>
          <w:rFonts w:ascii="Arial" w:cs="Arial" w:eastAsia="Arial" w:hAnsi="Arial"/>
          <w:sz w:val="22"/>
          <w:szCs w:val="22"/>
        </w:rPr>
        <w:t xml:space="preserve">	</w:t>
      </w:r>
      <m:oMath>
        <m:func>
          <m:funcPr/>
          <m:fName>
            <m:r>
              <m:t>log</m:t>
            </m:r>
          </m:fName>
          <m:e>
            <m:r>
              <m:t> p̂(x)</m:t>
            </m:r>
          </m:e>
        </m:func>
        <m:r>
          <m:t> = </m:t>
        </m:r>
        <m:func>
          <m:funcPr/>
          <m:fName>
            <m:r>
              <m:t>log</m:t>
            </m:r>
          </m:fName>
          <m:e>
            <m:d>
              <m:dPr>
                <m:begChr m:val="["/>
                <m:endChr m:val="]"/>
              </m:dPr>
              <m:e>
                <m:f>
                  <m:num>
                    <m:r>
                      <m:t>1</m:t>
                    </m:r>
                  </m:num>
                  <m:den>
                    <m:sSub>
                      <m:sSubPr/>
                      <m:e>
                        <m:r>
                          <m:t>n</m:t>
                        </m:r>
                      </m:e>
                      <m:sub>
                        <m:r>
                          <m:t>train</m:t>
                        </m:r>
                      </m:sub>
                    </m:sSub>
                  </m:den>
                </m:f>
                <m:nary>
                  <m:naryPr>
                    <m:chr m:val="∑"/>
                    <m:limLoc m:val="undOvr"/>
                    <m:supHide m:val="1"/>
                  </m:naryPr>
                  <m:sub>
                    <m:r>
                      <m:t>i</m:t>
                    </m:r>
                  </m:sub>
                  <m:e>
                    <m:sSub>
                      <m:sSubPr/>
                      <m:e>
                        <m:r>
                          <m:t>K</m:t>
                        </m:r>
                      </m:e>
                      <m:sub>
                        <m:r>
                          <m:t>h</m:t>
                        </m:r>
                      </m:sub>
                    </m:sSub>
                    <m:d>
                      <m:dPr/>
                      <m:e>
                        <m:r>
                          <m:t>x − </m:t>
                        </m:r>
                        <m:sSub>
                          <m:sSubPr/>
                          <m:e>
                            <m:r>
                              <m:t>x</m:t>
                            </m:r>
                          </m:e>
                          <m:sub>
                            <m:r>
                              <m:t>i</m:t>
                            </m:r>
                          </m:sub>
                        </m:sSub>
                      </m:e>
                    </m:d>
                  </m:e>
                </m:nary>
              </m:e>
            </m:d>
          </m:e>
        </m:func>
      </m:oMath>
      <w:r>
        <w:rPr>
          <w:rFonts w:ascii="Arial" w:cs="Arial" w:eastAsia="Arial" w:hAnsi="Arial"/>
          <w:sz w:val="22"/>
          <w:szCs w:val="22"/>
        </w:rPr>
        <w:t xml:space="preserve">	</w:t>
      </w:r>
      <w:r>
        <w:rPr>
          <w:rFonts w:ascii="Arial" w:cs="Arial" w:eastAsia="Arial" w:hAnsi="Arial"/>
          <w:sz w:val="22"/>
          <w:szCs w:val="22"/>
        </w:rPr>
        <w:t xml:space="preserve">(17)</w:t>
      </w:r>
    </w:p>
    <w:p>
      <w:pPr>
        <w:spacing w:after="120" w:line="252" w:lineRule="auto"/>
        <w:jc w:val="left"/>
      </w:pPr>
      <w:r>
        <w:rPr>
          <w:rFonts w:ascii="Arial" w:cs="Arial" w:eastAsia="Arial" w:hAnsi="Arial"/>
          <w:b w:val="false"/>
          <w:bCs w:val="false"/>
          <w:i w:val="false"/>
          <w:iCs w:val="false"/>
          <w:sz w:val="22"/>
          <w:szCs w:val="22"/>
        </w:rPr>
        <w:t xml:space="preserve">with bandwidth </w:t>
      </w:r>
      <w:r>
        <w:rPr>
          <w:rFonts w:ascii="Arial" w:cs="Arial" w:eastAsia="Arial" w:hAnsi="Arial"/>
          <w:b w:val="false"/>
          <w:bCs w:val="false"/>
          <w:i/>
          <w:iCs/>
          <w:sz w:val="22"/>
          <w:szCs w:val="22"/>
        </w:rPr>
        <w:t xml:space="preserve">h</w:t>
      </w:r>
      <w:r>
        <w:rPr>
          <w:rFonts w:ascii="Arial" w:cs="Arial" w:eastAsia="Arial" w:hAnsi="Arial"/>
          <w:b w:val="false"/>
          <w:bCs w:val="false"/>
          <w:i w:val="false"/>
          <w:iCs w:val="false"/>
          <w:sz w:val="22"/>
          <w:szCs w:val="22"/>
        </w:rPr>
        <w:t xml:space="preserve"> selected by Scott's rule; a sample is flagged as in-domain iff log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w:t>
      </w:r>
      <w:r>
        <w:rPr>
          <w:rFonts w:ascii="Arial" w:cs="Arial" w:eastAsia="Arial" w:hAnsi="Arial"/>
          <w:b w:val="false"/>
          <w:bCs w:val="false"/>
          <w:i/>
          <w:iCs/>
          <w:sz w:val="22"/>
          <w:szCs w:val="22"/>
        </w:rPr>
        <w:t xml:space="preserve">x</w:t>
      </w:r>
      <w:r>
        <w:rPr>
          <w:rFonts w:ascii="Arial" w:cs="Arial" w:eastAsia="Arial" w:hAnsi="Arial"/>
          <w:b w:val="false"/>
          <w:bCs w:val="false"/>
          <w:i w:val="false"/>
          <w:iCs w:val="false"/>
          <w:sz w:val="22"/>
          <w:szCs w:val="22"/>
        </w:rPr>
        <w:t xml:space="preserve">) exceeds the 10th percentile of the training distribution (1,174/1,304 = 90.0%). The combined AD is the intersection (688/1,304 = 52.8% of the full corpus and 26.7% of the Regime-III-heavy holdout). Performance partitions accordingly: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in</w:t>
      </w:r>
      <w:r>
        <w:rPr>
          <w:rFonts w:ascii="Arial" w:cs="Arial" w:eastAsia="Arial" w:hAnsi="Arial"/>
          <w:b w:val="false"/>
          <w:bCs w:val="false"/>
          <w:i w:val="false"/>
          <w:iCs w:val="false"/>
          <w:sz w:val="22"/>
          <w:szCs w:val="22"/>
        </w:rPr>
        <w:t xml:space="preserve"> = 0.933, </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vertAlign w:val="subscript"/>
        </w:rPr>
        <w:t xml:space="preserve">out</w:t>
      </w:r>
      <w:r>
        <w:rPr>
          <w:rFonts w:ascii="Arial" w:cs="Arial" w:eastAsia="Arial" w:hAnsi="Arial"/>
          <w:b w:val="false"/>
          <w:bCs w:val="false"/>
          <w:i w:val="false"/>
          <w:iCs w:val="false"/>
          <w:sz w:val="22"/>
          <w:szCs w:val="22"/>
        </w:rPr>
        <w:t xml:space="preserve"> = 0.858 (gap 0.075). Per-A-site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is reported as Pb = 0.288, La = 0.298, Ba = 0.491, Ca = 0.509, Sr = 0.545, and the corresponding in-AD fractions are Pb = 74.4% (confident-but-wrong) and Sr = 23.3% (genuinely uncertain), illustrating the limits of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rPr>
        <w:t xml:space="preserve">-only OOD detection</w:t>
      </w:r>
      <w:r>
        <w:rPr>
          <w:rFonts w:ascii="Arial" w:cs="Arial" w:eastAsia="Arial" w:hAnsi="Arial"/>
          <w:b w:val="false"/>
          <w:bCs w:val="false"/>
          <w:i w:val="false"/>
          <w:iCs w:val="false"/>
          <w:sz w:val="22"/>
          <w:szCs w:val="22"/>
          <w:vertAlign w:val="superscript"/>
        </w:rPr>
        <w:t xml:space="preserve">32,59,60</w:t>
      </w:r>
      <w:r>
        <w:rPr>
          <w:rFonts w:ascii="Arial" w:cs="Arial" w:eastAsia="Arial" w:hAnsi="Arial"/>
          <w:b w:val="false"/>
          <w:bCs w:val="false"/>
          <w:i w:val="false"/>
          <w:iCs w:val="false"/>
          <w:sz w:val="22"/>
          <w:szCs w:val="22"/>
        </w:rPr>
        <w:t xml:space="preserve">.</w:t>
      </w:r>
    </w:p>
    <w:p>
      <w:pPr>
        <w:spacing w:after="160" w:before="220" w:line="480" w:lineRule="auto"/>
      </w:pPr>
      <w:r>
        <w:rPr>
          <w:rFonts w:ascii="Arial" w:cs="Arial" w:eastAsia="Arial" w:hAnsi="Arial"/>
          <w:b/>
          <w:bCs/>
          <w:i/>
          <w:iCs/>
          <w:color w:val="000000"/>
          <w:sz w:val="22"/>
          <w:szCs w:val="22"/>
        </w:rPr>
        <w:t xml:space="preserve">Inverse design (genetic algorithm)</w:t>
      </w:r>
    </w:p>
    <w:p>
      <w:pPr>
        <w:spacing w:after="120" w:line="252" w:lineRule="auto"/>
        <w:jc w:val="left"/>
      </w:pPr>
      <w:r>
        <w:rPr>
          <w:rFonts w:ascii="Arial" w:cs="Arial" w:eastAsia="Arial" w:hAnsi="Arial"/>
          <w:b w:val="false"/>
          <w:bCs w:val="false"/>
          <w:i w:val="false"/>
          <w:iCs w:val="false"/>
          <w:sz w:val="22"/>
          <w:szCs w:val="22"/>
        </w:rPr>
        <w:t xml:space="preserve">To search composition space directly rather than rank a fixed library, we used a physics-constrained genetic algorithm (GA)</w:t>
      </w:r>
      <w:r>
        <w:rPr>
          <w:rFonts w:ascii="Arial" w:cs="Arial" w:eastAsia="Arial" w:hAnsi="Arial"/>
          <w:b w:val="false"/>
          <w:bCs w:val="false"/>
          <w:i w:val="false"/>
          <w:iCs w:val="false"/>
          <w:sz w:val="22"/>
          <w:szCs w:val="22"/>
          <w:vertAlign w:val="superscript"/>
        </w:rPr>
        <w:t xml:space="preserve">33,61</w:t>
      </w:r>
      <w:r>
        <w:rPr>
          <w:rFonts w:ascii="Arial" w:cs="Arial" w:eastAsia="Arial" w:hAnsi="Arial"/>
          <w:b w:val="false"/>
          <w:bCs w:val="false"/>
          <w:i w:val="false"/>
          <w:iCs w:val="false"/>
          <w:sz w:val="22"/>
          <w:szCs w:val="22"/>
        </w:rPr>
        <w:t xml:space="preserve"> over the coupled A- and B-site composition simplices (A ∈ {Ba, Sr, Ca, La, Pb, Nd, Sm, Y, Bi, Ce}, B ∈ {Ti, Zr, Nb, Ta, Sn}). Three runs were performed: GA-Pb-allowed (full A-site), GA-Pb-free (Pb fraction = 0) and GA-d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-strict (B-site restricted to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cations {Ti, Zr, Nb, Ta}). Each run evolved a population of 100 individuals over 50 generations (≈ 5,000 PCNN forward evaluations) with tournament selection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 = 3), uniform crossover (rate 0.70), Gaussian composition mutation (rate 0.30,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rPr>
        <w:t xml:space="preserve"> = 0.05 per cation), elitism (5 individuals) and 5% random immigration (seed 7). Charge balance is enforced by projection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vertAlign w:val="subscript"/>
        </w:rPr>
        <w:t xml:space="preserve">A</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vertAlign w:val="subscript"/>
        </w:rPr>
        <w:t xml:space="preserve">B</w:t>
      </w:r>
      <w:r>
        <w:rPr>
          <w:rFonts w:ascii="Arial" w:cs="Arial" w:eastAsia="Arial" w:hAnsi="Arial"/>
          <w:b w:val="false"/>
          <w:bCs w:val="false"/>
          <w:i w:val="false"/>
          <w:iCs w:val="false"/>
          <w:sz w:val="22"/>
          <w:szCs w:val="22"/>
        </w:rPr>
        <w:t xml:space="preserve"> − 6| ≤ 0.10), and candidates are rejected unless the Goldschmidt tolerance factor lies in [0.85, 1.05] and the d</w:t>
      </w:r>
      <w:r>
        <w:rPr>
          <w:rFonts w:ascii="Arial" w:cs="Arial" w:eastAsia="Arial" w:hAnsi="Arial"/>
          <w:b w:val="false"/>
          <w:bCs w:val="false"/>
          <w:i w:val="false"/>
          <w:iCs w:val="false"/>
          <w:sz w:val="22"/>
          <w:szCs w:val="22"/>
          <w:vertAlign w:val="superscript"/>
        </w:rPr>
        <w:t xml:space="preserve">0</w:t>
      </w:r>
      <w:r>
        <w:rPr>
          <w:rFonts w:ascii="Arial" w:cs="Arial" w:eastAsia="Arial" w:hAnsi="Arial"/>
          <w:b w:val="false"/>
          <w:bCs w:val="false"/>
          <w:i w:val="false"/>
          <w:iCs w:val="false"/>
          <w:sz w:val="22"/>
          <w:szCs w:val="22"/>
        </w:rPr>
        <w:t xml:space="preserve"> B-site fraction ≥ 0.5. The fitness maximises the ensemble-mean predicted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penalised by predictive uncertainty, </w:t>
      </w:r>
      <w:r>
        <w:rPr>
          <w:rFonts w:ascii="Arial" w:cs="Arial" w:eastAsia="Arial" w:hAnsi="Arial"/>
          <w:b w:val="false"/>
          <w:bCs w:val="false"/>
          <w:i/>
          <w:iCs/>
          <w:sz w:val="22"/>
          <w:szCs w:val="22"/>
        </w:rPr>
        <w:t xml:space="preserve">f</w:t>
      </w:r>
      <w:r>
        <w:rPr>
          <w:rFonts w:ascii="Arial" w:cs="Arial" w:eastAsia="Arial" w:hAnsi="Arial"/>
          <w:b w:val="false"/>
          <w:bCs w:val="false"/>
          <w:i w:val="false"/>
          <w:iCs w:val="false"/>
          <w:sz w:val="22"/>
          <w:szCs w:val="22"/>
        </w:rPr>
        <w:t xml:space="preserve"> =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− 0.5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(where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is the ensemble standard deviation, distinct from the physics-gate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of the applicability domain); the GA therefore performs an uncertainty-penalised free search across the full composition simplices, with applicability-domain assessment applied </w:t>
      </w:r>
      <w:r>
        <w:rPr>
          <w:rFonts w:ascii="Arial" w:cs="Arial" w:eastAsia="Arial" w:hAnsi="Arial"/>
          <w:b w:val="false"/>
          <w:bCs w:val="false"/>
          <w:i/>
          <w:iCs/>
          <w:sz w:val="22"/>
          <w:szCs w:val="22"/>
        </w:rPr>
        <w:t xml:space="preserve">post hoc</w:t>
      </w:r>
      <w:r>
        <w:rPr>
          <w:rFonts w:ascii="Arial" w:cs="Arial" w:eastAsia="Arial" w:hAnsi="Arial"/>
          <w:b w:val="false"/>
          <w:bCs w:val="false"/>
          <w:i w:val="false"/>
          <w:iCs w:val="false"/>
          <w:sz w:val="22"/>
          <w:szCs w:val="22"/>
        </w:rPr>
        <w:t xml:space="preserve"> to the resulting candidates rather than as a constraint during the search. Each reported candidate carries its 90% conformal interval (q̂</w:t>
      </w:r>
      <w:r>
        <w:rPr>
          <w:rFonts w:ascii="Arial" w:cs="Arial" w:eastAsia="Arial" w:hAnsi="Arial"/>
          <w:b w:val="false"/>
          <w:bCs w:val="false"/>
          <w:i w:val="false"/>
          <w:iCs w:val="false"/>
          <w:sz w:val="22"/>
          <w:szCs w:val="22"/>
          <w:vertAlign w:val="subscript"/>
        </w:rPr>
        <w:t xml:space="preserve">90</w:t>
      </w:r>
      <w:r>
        <w:rPr>
          <w:rFonts w:ascii="Arial" w:cs="Arial" w:eastAsia="Arial" w:hAnsi="Arial"/>
          <w:b w:val="false"/>
          <w:bCs w:val="false"/>
          <w:i w:val="false"/>
          <w:iCs w:val="false"/>
          <w:sz w:val="22"/>
          <w:szCs w:val="22"/>
        </w:rPr>
        <w:t xml:space="preserve"> = 14.38) and is assessed against the dual applicability domain (above) and its nearest-neighbour distance to the training set. Because each run converges to a single composition family per constraint set, we report the optimum per run rather than near-duplicate variants.</w:t>
      </w:r>
    </w:p>
    <w:p>
      <w:pPr>
        <w:spacing w:after="160" w:before="220" w:line="480" w:lineRule="auto"/>
      </w:pPr>
      <w:r>
        <w:rPr>
          <w:rFonts w:ascii="Arial" w:cs="Arial" w:eastAsia="Arial" w:hAnsi="Arial"/>
          <w:b/>
          <w:bCs/>
          <w:i/>
          <w:iCs/>
          <w:color w:val="000000"/>
          <w:sz w:val="22"/>
          <w:szCs w:val="22"/>
        </w:rPr>
        <w:t xml:space="preserve">Statistics and reproducibility</w:t>
      </w:r>
    </w:p>
    <w:p>
      <w:pPr>
        <w:spacing w:after="120" w:line="252" w:lineRule="auto"/>
        <w:jc w:val="left"/>
      </w:pPr>
      <w:r>
        <w:rPr>
          <w:rFonts w:ascii="Arial" w:cs="Arial" w:eastAsia="Arial" w:hAnsi="Arial"/>
          <w:b w:val="false"/>
          <w:bCs w:val="false"/>
          <w:i w:val="false"/>
          <w:iCs w:val="false"/>
          <w:sz w:val="22"/>
          <w:szCs w:val="22"/>
        </w:rPr>
        <w:t xml:space="preserve">All statistical tests were two-tailed. Statistical significance of the A-site amplification hierarchy was assessed by label-permutation tests (2,000 random permutations of A-site assignments; observed range 1.622 versus null mean 0.209;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rPr>
        <w:t xml:space="preserve"> ≈ 17σ;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0.0005); the regime ordering was tested identically (observed range 1.136; </w:t>
      </w:r>
      <w:r>
        <w:rPr>
          <w:rFonts w:ascii="Arial" w:cs="Arial" w:eastAsia="Arial" w:hAnsi="Arial"/>
          <w:b w:val="false"/>
          <w:bCs w:val="false"/>
          <w:i/>
          <w:iCs/>
          <w:sz w:val="22"/>
          <w:szCs w:val="22"/>
        </w:rPr>
        <w:t xml:space="preserve">z</w:t>
      </w:r>
      <w:r>
        <w:rPr>
          <w:rFonts w:ascii="Arial" w:cs="Arial" w:eastAsia="Arial" w:hAnsi="Arial"/>
          <w:b w:val="false"/>
          <w:bCs w:val="false"/>
          <w:i w:val="false"/>
          <w:iCs w:val="false"/>
          <w:sz w:val="22"/>
          <w:szCs w:val="22"/>
        </w:rPr>
        <w:t xml:space="preserve"> ≈ 9σ;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 &lt; 0.0005). Conformal coverage out of calibration was validated by bootstrap (2,000 disjoint calibration/coverage partitions of the 116-sample family-disjoint holdout; mean coverage ± SD reported at nominal 80, 85, 90, 95% levels). Predictive uncertainty per prediction is the across-seed standard deviation of a 5-seed ensemble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distinct from the physics-based confidence gate </w:t>
      </w:r>
      <w:r>
        <w:rPr>
          <w:rFonts w:ascii="Arial" w:cs="Arial" w:eastAsia="Arial" w:hAnsi="Arial"/>
          <w:b w:val="false"/>
          <w:bCs w:val="false"/>
          <w:i/>
          <w:iCs/>
          <w:sz w:val="22"/>
          <w:szCs w:val="22"/>
        </w:rPr>
        <w:t xml:space="preserve">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of eq. (9); calibrated prediction intervals are split-conformal (eqs. 15–16). Spearman rank correlations are reported throughout with two-sided </w:t>
      </w:r>
      <w:r>
        <w:rPr>
          <w:rFonts w:ascii="Arial" w:cs="Arial" w:eastAsia="Arial" w:hAnsi="Arial"/>
          <w:b w:val="false"/>
          <w:bCs w:val="false"/>
          <w:i/>
          <w:iCs/>
          <w:sz w:val="22"/>
          <w:szCs w:val="22"/>
        </w:rPr>
        <w:t xml:space="preserve">p</w:t>
      </w:r>
      <w:r>
        <w:rPr>
          <w:rFonts w:ascii="Arial" w:cs="Arial" w:eastAsia="Arial" w:hAnsi="Arial"/>
          <w:b w:val="false"/>
          <w:bCs w:val="false"/>
          <w:i w:val="false"/>
          <w:iCs w:val="false"/>
          <w:sz w:val="22"/>
          <w:szCs w:val="22"/>
        </w:rPr>
        <w:t xml:space="preserve">-values. Error bars in figures denote either the 90% conformal prediction interval (Fig. 5a) or bootstrap 95% confidence intervals from 2,000 resamples (Fig. 2a); these are specified per figure caption. Exact sample sizes are reported as </w:t>
      </w:r>
      <w:r>
        <w:rPr>
          <w:rFonts w:ascii="Arial" w:cs="Arial" w:eastAsia="Arial" w:hAnsi="Arial"/>
          <w:b w:val="false"/>
          <w:bCs w:val="false"/>
          <w:i/>
          <w:iCs/>
          <w:sz w:val="22"/>
          <w:szCs w:val="22"/>
        </w:rPr>
        <w:t xml:space="preserve">n</w:t>
      </w:r>
      <w:r>
        <w:rPr>
          <w:rFonts w:ascii="Arial" w:cs="Arial" w:eastAsia="Arial" w:hAnsi="Arial"/>
          <w:b w:val="false"/>
          <w:bCs w:val="false"/>
          <w:i w:val="false"/>
          <w:iCs w:val="false"/>
          <w:sz w:val="22"/>
          <w:szCs w:val="22"/>
        </w:rPr>
        <w:t xml:space="preserve"> in the text, in Tables 1–2 and in figure captions; no observations were excluded after the dataset-cleaning criteria described in Methods §Dataset and features. Software: model and training in PyTorch (≥ 2.0); hyperparameter search in Optuna (Tree-structured Parzen Estimator sampler, 100 trials); statistical tests and bootstrap in NumPy/SciPy. Random seeds, exact training schedule and the 5-seed ensemble identifiers are listed in Supplementary Table 1; the genetic-algorithm inverse-design uses seed 7.</w:t>
      </w:r>
    </w:p>
    <w:p>
      <w:pPr>
        <w:pStyle w:val="Heading1"/>
        <w:spacing w:after="240" w:before="360" w:line="480" w:lineRule="auto"/>
      </w:pPr>
      <w:r>
        <w:rPr>
          <w:rFonts w:ascii="Arial" w:cs="Arial" w:eastAsia="Arial" w:hAnsi="Arial"/>
          <w:b/>
          <w:bCs/>
          <w:color w:val="000000"/>
          <w:sz w:val="28"/>
          <w:szCs w:val="28"/>
        </w:rPr>
        <w:t xml:space="preserve">Data availability</w:t>
      </w:r>
    </w:p>
    <w:p>
      <w:pPr>
        <w:spacing w:after="120" w:line="252" w:lineRule="auto"/>
        <w:jc w:val="left"/>
      </w:pPr>
      <w:r>
        <w:rPr>
          <w:rFonts w:ascii="Arial" w:cs="Arial" w:eastAsia="Arial" w:hAnsi="Arial"/>
          <w:b w:val="false"/>
          <w:bCs w:val="false"/>
          <w:i w:val="false"/>
          <w:iCs w:val="false"/>
          <w:sz w:val="22"/>
          <w:szCs w:val="22"/>
        </w:rPr>
        <w:t xml:space="preserve">The cleaned 1,304-composition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microwave-dielectric dataset, the 103-feature processed feature matrix, the fixed family-disjoint train/calibration partition, the per-sample additive-decomposition table (ε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ε</w:t>
      </w:r>
      <w:r>
        <w:rPr>
          <w:rFonts w:ascii="Arial" w:cs="Arial" w:eastAsia="Arial" w:hAnsi="Arial"/>
          <w:b w:val="false"/>
          <w:bCs w:val="false"/>
          <w:i w:val="false"/>
          <w:iCs w:val="false"/>
          <w:sz w:val="22"/>
          <w:szCs w:val="22"/>
          <w:vertAlign w:val="subscript"/>
        </w:rPr>
        <w:t xml:space="preserve">CM</w:t>
      </w:r>
      <w:r>
        <w:rPr>
          <w:rFonts w:ascii="Arial" w:cs="Arial" w:eastAsia="Arial" w:hAnsi="Arial"/>
          <w:b w:val="false"/>
          <w:bCs w:val="false"/>
          <w:i w:val="false"/>
          <w:iCs w:val="false"/>
          <w:sz w:val="22"/>
          <w:szCs w:val="22"/>
        </w:rPr>
        <w:t xml:space="preserve">, δ</w:t>
      </w:r>
      <w:r>
        <w:rPr>
          <w:rFonts w:ascii="Arial" w:cs="Arial" w:eastAsia="Arial" w:hAnsi="Arial"/>
          <w:b w:val="false"/>
          <w:bCs w:val="false"/>
          <w:i w:val="false"/>
          <w:iCs w:val="false"/>
          <w:sz w:val="22"/>
          <w:szCs w:val="22"/>
          <w:vertAlign w:val="subscript"/>
        </w:rPr>
        <w:t xml:space="preserve">LST</w:t>
      </w:r>
      <w:r>
        <w:rPr>
          <w:rFonts w:ascii="Arial" w:cs="Arial" w:eastAsia="Arial" w:hAnsi="Arial"/>
          <w:b w:val="false"/>
          <w:bCs w:val="false"/>
          <w:i w:val="false"/>
          <w:iCs w:val="false"/>
          <w:sz w:val="22"/>
          <w:szCs w:val="22"/>
        </w:rPr>
        <w:t xml:space="preserve">, δ</w:t>
      </w:r>
      <w:r>
        <w:rPr>
          <w:rFonts w:ascii="Arial" w:cs="Arial" w:eastAsia="Arial" w:hAnsi="Arial"/>
          <w:b w:val="false"/>
          <w:bCs w:val="false"/>
          <w:i w:val="false"/>
          <w:iCs w:val="false"/>
          <w:sz w:val="22"/>
          <w:szCs w:val="22"/>
          <w:vertAlign w:val="subscript"/>
        </w:rPr>
        <w:t xml:space="preserve">tilt</w:t>
      </w:r>
      <w:r>
        <w:rPr>
          <w:rFonts w:ascii="Arial" w:cs="Arial" w:eastAsia="Arial" w:hAnsi="Arial"/>
          <w:b w:val="false"/>
          <w:bCs w:val="false"/>
          <w:i w:val="false"/>
          <w:iCs w:val="false"/>
          <w:sz w:val="22"/>
          <w:szCs w:val="22"/>
        </w:rPr>
        <w:t xml:space="preserve">, δ</w:t>
      </w:r>
      <w:r>
        <w:rPr>
          <w:rFonts w:ascii="Arial" w:cs="Arial" w:eastAsia="Arial" w:hAnsi="Arial"/>
          <w:b w:val="false"/>
          <w:bCs w:val="false"/>
          <w:i w:val="false"/>
          <w:iCs w:val="false"/>
          <w:sz w:val="22"/>
          <w:szCs w:val="22"/>
          <w:vertAlign w:val="subscript"/>
        </w:rPr>
        <w:t xml:space="preserve">res</w:t>
      </w:r>
      <w:r>
        <w:rPr>
          <w:rFonts w:ascii="Arial" w:cs="Arial" w:eastAsia="Arial" w:hAnsi="Arial"/>
          <w:b w:val="false"/>
          <w:bCs w:val="false"/>
          <w:i w:val="false"/>
          <w:iCs w:val="false"/>
          <w:sz w:val="22"/>
          <w:szCs w:val="22"/>
        </w:rPr>
        <w:t xml:space="preserve">, σ</w:t>
      </w:r>
      <w:r>
        <w:rPr>
          <w:rFonts w:ascii="Arial" w:cs="Arial" w:eastAsia="Arial" w:hAnsi="Arial"/>
          <w:b w:val="false"/>
          <w:bCs w:val="false"/>
          <w:i w:val="false"/>
          <w:iCs w:val="false"/>
          <w:sz w:val="22"/>
          <w:szCs w:val="22"/>
          <w:vertAlign w:val="subscript"/>
        </w:rPr>
        <w:t xml:space="preserve">conf</w:t>
      </w:r>
      <w:r>
        <w:rPr>
          <w:rFonts w:ascii="Arial" w:cs="Arial" w:eastAsia="Arial" w:hAnsi="Arial"/>
          <w:b w:val="false"/>
          <w:bCs w:val="false"/>
          <w:i w:val="false"/>
          <w:iCs w:val="false"/>
          <w:sz w:val="22"/>
          <w:szCs w:val="22"/>
        </w:rPr>
        <w:t xml:space="preserve"> and σ</w:t>
      </w:r>
      <w:r>
        <w:rPr>
          <w:rFonts w:ascii="Arial" w:cs="Arial" w:eastAsia="Arial" w:hAnsi="Arial"/>
          <w:b w:val="false"/>
          <w:bCs w:val="false"/>
          <w:i w:val="false"/>
          <w:iCs w:val="false"/>
          <w:sz w:val="22"/>
          <w:szCs w:val="22"/>
          <w:vertAlign w:val="subscript"/>
        </w:rPr>
        <w:t xml:space="preserve">ML</w:t>
      </w:r>
      <w:r>
        <w:rPr>
          <w:rFonts w:ascii="Arial" w:cs="Arial" w:eastAsia="Arial" w:hAnsi="Arial"/>
          <w:b w:val="false"/>
          <w:bCs w:val="false"/>
          <w:i w:val="false"/>
          <w:iCs w:val="false"/>
          <w:sz w:val="22"/>
          <w:szCs w:val="22"/>
        </w:rPr>
        <w:t xml:space="preserve"> for every composition), the per-figure source-data CSVs, and an accompanying spreadsheet enumerating the ~200 primary literature sources from which the experimental </w:t>
      </w:r>
      <w:r>
        <w:rPr>
          <w:rFonts w:ascii="Arial" w:cs="Arial" w:eastAsia="Arial" w:hAnsi="Arial"/>
          <w:b w:val="false"/>
          <w:bCs w:val="false"/>
          <w:i/>
          <w:iCs/>
          <w:sz w:val="22"/>
          <w:szCs w:val="22"/>
        </w:rPr>
        <w:t xml:space="preserve">ε</w:t>
      </w:r>
      <w:r>
        <w:rPr>
          <w:rFonts w:ascii="Arial" w:cs="Arial" w:eastAsia="Arial" w:hAnsi="Arial"/>
          <w:b w:val="false"/>
          <w:bCs w:val="false"/>
          <w:i w:val="false"/>
          <w:iCs w:val="false"/>
          <w:sz w:val="22"/>
          <w:szCs w:val="22"/>
          <w:vertAlign w:val="subscript"/>
        </w:rPr>
        <w:t xml:space="preserve">r</w:t>
      </w:r>
      <w:r>
        <w:rPr>
          <w:rFonts w:ascii="Arial" w:cs="Arial" w:eastAsia="Arial" w:hAnsi="Arial"/>
          <w:b w:val="false"/>
          <w:bCs w:val="false"/>
          <w:i w:val="false"/>
          <w:iCs w:val="false"/>
          <w:sz w:val="22"/>
          <w:szCs w:val="22"/>
        </w:rPr>
        <w:t xml:space="preserve"> values were compiled have been deposited in Zenodo at https://doi.org/10.5281/zenodo.20433427</w:t>
      </w:r>
      <w:r>
        <w:rPr>
          <w:rFonts w:ascii="Arial" w:cs="Arial" w:eastAsia="Arial" w:hAnsi="Arial"/>
          <w:b w:val="false"/>
          <w:bCs w:val="false"/>
          <w:i w:val="false"/>
          <w:iCs w:val="false"/>
          <w:sz w:val="22"/>
          <w:szCs w:val="22"/>
          <w:vertAlign w:val="superscript"/>
        </w:rPr>
        <w:t xml:space="preserve">62</w:t>
      </w:r>
      <w:r>
        <w:rPr>
          <w:rFonts w:ascii="Arial" w:cs="Arial" w:eastAsia="Arial" w:hAnsi="Arial"/>
          <w:b w:val="false"/>
          <w:bCs w:val="false"/>
          <w:i w:val="false"/>
          <w:iCs w:val="false"/>
          <w:sz w:val="22"/>
          <w:szCs w:val="22"/>
        </w:rPr>
        <w:t xml:space="preserve">. Source data are provided with this paper.</w:t>
      </w:r>
    </w:p>
    <w:p>
      <w:pPr>
        <w:pStyle w:val="Heading1"/>
        <w:spacing w:after="240" w:before="360" w:line="480" w:lineRule="auto"/>
      </w:pPr>
      <w:r>
        <w:rPr>
          <w:rFonts w:ascii="Arial" w:cs="Arial" w:eastAsia="Arial" w:hAnsi="Arial"/>
          <w:b/>
          <w:bCs/>
          <w:color w:val="000000"/>
          <w:sz w:val="28"/>
          <w:szCs w:val="28"/>
        </w:rPr>
        <w:t xml:space="preserve">Code availability</w:t>
      </w:r>
    </w:p>
    <w:p>
      <w:pPr>
        <w:spacing w:after="120" w:line="252" w:lineRule="auto"/>
        <w:jc w:val="left"/>
      </w:pPr>
      <w:r>
        <w:rPr>
          <w:rFonts w:ascii="Arial" w:cs="Arial" w:eastAsia="Arial" w:hAnsi="Arial"/>
          <w:b w:val="false"/>
          <w:bCs w:val="false"/>
          <w:i w:val="false"/>
          <w:iCs w:val="false"/>
          <w:sz w:val="22"/>
          <w:szCs w:val="22"/>
        </w:rPr>
        <w:t xml:space="preserve">The custom Python code used for dataset curation, feature engineering, PCNN architecture and training, conformal calibration, applicability-domain analysis, and physics-constrained genetic-algorithm inverse design has been deposited at GitHub https://github.com/anbu-nems/CMLTRPCNN, with an archival snapshot at Zenodo (concept DOI https://doi.org/10.5281/zenodo.20433402, resolving to the latest released version)</w:t>
      </w:r>
      <w:r>
        <w:rPr>
          <w:rFonts w:ascii="Arial" w:cs="Arial" w:eastAsia="Arial" w:hAnsi="Arial"/>
          <w:b w:val="false"/>
          <w:bCs w:val="false"/>
          <w:i w:val="false"/>
          <w:iCs w:val="false"/>
          <w:sz w:val="22"/>
          <w:szCs w:val="22"/>
          <w:vertAlign w:val="superscript"/>
        </w:rPr>
        <w:t xml:space="preserve">63</w:t>
      </w:r>
      <w:r>
        <w:rPr>
          <w:rFonts w:ascii="Arial" w:cs="Arial" w:eastAsia="Arial" w:hAnsi="Arial"/>
          <w:b w:val="false"/>
          <w:bCs w:val="false"/>
          <w:i w:val="false"/>
          <w:iCs w:val="false"/>
          <w:sz w:val="22"/>
          <w:szCs w:val="22"/>
        </w:rPr>
        <w:t xml:space="preserve">. The repository includes the scripts required to reproduce every analysis reported in this study together with the trained 5-seed ensemble checkpoint, a package manifest mapping each main display item to its reproduction script and result file (also reproduced in Supplementary Table 7), pinned dependency versions in `requirements.txt`, and usage instructions. The code is released under the MIT license.</w:t>
      </w:r>
    </w:p>
    <w:p>
      <w:pPr>
        <w:pStyle w:val="Heading1"/>
        <w:spacing w:after="240" w:before="360" w:line="480" w:lineRule="auto"/>
      </w:pPr>
      <w:r>
        <w:rPr>
          <w:rFonts w:ascii="Arial" w:cs="Arial" w:eastAsia="Arial" w:hAnsi="Arial"/>
          <w:b/>
          <w:bCs/>
          <w:color w:val="000000"/>
          <w:sz w:val="28"/>
          <w:szCs w:val="28"/>
        </w:rPr>
        <w:t xml:space="preserve">References</w:t>
      </w:r>
    </w:p>
    <w:p>
      <w:pPr>
        <w:spacing w:after="60" w:line="240" w:lineRule="auto"/>
        <w:jc w:val="left"/>
      </w:pPr>
      <w:r>
        <w:rPr>
          <w:rFonts w:ascii="Arial" w:cs="Arial" w:eastAsia="Arial" w:hAnsi="Arial"/>
          <w:b w:val="false"/>
          <w:bCs w:val="false"/>
          <w:i w:val="false"/>
          <w:iCs w:val="false"/>
          <w:sz w:val="22"/>
          <w:szCs w:val="22"/>
        </w:rPr>
        <w:t xml:space="preserve">1. Reaney, I. M. &amp; Iddles, D. Microwave dielectric ceramics for resonators and filters in mobile phone networks. </w:t>
      </w:r>
      <w:r>
        <w:rPr>
          <w:rFonts w:ascii="Arial" w:cs="Arial" w:eastAsia="Arial" w:hAnsi="Arial"/>
          <w:b w:val="false"/>
          <w:bCs w:val="false"/>
          <w:i/>
          <w:iCs/>
          <w:sz w:val="22"/>
          <w:szCs w:val="22"/>
        </w:rPr>
        <w:t xml:space="preserve">J. Am. Ceram. Soc.</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89</w:t>
      </w:r>
      <w:r>
        <w:rPr>
          <w:rFonts w:ascii="Arial" w:cs="Arial" w:eastAsia="Arial" w:hAnsi="Arial"/>
          <w:b w:val="false"/>
          <w:bCs w:val="false"/>
          <w:i w:val="false"/>
          <w:iCs w:val="false"/>
          <w:sz w:val="22"/>
          <w:szCs w:val="22"/>
        </w:rPr>
        <w:t xml:space="preserve">, 2063–2072 (2006).</w:t>
      </w:r>
    </w:p>
    <w:p>
      <w:pPr>
        <w:spacing w:after="60" w:line="240" w:lineRule="auto"/>
        <w:jc w:val="left"/>
      </w:pPr>
      <w:r>
        <w:rPr>
          <w:rFonts w:ascii="Arial" w:cs="Arial" w:eastAsia="Arial" w:hAnsi="Arial"/>
          <w:b w:val="false"/>
          <w:bCs w:val="false"/>
          <w:i w:val="false"/>
          <w:iCs w:val="false"/>
          <w:sz w:val="22"/>
          <w:szCs w:val="22"/>
        </w:rPr>
        <w:t xml:space="preserve">2. Sebastian, M. T. &amp; Dixit, A. (eds). </w:t>
      </w:r>
      <w:r>
        <w:rPr>
          <w:rFonts w:ascii="Arial" w:cs="Arial" w:eastAsia="Arial" w:hAnsi="Arial"/>
          <w:b w:val="false"/>
          <w:bCs w:val="false"/>
          <w:i/>
          <w:iCs/>
          <w:sz w:val="22"/>
          <w:szCs w:val="22"/>
        </w:rPr>
        <w:t xml:space="preserve">Microwave Materials and Applications</w:t>
      </w:r>
      <w:r>
        <w:rPr>
          <w:rFonts w:ascii="Arial" w:cs="Arial" w:eastAsia="Arial" w:hAnsi="Arial"/>
          <w:b w:val="false"/>
          <w:bCs w:val="false"/>
          <w:i w:val="false"/>
          <w:iCs w:val="false"/>
          <w:sz w:val="22"/>
          <w:szCs w:val="22"/>
        </w:rPr>
        <w:t xml:space="preserve"> (Wiley-IEEE Press, 2017).</w:t>
      </w:r>
    </w:p>
    <w:p>
      <w:pPr>
        <w:spacing w:after="60" w:line="240" w:lineRule="auto"/>
        <w:jc w:val="left"/>
      </w:pPr>
      <w:r>
        <w:rPr>
          <w:rFonts w:ascii="Arial" w:cs="Arial" w:eastAsia="Arial" w:hAnsi="Arial"/>
          <w:b w:val="false"/>
          <w:bCs w:val="false"/>
          <w:i w:val="false"/>
          <w:iCs w:val="false"/>
          <w:sz w:val="22"/>
          <w:szCs w:val="22"/>
        </w:rPr>
        <w:t xml:space="preserve">3. Reaney, I. M., Colla, E. L. &amp; Setter, N. Dielectric and structural characteristics of Ba- and Sr-based complex perovskites as a function of tolerance factor. </w:t>
      </w:r>
      <w:r>
        <w:rPr>
          <w:rFonts w:ascii="Arial" w:cs="Arial" w:eastAsia="Arial" w:hAnsi="Arial"/>
          <w:b w:val="false"/>
          <w:bCs w:val="false"/>
          <w:i/>
          <w:iCs/>
          <w:sz w:val="22"/>
          <w:szCs w:val="22"/>
        </w:rPr>
        <w:t xml:space="preserve">Jpn. J. Appl. Phys.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33</w:t>
      </w:r>
      <w:r>
        <w:rPr>
          <w:rFonts w:ascii="Arial" w:cs="Arial" w:eastAsia="Arial" w:hAnsi="Arial"/>
          <w:b w:val="false"/>
          <w:bCs w:val="false"/>
          <w:i w:val="false"/>
          <w:iCs w:val="false"/>
          <w:sz w:val="22"/>
          <w:szCs w:val="22"/>
        </w:rPr>
        <w:t xml:space="preserve">, 3984–3990 (1994).</w:t>
      </w:r>
    </w:p>
    <w:p>
      <w:pPr>
        <w:spacing w:after="60" w:line="240" w:lineRule="auto"/>
        <w:jc w:val="left"/>
      </w:pPr>
      <w:r>
        <w:rPr>
          <w:rFonts w:ascii="Arial" w:cs="Arial" w:eastAsia="Arial" w:hAnsi="Arial"/>
          <w:b w:val="false"/>
          <w:bCs w:val="false"/>
          <w:i w:val="false"/>
          <w:iCs w:val="false"/>
          <w:sz w:val="22"/>
          <w:szCs w:val="22"/>
        </w:rPr>
        <w:t xml:space="preserve">4. Shannon, R. D. Dielectric polarizabilities of ions in oxides and fluorides. </w:t>
      </w:r>
      <w:r>
        <w:rPr>
          <w:rFonts w:ascii="Arial" w:cs="Arial" w:eastAsia="Arial" w:hAnsi="Arial"/>
          <w:b w:val="false"/>
          <w:bCs w:val="false"/>
          <w:i/>
          <w:iCs/>
          <w:sz w:val="22"/>
          <w:szCs w:val="22"/>
        </w:rPr>
        <w:t xml:space="preserve">J. Appl. Phys.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73</w:t>
      </w:r>
      <w:r>
        <w:rPr>
          <w:rFonts w:ascii="Arial" w:cs="Arial" w:eastAsia="Arial" w:hAnsi="Arial"/>
          <w:b w:val="false"/>
          <w:bCs w:val="false"/>
          <w:i w:val="false"/>
          <w:iCs w:val="false"/>
          <w:sz w:val="22"/>
          <w:szCs w:val="22"/>
        </w:rPr>
        <w:t xml:space="preserve">, 348–366 (1993).</w:t>
      </w:r>
    </w:p>
    <w:p>
      <w:pPr>
        <w:spacing w:after="60" w:line="240" w:lineRule="auto"/>
        <w:jc w:val="left"/>
      </w:pPr>
      <w:r>
        <w:rPr>
          <w:rFonts w:ascii="Arial" w:cs="Arial" w:eastAsia="Arial" w:hAnsi="Arial"/>
          <w:b w:val="false"/>
          <w:bCs w:val="false"/>
          <w:i w:val="false"/>
          <w:iCs w:val="false"/>
          <w:sz w:val="22"/>
          <w:szCs w:val="22"/>
        </w:rPr>
        <w:t xml:space="preserve">5. Bosman, A. J. &amp; Havinga, E. E. Temperature dependence of the dielectric constants of cubic ionic compounds. </w:t>
      </w:r>
      <w:r>
        <w:rPr>
          <w:rFonts w:ascii="Arial" w:cs="Arial" w:eastAsia="Arial" w:hAnsi="Arial"/>
          <w:b w:val="false"/>
          <w:bCs w:val="false"/>
          <w:i/>
          <w:iCs/>
          <w:sz w:val="22"/>
          <w:szCs w:val="22"/>
        </w:rPr>
        <w:t xml:space="preserve">Phys. Rev.</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129</w:t>
      </w:r>
      <w:r>
        <w:rPr>
          <w:rFonts w:ascii="Arial" w:cs="Arial" w:eastAsia="Arial" w:hAnsi="Arial"/>
          <w:b w:val="false"/>
          <w:bCs w:val="false"/>
          <w:i w:val="false"/>
          <w:iCs w:val="false"/>
          <w:sz w:val="22"/>
          <w:szCs w:val="22"/>
        </w:rPr>
        <w:t xml:space="preserve">, 1593–1600 (1963).</w:t>
      </w:r>
    </w:p>
    <w:p>
      <w:pPr>
        <w:spacing w:after="60" w:line="240" w:lineRule="auto"/>
        <w:jc w:val="left"/>
      </w:pPr>
      <w:r>
        <w:rPr>
          <w:rFonts w:ascii="Arial" w:cs="Arial" w:eastAsia="Arial" w:hAnsi="Arial"/>
          <w:b w:val="false"/>
          <w:bCs w:val="false"/>
          <w:i w:val="false"/>
          <w:iCs w:val="false"/>
          <w:sz w:val="22"/>
          <w:szCs w:val="22"/>
        </w:rPr>
        <w:t xml:space="preserve">6. Lyddane, R. H., Sachs, R. G. &amp; Teller, E. On the polar vibrations of alkali halides. </w:t>
      </w:r>
      <w:r>
        <w:rPr>
          <w:rFonts w:ascii="Arial" w:cs="Arial" w:eastAsia="Arial" w:hAnsi="Arial"/>
          <w:b w:val="false"/>
          <w:bCs w:val="false"/>
          <w:i/>
          <w:iCs/>
          <w:sz w:val="22"/>
          <w:szCs w:val="22"/>
        </w:rPr>
        <w:t xml:space="preserve">Phys. Rev.</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59</w:t>
      </w:r>
      <w:r>
        <w:rPr>
          <w:rFonts w:ascii="Arial" w:cs="Arial" w:eastAsia="Arial" w:hAnsi="Arial"/>
          <w:b w:val="false"/>
          <w:bCs w:val="false"/>
          <w:i w:val="false"/>
          <w:iCs w:val="false"/>
          <w:sz w:val="22"/>
          <w:szCs w:val="22"/>
        </w:rPr>
        <w:t xml:space="preserve">, 673–676 (1941).</w:t>
      </w:r>
    </w:p>
    <w:p>
      <w:pPr>
        <w:spacing w:after="60" w:line="240" w:lineRule="auto"/>
        <w:jc w:val="left"/>
      </w:pPr>
      <w:r>
        <w:rPr>
          <w:rFonts w:ascii="Arial" w:cs="Arial" w:eastAsia="Arial" w:hAnsi="Arial"/>
          <w:b w:val="false"/>
          <w:bCs w:val="false"/>
          <w:i w:val="false"/>
          <w:iCs w:val="false"/>
          <w:sz w:val="22"/>
          <w:szCs w:val="22"/>
        </w:rPr>
        <w:t xml:space="preserve">7. Cochran, W. Crystal stability and the theory of ferroelectricity. </w:t>
      </w:r>
      <w:r>
        <w:rPr>
          <w:rFonts w:ascii="Arial" w:cs="Arial" w:eastAsia="Arial" w:hAnsi="Arial"/>
          <w:b w:val="false"/>
          <w:bCs w:val="false"/>
          <w:i/>
          <w:iCs/>
          <w:sz w:val="22"/>
          <w:szCs w:val="22"/>
        </w:rPr>
        <w:t xml:space="preserve">Phys. Rev. Lett.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w:t>
      </w:r>
      <w:r>
        <w:rPr>
          <w:rFonts w:ascii="Arial" w:cs="Arial" w:eastAsia="Arial" w:hAnsi="Arial"/>
          <w:b w:val="false"/>
          <w:bCs w:val="false"/>
          <w:i w:val="false"/>
          <w:iCs w:val="false"/>
          <w:sz w:val="22"/>
          <w:szCs w:val="22"/>
        </w:rPr>
        <w:t xml:space="preserve">, 412–414 (1959).</w:t>
      </w:r>
    </w:p>
    <w:p>
      <w:pPr>
        <w:spacing w:after="60" w:line="240" w:lineRule="auto"/>
        <w:jc w:val="left"/>
      </w:pPr>
      <w:r>
        <w:rPr>
          <w:rFonts w:ascii="Arial" w:cs="Arial" w:eastAsia="Arial" w:hAnsi="Arial"/>
          <w:b w:val="false"/>
          <w:bCs w:val="false"/>
          <w:i w:val="false"/>
          <w:iCs w:val="false"/>
          <w:sz w:val="22"/>
          <w:szCs w:val="22"/>
        </w:rPr>
        <w:t xml:space="preserve">8. Cochran, W. Crystal stability and the theory of ferroelectricity. </w:t>
      </w:r>
      <w:r>
        <w:rPr>
          <w:rFonts w:ascii="Arial" w:cs="Arial" w:eastAsia="Arial" w:hAnsi="Arial"/>
          <w:b w:val="false"/>
          <w:bCs w:val="false"/>
          <w:i/>
          <w:iCs/>
          <w:sz w:val="22"/>
          <w:szCs w:val="22"/>
        </w:rPr>
        <w:t xml:space="preserve">Adv. Phys.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9</w:t>
      </w:r>
      <w:r>
        <w:rPr>
          <w:rFonts w:ascii="Arial" w:cs="Arial" w:eastAsia="Arial" w:hAnsi="Arial"/>
          <w:b w:val="false"/>
          <w:bCs w:val="false"/>
          <w:i w:val="false"/>
          <w:iCs w:val="false"/>
          <w:sz w:val="22"/>
          <w:szCs w:val="22"/>
        </w:rPr>
        <w:t xml:space="preserve">, 387–423 (1960).</w:t>
      </w:r>
    </w:p>
    <w:p>
      <w:pPr>
        <w:spacing w:after="60" w:line="240" w:lineRule="auto"/>
        <w:jc w:val="left"/>
      </w:pPr>
      <w:r>
        <w:rPr>
          <w:rFonts w:ascii="Arial" w:cs="Arial" w:eastAsia="Arial" w:hAnsi="Arial"/>
          <w:b w:val="false"/>
          <w:bCs w:val="false"/>
          <w:i w:val="false"/>
          <w:iCs w:val="false"/>
          <w:sz w:val="22"/>
          <w:szCs w:val="22"/>
        </w:rPr>
        <w:t xml:space="preserve">9. Kim, K., Hwang, W., Oh, S.-H. V. &amp; Soon, A. Exploring anharmonic lattice dynamics and dielectric relations in niobate perovskites from first-principles self-consistent phonon calculations.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9</w:t>
      </w:r>
      <w:r>
        <w:rPr>
          <w:rFonts w:ascii="Arial" w:cs="Arial" w:eastAsia="Arial" w:hAnsi="Arial"/>
          <w:b w:val="false"/>
          <w:bCs w:val="false"/>
          <w:i w:val="false"/>
          <w:iCs w:val="false"/>
          <w:sz w:val="22"/>
          <w:szCs w:val="22"/>
        </w:rPr>
        <w:t xml:space="preserve">, 154 (2023).</w:t>
      </w:r>
    </w:p>
    <w:p>
      <w:pPr>
        <w:spacing w:after="60" w:line="240" w:lineRule="auto"/>
        <w:jc w:val="left"/>
      </w:pPr>
      <w:r>
        <w:rPr>
          <w:rFonts w:ascii="Arial" w:cs="Arial" w:eastAsia="Arial" w:hAnsi="Arial"/>
          <w:b w:val="false"/>
          <w:bCs w:val="false"/>
          <w:i w:val="false"/>
          <w:iCs w:val="false"/>
          <w:sz w:val="22"/>
          <w:szCs w:val="22"/>
        </w:rPr>
        <w:t xml:space="preserve">10. Sophia, G., Baranek, P., Rérat, M. &amp; Dovesi, R. The effect of composition on phonon softening in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-type perovskites: DFT modelling. </w:t>
      </w:r>
      <w:r>
        <w:rPr>
          <w:rFonts w:ascii="Arial" w:cs="Arial" w:eastAsia="Arial" w:hAnsi="Arial"/>
          <w:b w:val="false"/>
          <w:bCs w:val="false"/>
          <w:i/>
          <w:iCs/>
          <w:sz w:val="22"/>
          <w:szCs w:val="22"/>
        </w:rPr>
        <w:t xml:space="preserve">Phys. Chem. Chem. Phys.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24</w:t>
      </w:r>
      <w:r>
        <w:rPr>
          <w:rFonts w:ascii="Arial" w:cs="Arial" w:eastAsia="Arial" w:hAnsi="Arial"/>
          <w:b w:val="false"/>
          <w:bCs w:val="false"/>
          <w:i w:val="false"/>
          <w:iCs w:val="false"/>
          <w:sz w:val="22"/>
          <w:szCs w:val="22"/>
        </w:rPr>
        <w:t xml:space="preserve">, 27064–27074 (2022).</w:t>
      </w:r>
    </w:p>
    <w:p>
      <w:pPr>
        <w:spacing w:after="60" w:line="240" w:lineRule="auto"/>
        <w:jc w:val="left"/>
      </w:pPr>
      <w:r>
        <w:rPr>
          <w:rFonts w:ascii="Arial" w:cs="Arial" w:eastAsia="Arial" w:hAnsi="Arial"/>
          <w:b w:val="false"/>
          <w:bCs w:val="false"/>
          <w:i w:val="false"/>
          <w:iCs w:val="false"/>
          <w:sz w:val="22"/>
          <w:szCs w:val="22"/>
        </w:rPr>
        <w:t xml:space="preserve">11. Guo, H., Baker, J. S., Wu, W. &amp; Choy, K. L. High dielectric constants in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due to phonon mode softening induced by lattice strains: First principles calculations. </w:t>
      </w:r>
      <w:r>
        <w:rPr>
          <w:rFonts w:ascii="Arial" w:cs="Arial" w:eastAsia="Arial" w:hAnsi="Arial"/>
          <w:b w:val="false"/>
          <w:bCs w:val="false"/>
          <w:i/>
          <w:iCs/>
          <w:sz w:val="22"/>
          <w:szCs w:val="22"/>
        </w:rPr>
        <w:t xml:space="preserve">Adv. Phys. Res.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2</w:t>
      </w:r>
      <w:r>
        <w:rPr>
          <w:rFonts w:ascii="Arial" w:cs="Arial" w:eastAsia="Arial" w:hAnsi="Arial"/>
          <w:b w:val="false"/>
          <w:bCs w:val="false"/>
          <w:i w:val="false"/>
          <w:iCs w:val="false"/>
          <w:sz w:val="22"/>
          <w:szCs w:val="22"/>
        </w:rPr>
        <w:t xml:space="preserve">, 2300001 (2023).</w:t>
      </w:r>
    </w:p>
    <w:p>
      <w:pPr>
        <w:spacing w:after="60" w:line="240" w:lineRule="auto"/>
        <w:jc w:val="left"/>
      </w:pPr>
      <w:r>
        <w:rPr>
          <w:rFonts w:ascii="Arial" w:cs="Arial" w:eastAsia="Arial" w:hAnsi="Arial"/>
          <w:b w:val="false"/>
          <w:bCs w:val="false"/>
          <w:i w:val="false"/>
          <w:iCs w:val="false"/>
          <w:sz w:val="22"/>
          <w:szCs w:val="22"/>
        </w:rPr>
        <w:t xml:space="preserve">12. Cao, R. et al. Softening of the optical phonon by reduced interatomic bonding strength without depolarization. </w:t>
      </w:r>
      <w:r>
        <w:rPr>
          <w:rFonts w:ascii="Arial" w:cs="Arial" w:eastAsia="Arial" w:hAnsi="Arial"/>
          <w:b w:val="false"/>
          <w:bCs w:val="false"/>
          <w:i/>
          <w:iCs/>
          <w:sz w:val="22"/>
          <w:szCs w:val="22"/>
        </w:rPr>
        <w:t xml:space="preserve">Nature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634</w:t>
      </w:r>
      <w:r>
        <w:rPr>
          <w:rFonts w:ascii="Arial" w:cs="Arial" w:eastAsia="Arial" w:hAnsi="Arial"/>
          <w:b w:val="false"/>
          <w:bCs w:val="false"/>
          <w:i w:val="false"/>
          <w:iCs w:val="false"/>
          <w:sz w:val="22"/>
          <w:szCs w:val="22"/>
        </w:rPr>
        <w:t xml:space="preserve">, 1080–1085 (2024).</w:t>
      </w:r>
    </w:p>
    <w:p>
      <w:pPr>
        <w:spacing w:after="60" w:line="240" w:lineRule="auto"/>
        <w:jc w:val="left"/>
      </w:pPr>
      <w:r>
        <w:rPr>
          <w:rFonts w:ascii="Arial" w:cs="Arial" w:eastAsia="Arial" w:hAnsi="Arial"/>
          <w:b w:val="false"/>
          <w:bCs w:val="false"/>
          <w:i w:val="false"/>
          <w:iCs w:val="false"/>
          <w:sz w:val="22"/>
          <w:szCs w:val="22"/>
        </w:rPr>
        <w:t xml:space="preserve">13. Bartel, C. J. et al. New tolerance factor to predict the stability of perovskite oxides and halides. </w:t>
      </w:r>
      <w:r>
        <w:rPr>
          <w:rFonts w:ascii="Arial" w:cs="Arial" w:eastAsia="Arial" w:hAnsi="Arial"/>
          <w:b w:val="false"/>
          <w:bCs w:val="false"/>
          <w:i/>
          <w:iCs/>
          <w:sz w:val="22"/>
          <w:szCs w:val="22"/>
        </w:rPr>
        <w:t xml:space="preserve">Sci. Adv.</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w:t>
      </w:r>
      <w:r>
        <w:rPr>
          <w:rFonts w:ascii="Arial" w:cs="Arial" w:eastAsia="Arial" w:hAnsi="Arial"/>
          <w:b w:val="false"/>
          <w:bCs w:val="false"/>
          <w:i w:val="false"/>
          <w:iCs w:val="false"/>
          <w:sz w:val="22"/>
          <w:szCs w:val="22"/>
        </w:rPr>
        <w:t xml:space="preserve">, eaav0693 (2019).</w:t>
      </w:r>
    </w:p>
    <w:p>
      <w:pPr>
        <w:spacing w:after="60" w:line="240" w:lineRule="auto"/>
        <w:jc w:val="left"/>
      </w:pPr>
      <w:r>
        <w:rPr>
          <w:rFonts w:ascii="Arial" w:cs="Arial" w:eastAsia="Arial" w:hAnsi="Arial"/>
          <w:b w:val="false"/>
          <w:bCs w:val="false"/>
          <w:i w:val="false"/>
          <w:iCs w:val="false"/>
          <w:sz w:val="22"/>
          <w:szCs w:val="22"/>
        </w:rPr>
        <w:t xml:space="preserve">14. Handley, C. M. et al. Dynamic tilting in perovskites. </w:t>
      </w:r>
      <w:r>
        <w:rPr>
          <w:rFonts w:ascii="Arial" w:cs="Arial" w:eastAsia="Arial" w:hAnsi="Arial"/>
          <w:b w:val="false"/>
          <w:bCs w:val="false"/>
          <w:i/>
          <w:iCs/>
          <w:sz w:val="22"/>
          <w:szCs w:val="22"/>
        </w:rPr>
        <w:t xml:space="preserve">Acta Crystallogr.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79</w:t>
      </w:r>
      <w:r>
        <w:rPr>
          <w:rFonts w:ascii="Arial" w:cs="Arial" w:eastAsia="Arial" w:hAnsi="Arial"/>
          <w:b w:val="false"/>
          <w:bCs w:val="false"/>
          <w:i w:val="false"/>
          <w:iCs w:val="false"/>
          <w:sz w:val="22"/>
          <w:szCs w:val="22"/>
        </w:rPr>
        <w:t xml:space="preserve">, 163–170 (2023).</w:t>
      </w:r>
    </w:p>
    <w:p>
      <w:pPr>
        <w:spacing w:after="60" w:line="240" w:lineRule="auto"/>
        <w:jc w:val="left"/>
      </w:pPr>
      <w:r>
        <w:rPr>
          <w:rFonts w:ascii="Arial" w:cs="Arial" w:eastAsia="Arial" w:hAnsi="Arial"/>
          <w:b w:val="false"/>
          <w:bCs w:val="false"/>
          <w:i w:val="false"/>
          <w:iCs w:val="false"/>
          <w:sz w:val="22"/>
          <w:szCs w:val="22"/>
        </w:rPr>
        <w:t xml:space="preserve">15. Cohen, R. E. Origin of ferroelectricity in perovskite oxides. </w:t>
      </w:r>
      <w:r>
        <w:rPr>
          <w:rFonts w:ascii="Arial" w:cs="Arial" w:eastAsia="Arial" w:hAnsi="Arial"/>
          <w:b w:val="false"/>
          <w:bCs w:val="false"/>
          <w:i/>
          <w:iCs/>
          <w:sz w:val="22"/>
          <w:szCs w:val="22"/>
        </w:rPr>
        <w:t xml:space="preserve">Nature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358</w:t>
      </w:r>
      <w:r>
        <w:rPr>
          <w:rFonts w:ascii="Arial" w:cs="Arial" w:eastAsia="Arial" w:hAnsi="Arial"/>
          <w:b w:val="false"/>
          <w:bCs w:val="false"/>
          <w:i w:val="false"/>
          <w:iCs w:val="false"/>
          <w:sz w:val="22"/>
          <w:szCs w:val="22"/>
        </w:rPr>
        <w:t xml:space="preserve">, 136–138 (1992).</w:t>
      </w:r>
    </w:p>
    <w:p>
      <w:pPr>
        <w:spacing w:after="60" w:line="240" w:lineRule="auto"/>
        <w:jc w:val="left"/>
      </w:pPr>
      <w:r>
        <w:rPr>
          <w:rFonts w:ascii="Arial" w:cs="Arial" w:eastAsia="Arial" w:hAnsi="Arial"/>
          <w:b w:val="false"/>
          <w:bCs w:val="false"/>
          <w:i w:val="false"/>
          <w:iCs w:val="false"/>
          <w:sz w:val="22"/>
          <w:szCs w:val="22"/>
        </w:rPr>
        <w:t xml:space="preserve">16. Walsh, A., Payne, D. J., Egdell, R. G. &amp; Watson, G. W. Stereochemistry of post-transition metal oxides: revision of the classical lone pair model. </w:t>
      </w:r>
      <w:r>
        <w:rPr>
          <w:rFonts w:ascii="Arial" w:cs="Arial" w:eastAsia="Arial" w:hAnsi="Arial"/>
          <w:b w:val="false"/>
          <w:bCs w:val="false"/>
          <w:i/>
          <w:iCs/>
          <w:sz w:val="22"/>
          <w:szCs w:val="22"/>
        </w:rPr>
        <w:t xml:space="preserve">Chem. Soc. Rev.</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40</w:t>
      </w:r>
      <w:r>
        <w:rPr>
          <w:rFonts w:ascii="Arial" w:cs="Arial" w:eastAsia="Arial" w:hAnsi="Arial"/>
          <w:b w:val="false"/>
          <w:bCs w:val="false"/>
          <w:i w:val="false"/>
          <w:iCs w:val="false"/>
          <w:sz w:val="22"/>
          <w:szCs w:val="22"/>
        </w:rPr>
        <w:t xml:space="preserve">, 4455–4463 (2011).</w:t>
      </w:r>
    </w:p>
    <w:p>
      <w:pPr>
        <w:spacing w:after="60" w:line="240" w:lineRule="auto"/>
        <w:jc w:val="left"/>
      </w:pPr>
      <w:r>
        <w:rPr>
          <w:rFonts w:ascii="Arial" w:cs="Arial" w:eastAsia="Arial" w:hAnsi="Arial"/>
          <w:b w:val="false"/>
          <w:bCs w:val="false"/>
          <w:i w:val="false"/>
          <w:iCs w:val="false"/>
          <w:sz w:val="22"/>
          <w:szCs w:val="22"/>
        </w:rPr>
        <w:t xml:space="preserve">17. Mao, Z., Li, W. &amp; Tan, J. Dielectric tensor prediction for inorganic materials using latent information from preferred potential.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10</w:t>
      </w:r>
      <w:r>
        <w:rPr>
          <w:rFonts w:ascii="Arial" w:cs="Arial" w:eastAsia="Arial" w:hAnsi="Arial"/>
          <w:b w:val="false"/>
          <w:bCs w:val="false"/>
          <w:i w:val="false"/>
          <w:iCs w:val="false"/>
          <w:sz w:val="22"/>
          <w:szCs w:val="22"/>
        </w:rPr>
        <w:t xml:space="preserve">, 265 (2024).</w:t>
      </w:r>
    </w:p>
    <w:p>
      <w:pPr>
        <w:spacing w:after="60" w:line="240" w:lineRule="auto"/>
        <w:jc w:val="left"/>
      </w:pPr>
      <w:r>
        <w:rPr>
          <w:rFonts w:ascii="Arial" w:cs="Arial" w:eastAsia="Arial" w:hAnsi="Arial"/>
          <w:b w:val="false"/>
          <w:bCs w:val="false"/>
          <w:i w:val="false"/>
          <w:iCs w:val="false"/>
          <w:sz w:val="22"/>
          <w:szCs w:val="22"/>
        </w:rPr>
        <w:t xml:space="preserve">18. Xi, Z. et al. Active learning in latent spaces enables rapid inverse design of ferroelectric ceramics for energy storage. </w:t>
      </w:r>
      <w:r>
        <w:rPr>
          <w:rFonts w:ascii="Arial" w:cs="Arial" w:eastAsia="Arial" w:hAnsi="Arial"/>
          <w:b w:val="false"/>
          <w:bCs w:val="false"/>
          <w:i/>
          <w:iCs/>
          <w:sz w:val="22"/>
          <w:szCs w:val="22"/>
        </w:rPr>
        <w:t xml:space="preserve">Nat.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17</w:t>
      </w:r>
      <w:r>
        <w:rPr>
          <w:rFonts w:ascii="Arial" w:cs="Arial" w:eastAsia="Arial" w:hAnsi="Arial"/>
          <w:b w:val="false"/>
          <w:bCs w:val="false"/>
          <w:i w:val="false"/>
          <w:iCs w:val="false"/>
          <w:sz w:val="22"/>
          <w:szCs w:val="22"/>
        </w:rPr>
        <w:t xml:space="preserve">, 4281 (2026).</w:t>
      </w:r>
    </w:p>
    <w:p>
      <w:pPr>
        <w:spacing w:after="60" w:line="240" w:lineRule="auto"/>
        <w:jc w:val="left"/>
      </w:pPr>
      <w:r>
        <w:rPr>
          <w:rFonts w:ascii="Arial" w:cs="Arial" w:eastAsia="Arial" w:hAnsi="Arial"/>
          <w:b w:val="false"/>
          <w:bCs w:val="false"/>
          <w:i w:val="false"/>
          <w:iCs w:val="false"/>
          <w:sz w:val="22"/>
          <w:szCs w:val="22"/>
        </w:rPr>
        <w:t xml:space="preserve">19. Li, W. et al. Generative learning facilitated discovery of high-entropy ceramic dielectrics for capacitive energy storage. </w:t>
      </w:r>
      <w:r>
        <w:rPr>
          <w:rFonts w:ascii="Arial" w:cs="Arial" w:eastAsia="Arial" w:hAnsi="Arial"/>
          <w:b w:val="false"/>
          <w:bCs w:val="false"/>
          <w:i/>
          <w:iCs/>
          <w:sz w:val="22"/>
          <w:szCs w:val="22"/>
        </w:rPr>
        <w:t xml:space="preserve">Nat.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15</w:t>
      </w:r>
      <w:r>
        <w:rPr>
          <w:rFonts w:ascii="Arial" w:cs="Arial" w:eastAsia="Arial" w:hAnsi="Arial"/>
          <w:b w:val="false"/>
          <w:bCs w:val="false"/>
          <w:i w:val="false"/>
          <w:iCs w:val="false"/>
          <w:sz w:val="22"/>
          <w:szCs w:val="22"/>
        </w:rPr>
        <w:t xml:space="preserve">, 4940 (2024).</w:t>
      </w:r>
    </w:p>
    <w:p>
      <w:pPr>
        <w:spacing w:after="60" w:line="240" w:lineRule="auto"/>
        <w:jc w:val="left"/>
      </w:pPr>
      <w:r>
        <w:rPr>
          <w:rFonts w:ascii="Arial" w:cs="Arial" w:eastAsia="Arial" w:hAnsi="Arial"/>
          <w:b w:val="false"/>
          <w:bCs w:val="false"/>
          <w:i w:val="false"/>
          <w:iCs w:val="false"/>
          <w:sz w:val="22"/>
          <w:szCs w:val="22"/>
        </w:rPr>
        <w:t xml:space="preserve">20. Bajpai, A. et al. Attention-enhanced variational learning for physically informed discovery of exceptionally hard multicomponent bulk metallic glasses. </w:t>
      </w:r>
      <w:r>
        <w:rPr>
          <w:rFonts w:ascii="Arial" w:cs="Arial" w:eastAsia="Arial" w:hAnsi="Arial"/>
          <w:b w:val="false"/>
          <w:bCs w:val="false"/>
          <w:i/>
          <w:iCs/>
          <w:sz w:val="22"/>
          <w:szCs w:val="22"/>
        </w:rPr>
        <w:t xml:space="preserve">Nat.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17</w:t>
      </w:r>
      <w:r>
        <w:rPr>
          <w:rFonts w:ascii="Arial" w:cs="Arial" w:eastAsia="Arial" w:hAnsi="Arial"/>
          <w:b w:val="false"/>
          <w:bCs w:val="false"/>
          <w:i w:val="false"/>
          <w:iCs w:val="false"/>
          <w:sz w:val="22"/>
          <w:szCs w:val="22"/>
        </w:rPr>
        <w:t xml:space="preserve">, 4266 (2026).</w:t>
      </w:r>
    </w:p>
    <w:p>
      <w:pPr>
        <w:spacing w:after="60" w:line="240" w:lineRule="auto"/>
        <w:jc w:val="left"/>
      </w:pPr>
      <w:r>
        <w:rPr>
          <w:rFonts w:ascii="Arial" w:cs="Arial" w:eastAsia="Arial" w:hAnsi="Arial"/>
          <w:b w:val="false"/>
          <w:bCs w:val="false"/>
          <w:i w:val="false"/>
          <w:iCs w:val="false"/>
          <w:sz w:val="22"/>
          <w:szCs w:val="22"/>
        </w:rPr>
        <w:t xml:space="preserve">21. Karniadakis, G. E. et al. Physics-informed machine learning. </w:t>
      </w:r>
      <w:r>
        <w:rPr>
          <w:rFonts w:ascii="Arial" w:cs="Arial" w:eastAsia="Arial" w:hAnsi="Arial"/>
          <w:b w:val="false"/>
          <w:bCs w:val="false"/>
          <w:i/>
          <w:iCs/>
          <w:sz w:val="22"/>
          <w:szCs w:val="22"/>
        </w:rPr>
        <w:t xml:space="preserve">Nat. Rev. Phys.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w:t>
      </w:r>
      <w:r>
        <w:rPr>
          <w:rFonts w:ascii="Arial" w:cs="Arial" w:eastAsia="Arial" w:hAnsi="Arial"/>
          <w:b w:val="false"/>
          <w:bCs w:val="false"/>
          <w:i w:val="false"/>
          <w:iCs w:val="false"/>
          <w:sz w:val="22"/>
          <w:szCs w:val="22"/>
        </w:rPr>
        <w:t xml:space="preserve">, 422–440 (2021).</w:t>
      </w:r>
    </w:p>
    <w:p>
      <w:pPr>
        <w:spacing w:after="60" w:line="240" w:lineRule="auto"/>
        <w:jc w:val="left"/>
      </w:pPr>
      <w:r>
        <w:rPr>
          <w:rFonts w:ascii="Arial" w:cs="Arial" w:eastAsia="Arial" w:hAnsi="Arial"/>
          <w:b w:val="false"/>
          <w:bCs w:val="false"/>
          <w:i w:val="false"/>
          <w:iCs w:val="false"/>
          <w:sz w:val="22"/>
          <w:szCs w:val="22"/>
        </w:rPr>
        <w:t xml:space="preserve">22. Ghosez, P., Michenaud, J.-P. &amp; Gonze, X. Dynamical atomic charges: the case of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compounds. </w:t>
      </w:r>
      <w:r>
        <w:rPr>
          <w:rFonts w:ascii="Arial" w:cs="Arial" w:eastAsia="Arial" w:hAnsi="Arial"/>
          <w:b w:val="false"/>
          <w:bCs w:val="false"/>
          <w:i/>
          <w:iCs/>
          <w:sz w:val="22"/>
          <w:szCs w:val="22"/>
        </w:rPr>
        <w:t xml:space="preserve">Phys. Rev.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58</w:t>
      </w:r>
      <w:r>
        <w:rPr>
          <w:rFonts w:ascii="Arial" w:cs="Arial" w:eastAsia="Arial" w:hAnsi="Arial"/>
          <w:b w:val="false"/>
          <w:bCs w:val="false"/>
          <w:i w:val="false"/>
          <w:iCs w:val="false"/>
          <w:sz w:val="22"/>
          <w:szCs w:val="22"/>
        </w:rPr>
        <w:t xml:space="preserve">, 6224–6240 (1998).</w:t>
      </w:r>
    </w:p>
    <w:p>
      <w:pPr>
        <w:spacing w:after="60" w:line="240" w:lineRule="auto"/>
        <w:jc w:val="left"/>
      </w:pPr>
      <w:r>
        <w:rPr>
          <w:rFonts w:ascii="Arial" w:cs="Arial" w:eastAsia="Arial" w:hAnsi="Arial"/>
          <w:b w:val="false"/>
          <w:bCs w:val="false"/>
          <w:i w:val="false"/>
          <w:iCs w:val="false"/>
          <w:sz w:val="22"/>
          <w:szCs w:val="22"/>
        </w:rPr>
        <w:t xml:space="preserve">23. Lines, M. E. &amp; Glass, A. M. </w:t>
      </w:r>
      <w:r>
        <w:rPr>
          <w:rFonts w:ascii="Arial" w:cs="Arial" w:eastAsia="Arial" w:hAnsi="Arial"/>
          <w:b w:val="false"/>
          <w:bCs w:val="false"/>
          <w:i/>
          <w:iCs/>
          <w:sz w:val="22"/>
          <w:szCs w:val="22"/>
        </w:rPr>
        <w:t xml:space="preserve">Principles and Applications of Ferroelectrics and Related Materials</w:t>
      </w:r>
      <w:r>
        <w:rPr>
          <w:rFonts w:ascii="Arial" w:cs="Arial" w:eastAsia="Arial" w:hAnsi="Arial"/>
          <w:b w:val="false"/>
          <w:bCs w:val="false"/>
          <w:i w:val="false"/>
          <w:iCs w:val="false"/>
          <w:sz w:val="22"/>
          <w:szCs w:val="22"/>
        </w:rPr>
        <w:t xml:space="preserve"> (Oxford University Press, 1977).</w:t>
      </w:r>
    </w:p>
    <w:p>
      <w:pPr>
        <w:spacing w:after="60" w:line="240" w:lineRule="auto"/>
        <w:jc w:val="left"/>
      </w:pPr>
      <w:r>
        <w:rPr>
          <w:rFonts w:ascii="Arial" w:cs="Arial" w:eastAsia="Arial" w:hAnsi="Arial"/>
          <w:b w:val="false"/>
          <w:bCs w:val="false"/>
          <w:i w:val="false"/>
          <w:iCs w:val="false"/>
          <w:sz w:val="22"/>
          <w:szCs w:val="22"/>
        </w:rPr>
        <w:t xml:space="preserve">24. Lundberg, S. M. &amp; Lee, S.-I. A unified approach to interpreting model predictions. </w:t>
      </w:r>
      <w:r>
        <w:rPr>
          <w:rFonts w:ascii="Arial" w:cs="Arial" w:eastAsia="Arial" w:hAnsi="Arial"/>
          <w:b w:val="false"/>
          <w:bCs w:val="false"/>
          <w:i/>
          <w:iCs/>
          <w:sz w:val="22"/>
          <w:szCs w:val="22"/>
        </w:rPr>
        <w:t xml:space="preserve">Advances in Neural Information Processing Systems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30</w:t>
      </w:r>
      <w:r>
        <w:rPr>
          <w:rFonts w:ascii="Arial" w:cs="Arial" w:eastAsia="Arial" w:hAnsi="Arial"/>
          <w:b w:val="false"/>
          <w:bCs w:val="false"/>
          <w:i w:val="false"/>
          <w:iCs w:val="false"/>
          <w:sz w:val="22"/>
          <w:szCs w:val="22"/>
        </w:rPr>
        <w:t xml:space="preserve">, 4765–4774 (2017).</w:t>
      </w:r>
    </w:p>
    <w:p>
      <w:pPr>
        <w:spacing w:after="60" w:line="240" w:lineRule="auto"/>
        <w:jc w:val="left"/>
      </w:pPr>
      <w:r>
        <w:rPr>
          <w:rFonts w:ascii="Arial" w:cs="Arial" w:eastAsia="Arial" w:hAnsi="Arial"/>
          <w:b w:val="false"/>
          <w:bCs w:val="false"/>
          <w:i w:val="false"/>
          <w:iCs w:val="false"/>
          <w:sz w:val="22"/>
          <w:szCs w:val="22"/>
        </w:rPr>
        <w:t xml:space="preserve">25. Waghmare, U. V. &amp; Rabe, K. M. Ab initio statistical mechanics of the ferroelectric phase transition in PbTiO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Phys. Rev.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55</w:t>
      </w:r>
      <w:r>
        <w:rPr>
          <w:rFonts w:ascii="Arial" w:cs="Arial" w:eastAsia="Arial" w:hAnsi="Arial"/>
          <w:b w:val="false"/>
          <w:bCs w:val="false"/>
          <w:i w:val="false"/>
          <w:iCs w:val="false"/>
          <w:sz w:val="22"/>
          <w:szCs w:val="22"/>
        </w:rPr>
        <w:t xml:space="preserve">, 6161–6173 (1997).</w:t>
      </w:r>
    </w:p>
    <w:p>
      <w:pPr>
        <w:spacing w:after="60" w:line="240" w:lineRule="auto"/>
        <w:jc w:val="left"/>
      </w:pPr>
      <w:r>
        <w:rPr>
          <w:rFonts w:ascii="Arial" w:cs="Arial" w:eastAsia="Arial" w:hAnsi="Arial"/>
          <w:b w:val="false"/>
          <w:bCs w:val="false"/>
          <w:i w:val="false"/>
          <w:iCs w:val="false"/>
          <w:sz w:val="22"/>
          <w:szCs w:val="22"/>
        </w:rPr>
        <w:t xml:space="preserve">26. Azuma, M. et al. Functional transition metal perovskite oxides with 6s</w:t>
      </w:r>
      <w:r>
        <w:rPr>
          <w:rFonts w:ascii="Arial" w:cs="Arial" w:eastAsia="Arial" w:hAnsi="Arial"/>
          <w:b w:val="false"/>
          <w:bCs w:val="false"/>
          <w:i w:val="false"/>
          <w:iCs w:val="false"/>
          <w:sz w:val="22"/>
          <w:szCs w:val="22"/>
          <w:vertAlign w:val="superscript"/>
        </w:rPr>
        <w:t xml:space="preserve">2</w:t>
      </w:r>
      <w:r>
        <w:rPr>
          <w:rFonts w:ascii="Arial" w:cs="Arial" w:eastAsia="Arial" w:hAnsi="Arial"/>
          <w:b w:val="false"/>
          <w:bCs w:val="false"/>
          <w:i w:val="false"/>
          <w:iCs w:val="false"/>
          <w:sz w:val="22"/>
          <w:szCs w:val="22"/>
        </w:rPr>
        <w:t xml:space="preserve"> lone pair activity stabilized by high-pressure synthesis. </w:t>
      </w:r>
      <w:r>
        <w:rPr>
          <w:rFonts w:ascii="Arial" w:cs="Arial" w:eastAsia="Arial" w:hAnsi="Arial"/>
          <w:b w:val="false"/>
          <w:bCs w:val="false"/>
          <w:i/>
          <w:iCs/>
          <w:sz w:val="22"/>
          <w:szCs w:val="22"/>
        </w:rPr>
        <w:t xml:space="preserve">Annu. Rev. Mater. Res.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51</w:t>
      </w:r>
      <w:r>
        <w:rPr>
          <w:rFonts w:ascii="Arial" w:cs="Arial" w:eastAsia="Arial" w:hAnsi="Arial"/>
          <w:b w:val="false"/>
          <w:bCs w:val="false"/>
          <w:i w:val="false"/>
          <w:iCs w:val="false"/>
          <w:sz w:val="22"/>
          <w:szCs w:val="22"/>
        </w:rPr>
        <w:t xml:space="preserve">, 329–349 (2021).</w:t>
      </w:r>
    </w:p>
    <w:p>
      <w:pPr>
        <w:spacing w:after="60" w:line="240" w:lineRule="auto"/>
        <w:jc w:val="left"/>
      </w:pPr>
      <w:r>
        <w:rPr>
          <w:rFonts w:ascii="Arial" w:cs="Arial" w:eastAsia="Arial" w:hAnsi="Arial"/>
          <w:b w:val="false"/>
          <w:bCs w:val="false"/>
          <w:i w:val="false"/>
          <w:iCs w:val="false"/>
          <w:sz w:val="22"/>
          <w:szCs w:val="22"/>
        </w:rPr>
        <w:t xml:space="preserve">27. Sartor, D., Sinigaglia, A. &amp; Susto, G. A. Advancing constrained monotonic neural networks: achieving universal approximation beyond bounded activations. Preprint at https://arxiv.org/abs/2505.02537 (2025).</w:t>
      </w:r>
    </w:p>
    <w:p>
      <w:pPr>
        <w:spacing w:after="60" w:line="240" w:lineRule="auto"/>
        <w:jc w:val="left"/>
      </w:pPr>
      <w:r>
        <w:rPr>
          <w:rFonts w:ascii="Arial" w:cs="Arial" w:eastAsia="Arial" w:hAnsi="Arial"/>
          <w:b w:val="false"/>
          <w:bCs w:val="false"/>
          <w:i w:val="false"/>
          <w:iCs w:val="false"/>
          <w:sz w:val="22"/>
          <w:szCs w:val="22"/>
        </w:rPr>
        <w:t xml:space="preserve">28. Angelopoulos, A. N. &amp; Bates, S. A gentle introduction to conformal prediction and distribution-free uncertainty quantification. </w:t>
      </w:r>
      <w:r>
        <w:rPr>
          <w:rFonts w:ascii="Arial" w:cs="Arial" w:eastAsia="Arial" w:hAnsi="Arial"/>
          <w:b w:val="false"/>
          <w:bCs w:val="false"/>
          <w:i/>
          <w:iCs/>
          <w:sz w:val="22"/>
          <w:szCs w:val="22"/>
        </w:rPr>
        <w:t xml:space="preserve">Found. Trends Mach. Learn.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16</w:t>
      </w:r>
      <w:r>
        <w:rPr>
          <w:rFonts w:ascii="Arial" w:cs="Arial" w:eastAsia="Arial" w:hAnsi="Arial"/>
          <w:b w:val="false"/>
          <w:bCs w:val="false"/>
          <w:i w:val="false"/>
          <w:iCs w:val="false"/>
          <w:sz w:val="22"/>
          <w:szCs w:val="22"/>
        </w:rPr>
        <w:t xml:space="preserve">, 494–591 (2023).</w:t>
      </w:r>
    </w:p>
    <w:p>
      <w:pPr>
        <w:spacing w:after="60" w:line="240" w:lineRule="auto"/>
        <w:jc w:val="left"/>
      </w:pPr>
      <w:r>
        <w:rPr>
          <w:rFonts w:ascii="Arial" w:cs="Arial" w:eastAsia="Arial" w:hAnsi="Arial"/>
          <w:b w:val="false"/>
          <w:bCs w:val="false"/>
          <w:i w:val="false"/>
          <w:iCs w:val="false"/>
          <w:sz w:val="22"/>
          <w:szCs w:val="22"/>
        </w:rPr>
        <w:t xml:space="preserve">29. Sutton, C. et al. Identifying domains of applicability of machine learning models for materials science. </w:t>
      </w:r>
      <w:r>
        <w:rPr>
          <w:rFonts w:ascii="Arial" w:cs="Arial" w:eastAsia="Arial" w:hAnsi="Arial"/>
          <w:b w:val="false"/>
          <w:bCs w:val="false"/>
          <w:i/>
          <w:iCs/>
          <w:sz w:val="22"/>
          <w:szCs w:val="22"/>
        </w:rPr>
        <w:t xml:space="preserve">Nat.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w:t>
      </w:r>
      <w:r>
        <w:rPr>
          <w:rFonts w:ascii="Arial" w:cs="Arial" w:eastAsia="Arial" w:hAnsi="Arial"/>
          <w:b w:val="false"/>
          <w:bCs w:val="false"/>
          <w:i w:val="false"/>
          <w:iCs w:val="false"/>
          <w:sz w:val="22"/>
          <w:szCs w:val="22"/>
        </w:rPr>
        <w:t xml:space="preserve">, 4428 (2020).</w:t>
      </w:r>
    </w:p>
    <w:p>
      <w:pPr>
        <w:spacing w:after="60" w:line="240" w:lineRule="auto"/>
        <w:jc w:val="left"/>
      </w:pPr>
      <w:r>
        <w:rPr>
          <w:rFonts w:ascii="Arial" w:cs="Arial" w:eastAsia="Arial" w:hAnsi="Arial"/>
          <w:b w:val="false"/>
          <w:bCs w:val="false"/>
          <w:i w:val="false"/>
          <w:iCs w:val="false"/>
          <w:sz w:val="22"/>
          <w:szCs w:val="22"/>
        </w:rPr>
        <w:t xml:space="preserve">30. Schultz, L. E., Wang, Y., Jacobs, R. &amp; Morgan, D. A general approach for determining the applicability domain of machine learning models.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w:t>
      </w:r>
      <w:r>
        <w:rPr>
          <w:rFonts w:ascii="Arial" w:cs="Arial" w:eastAsia="Arial" w:hAnsi="Arial"/>
          <w:b w:val="false"/>
          <w:bCs w:val="false"/>
          <w:i w:val="false"/>
          <w:iCs w:val="false"/>
          <w:sz w:val="22"/>
          <w:szCs w:val="22"/>
        </w:rPr>
        <w:t xml:space="preserve">, 95 (2025).</w:t>
      </w:r>
    </w:p>
    <w:p>
      <w:pPr>
        <w:spacing w:after="60" w:line="240" w:lineRule="auto"/>
        <w:jc w:val="left"/>
      </w:pPr>
      <w:r>
        <w:rPr>
          <w:rFonts w:ascii="Arial" w:cs="Arial" w:eastAsia="Arial" w:hAnsi="Arial"/>
          <w:b w:val="false"/>
          <w:bCs w:val="false"/>
          <w:i w:val="false"/>
          <w:iCs w:val="false"/>
          <w:sz w:val="22"/>
          <w:szCs w:val="22"/>
        </w:rPr>
        <w:t xml:space="preserve">31. Li, K. et al. Probing out-of-distribution generalization in machine learning for materials. </w:t>
      </w:r>
      <w:r>
        <w:rPr>
          <w:rFonts w:ascii="Arial" w:cs="Arial" w:eastAsia="Arial" w:hAnsi="Arial"/>
          <w:b w:val="false"/>
          <w:bCs w:val="false"/>
          <w:i/>
          <w:iCs/>
          <w:sz w:val="22"/>
          <w:szCs w:val="22"/>
        </w:rPr>
        <w:t xml:space="preserve">Commun.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6</w:t>
      </w:r>
      <w:r>
        <w:rPr>
          <w:rFonts w:ascii="Arial" w:cs="Arial" w:eastAsia="Arial" w:hAnsi="Arial"/>
          <w:b w:val="false"/>
          <w:bCs w:val="false"/>
          <w:i w:val="false"/>
          <w:iCs w:val="false"/>
          <w:sz w:val="22"/>
          <w:szCs w:val="22"/>
        </w:rPr>
        <w:t xml:space="preserve">, 9 (2025).</w:t>
      </w:r>
    </w:p>
    <w:p>
      <w:pPr>
        <w:spacing w:after="60" w:line="240" w:lineRule="auto"/>
        <w:jc w:val="left"/>
      </w:pPr>
      <w:r>
        <w:rPr>
          <w:rFonts w:ascii="Arial" w:cs="Arial" w:eastAsia="Arial" w:hAnsi="Arial"/>
          <w:b w:val="false"/>
          <w:bCs w:val="false"/>
          <w:i w:val="false"/>
          <w:iCs w:val="false"/>
          <w:sz w:val="22"/>
          <w:szCs w:val="22"/>
        </w:rPr>
        <w:t xml:space="preserve">32. Omee, S. S., Fu, N., Dong, R., Hu, M. &amp; Hu, J. Structure-based out-of-distribution (OOD) materials property prediction: a benchmark study.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10</w:t>
      </w:r>
      <w:r>
        <w:rPr>
          <w:rFonts w:ascii="Arial" w:cs="Arial" w:eastAsia="Arial" w:hAnsi="Arial"/>
          <w:b w:val="false"/>
          <w:bCs w:val="false"/>
          <w:i w:val="false"/>
          <w:iCs w:val="false"/>
          <w:sz w:val="22"/>
          <w:szCs w:val="22"/>
        </w:rPr>
        <w:t xml:space="preserve">, 144 (2024).</w:t>
      </w:r>
    </w:p>
    <w:p>
      <w:pPr>
        <w:spacing w:after="60" w:line="240" w:lineRule="auto"/>
        <w:jc w:val="left"/>
      </w:pPr>
      <w:r>
        <w:rPr>
          <w:rFonts w:ascii="Arial" w:cs="Arial" w:eastAsia="Arial" w:hAnsi="Arial"/>
          <w:b w:val="false"/>
          <w:bCs w:val="false"/>
          <w:i w:val="false"/>
          <w:iCs w:val="false"/>
          <w:sz w:val="22"/>
          <w:szCs w:val="22"/>
        </w:rPr>
        <w:t xml:space="preserve">33. Eiben, A. E. &amp; Smith, J. E. </w:t>
      </w:r>
      <w:r>
        <w:rPr>
          <w:rFonts w:ascii="Arial" w:cs="Arial" w:eastAsia="Arial" w:hAnsi="Arial"/>
          <w:b w:val="false"/>
          <w:bCs w:val="false"/>
          <w:i/>
          <w:iCs/>
          <w:sz w:val="22"/>
          <w:szCs w:val="22"/>
        </w:rPr>
        <w:t xml:space="preserve">Introduction to Evolutionary Computing</w:t>
      </w:r>
      <w:r>
        <w:rPr>
          <w:rFonts w:ascii="Arial" w:cs="Arial" w:eastAsia="Arial" w:hAnsi="Arial"/>
          <w:b w:val="false"/>
          <w:bCs w:val="false"/>
          <w:i w:val="false"/>
          <w:iCs w:val="false"/>
          <w:sz w:val="22"/>
          <w:szCs w:val="22"/>
        </w:rPr>
        <w:t xml:space="preserve"> 2nd edn (Springer, 2015).</w:t>
      </w:r>
    </w:p>
    <w:p>
      <w:pPr>
        <w:spacing w:after="60" w:line="240" w:lineRule="auto"/>
        <w:jc w:val="left"/>
      </w:pPr>
      <w:r>
        <w:rPr>
          <w:rFonts w:ascii="Arial" w:cs="Arial" w:eastAsia="Arial" w:hAnsi="Arial"/>
          <w:b w:val="false"/>
          <w:bCs w:val="false"/>
          <w:i w:val="false"/>
          <w:iCs w:val="false"/>
          <w:sz w:val="22"/>
          <w:szCs w:val="22"/>
        </w:rPr>
        <w:t xml:space="preserve">34. Hill, N. A. Why are there so few magnetic ferroelectrics? </w:t>
      </w:r>
      <w:r>
        <w:rPr>
          <w:rFonts w:ascii="Arial" w:cs="Arial" w:eastAsia="Arial" w:hAnsi="Arial"/>
          <w:b w:val="false"/>
          <w:bCs w:val="false"/>
          <w:i/>
          <w:iCs/>
          <w:sz w:val="22"/>
          <w:szCs w:val="22"/>
        </w:rPr>
        <w:t xml:space="preserve">J. Phys. Chem.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104</w:t>
      </w:r>
      <w:r>
        <w:rPr>
          <w:rFonts w:ascii="Arial" w:cs="Arial" w:eastAsia="Arial" w:hAnsi="Arial"/>
          <w:b w:val="false"/>
          <w:bCs w:val="false"/>
          <w:i w:val="false"/>
          <w:iCs w:val="false"/>
          <w:sz w:val="22"/>
          <w:szCs w:val="22"/>
        </w:rPr>
        <w:t xml:space="preserve">, 6694–6709 (2000).</w:t>
      </w:r>
    </w:p>
    <w:p>
      <w:pPr>
        <w:spacing w:after="60" w:line="240" w:lineRule="auto"/>
        <w:jc w:val="left"/>
      </w:pPr>
      <w:r>
        <w:rPr>
          <w:rFonts w:ascii="Arial" w:cs="Arial" w:eastAsia="Arial" w:hAnsi="Arial"/>
          <w:b w:val="false"/>
          <w:bCs w:val="false"/>
          <w:i w:val="false"/>
          <w:iCs w:val="false"/>
          <w:sz w:val="22"/>
          <w:szCs w:val="22"/>
        </w:rPr>
        <w:t xml:space="preserve">35. Zhang, Z. et al. Phonon lifetimes and mode softening in cubic Cs</w:t>
      </w:r>
      <w:r>
        <w:rPr>
          <w:rFonts w:ascii="Arial" w:cs="Arial" w:eastAsia="Arial" w:hAnsi="Arial"/>
          <w:b w:val="false"/>
          <w:bCs w:val="false"/>
          <w:i w:val="false"/>
          <w:iCs w:val="false"/>
          <w:sz w:val="22"/>
          <w:szCs w:val="22"/>
          <w:vertAlign w:val="subscript"/>
        </w:rPr>
        <w:t xml:space="preserve">2</w:t>
      </w:r>
      <w:r>
        <w:rPr>
          <w:rFonts w:ascii="Arial" w:cs="Arial" w:eastAsia="Arial" w:hAnsi="Arial"/>
          <w:b w:val="false"/>
          <w:bCs w:val="false"/>
          <w:i w:val="false"/>
          <w:iCs w:val="false"/>
          <w:sz w:val="22"/>
          <w:szCs w:val="22"/>
        </w:rPr>
        <w:t xml:space="preserve">AgBiBr</w:t>
      </w:r>
      <w:r>
        <w:rPr>
          <w:rFonts w:ascii="Arial" w:cs="Arial" w:eastAsia="Arial" w:hAnsi="Arial"/>
          <w:b w:val="false"/>
          <w:bCs w:val="false"/>
          <w:i w:val="false"/>
          <w:iCs w:val="false"/>
          <w:sz w:val="22"/>
          <w:szCs w:val="22"/>
          <w:vertAlign w:val="subscript"/>
        </w:rPr>
        <w:t xml:space="preserve">6</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Newton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w:t>
      </w:r>
      <w:r>
        <w:rPr>
          <w:rFonts w:ascii="Arial" w:cs="Arial" w:eastAsia="Arial" w:hAnsi="Arial"/>
          <w:b w:val="false"/>
          <w:bCs w:val="false"/>
          <w:i w:val="false"/>
          <w:iCs w:val="false"/>
          <w:sz w:val="22"/>
          <w:szCs w:val="22"/>
        </w:rPr>
        <w:t xml:space="preserve">, 100097 (2025).</w:t>
      </w:r>
    </w:p>
    <w:p>
      <w:pPr>
        <w:spacing w:after="60" w:line="240" w:lineRule="auto"/>
        <w:jc w:val="left"/>
      </w:pPr>
      <w:r>
        <w:rPr>
          <w:rFonts w:ascii="Arial" w:cs="Arial" w:eastAsia="Arial" w:hAnsi="Arial"/>
          <w:b w:val="false"/>
          <w:bCs w:val="false"/>
          <w:i w:val="false"/>
          <w:iCs w:val="false"/>
          <w:sz w:val="22"/>
          <w:szCs w:val="22"/>
        </w:rPr>
        <w:t xml:space="preserve">36. Moreira, R. L., Lobo, R. P. S. M., Subodh, G., Sebastian, M. T., Matinaga, F. M. &amp; Dias, A. Optical phonon modes and dielectric behavior of Sr</w:t>
      </w:r>
      <w:r>
        <w:rPr>
          <w:rFonts w:ascii="Arial" w:cs="Arial" w:eastAsia="Arial" w:hAnsi="Arial"/>
          <w:b w:val="false"/>
          <w:bCs w:val="false"/>
          <w:i w:val="false"/>
          <w:iCs w:val="false"/>
          <w:sz w:val="22"/>
          <w:szCs w:val="22"/>
          <w:vertAlign w:val="subscript"/>
        </w:rPr>
        <w:t xml:space="preserve">1−3x/2</w:t>
      </w:r>
      <w:r>
        <w:rPr>
          <w:rFonts w:ascii="Arial" w:cs="Arial" w:eastAsia="Arial" w:hAnsi="Arial"/>
          <w:b w:val="false"/>
          <w:bCs w:val="false"/>
          <w:i w:val="false"/>
          <w:iCs w:val="false"/>
          <w:sz w:val="22"/>
          <w:szCs w:val="22"/>
        </w:rPr>
        <w:t xml:space="preserve">Ce</w:t>
      </w:r>
      <w:r>
        <w:rPr>
          <w:rFonts w:ascii="Arial" w:cs="Arial" w:eastAsia="Arial" w:hAnsi="Arial"/>
          <w:b w:val="false"/>
          <w:bCs w:val="false"/>
          <w:i w:val="false"/>
          <w:iCs w:val="false"/>
          <w:sz w:val="22"/>
          <w:szCs w:val="22"/>
          <w:vertAlign w:val="subscript"/>
        </w:rPr>
        <w:t xml:space="preserve">x</w:t>
      </w:r>
      <w:r>
        <w:rPr>
          <w:rFonts w:ascii="Arial" w:cs="Arial" w:eastAsia="Arial" w:hAnsi="Arial"/>
          <w:b w:val="false"/>
          <w:bCs w:val="false"/>
          <w:i w:val="false"/>
          <w:iCs w:val="false"/>
          <w:sz w:val="22"/>
          <w:szCs w:val="22"/>
        </w:rPr>
        <w:t xml:space="preserve">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 ceramics. </w:t>
      </w:r>
      <w:r>
        <w:rPr>
          <w:rFonts w:ascii="Arial" w:cs="Arial" w:eastAsia="Arial" w:hAnsi="Arial"/>
          <w:b w:val="false"/>
          <w:bCs w:val="false"/>
          <w:i/>
          <w:iCs/>
          <w:sz w:val="22"/>
          <w:szCs w:val="22"/>
        </w:rPr>
        <w:t xml:space="preserve">Chem.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19</w:t>
      </w:r>
      <w:r>
        <w:rPr>
          <w:rFonts w:ascii="Arial" w:cs="Arial" w:eastAsia="Arial" w:hAnsi="Arial"/>
          <w:b w:val="false"/>
          <w:bCs w:val="false"/>
          <w:i w:val="false"/>
          <w:iCs w:val="false"/>
          <w:sz w:val="22"/>
          <w:szCs w:val="22"/>
        </w:rPr>
        <w:t xml:space="preserve">, 6548–6554 (2007).</w:t>
      </w:r>
    </w:p>
    <w:p>
      <w:pPr>
        <w:spacing w:after="60" w:line="240" w:lineRule="auto"/>
        <w:jc w:val="left"/>
      </w:pPr>
      <w:r>
        <w:rPr>
          <w:rFonts w:ascii="Arial" w:cs="Arial" w:eastAsia="Arial" w:hAnsi="Arial"/>
          <w:b w:val="false"/>
          <w:bCs w:val="false"/>
          <w:i w:val="false"/>
          <w:iCs w:val="false"/>
          <w:sz w:val="22"/>
          <w:szCs w:val="22"/>
        </w:rPr>
        <w:t xml:space="preserve">37. Zhao, K. et al. Modeling critical thermoelectric transports driven by band broadening and phonon softening. </w:t>
      </w:r>
      <w:r>
        <w:rPr>
          <w:rFonts w:ascii="Arial" w:cs="Arial" w:eastAsia="Arial" w:hAnsi="Arial"/>
          <w:b w:val="false"/>
          <w:bCs w:val="false"/>
          <w:i/>
          <w:iCs/>
          <w:sz w:val="22"/>
          <w:szCs w:val="22"/>
        </w:rPr>
        <w:t xml:space="preserve">Nat.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15</w:t>
      </w:r>
      <w:r>
        <w:rPr>
          <w:rFonts w:ascii="Arial" w:cs="Arial" w:eastAsia="Arial" w:hAnsi="Arial"/>
          <w:b w:val="false"/>
          <w:bCs w:val="false"/>
          <w:i w:val="false"/>
          <w:iCs w:val="false"/>
          <w:sz w:val="22"/>
          <w:szCs w:val="22"/>
        </w:rPr>
        <w:t xml:space="preserve">, 776 (2024).</w:t>
      </w:r>
    </w:p>
    <w:p>
      <w:pPr>
        <w:spacing w:after="60" w:line="240" w:lineRule="auto"/>
        <w:jc w:val="left"/>
      </w:pPr>
      <w:r>
        <w:rPr>
          <w:rFonts w:ascii="Arial" w:cs="Arial" w:eastAsia="Arial" w:hAnsi="Arial"/>
          <w:b w:val="false"/>
          <w:bCs w:val="false"/>
          <w:i w:val="false"/>
          <w:iCs w:val="false"/>
          <w:sz w:val="22"/>
          <w:szCs w:val="22"/>
        </w:rPr>
        <w:t xml:space="preserve">38. Lemanov, V. V., Sotnikov, A. V., Smirnova, E. P., Weihnacht, M. &amp; Kunze, R. Perovskite CaTiO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as an incipient ferroelectric. </w:t>
      </w:r>
      <w:r>
        <w:rPr>
          <w:rFonts w:ascii="Arial" w:cs="Arial" w:eastAsia="Arial" w:hAnsi="Arial"/>
          <w:b w:val="false"/>
          <w:bCs w:val="false"/>
          <w:i/>
          <w:iCs/>
          <w:sz w:val="22"/>
          <w:szCs w:val="22"/>
        </w:rPr>
        <w:t xml:space="preserve">Solid State Commun.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110</w:t>
      </w:r>
      <w:r>
        <w:rPr>
          <w:rFonts w:ascii="Arial" w:cs="Arial" w:eastAsia="Arial" w:hAnsi="Arial"/>
          <w:b w:val="false"/>
          <w:bCs w:val="false"/>
          <w:i w:val="false"/>
          <w:iCs w:val="false"/>
          <w:sz w:val="22"/>
          <w:szCs w:val="22"/>
        </w:rPr>
        <w:t xml:space="preserve">, 611–614 (1999).</w:t>
      </w:r>
    </w:p>
    <w:p>
      <w:pPr>
        <w:spacing w:after="60" w:line="240" w:lineRule="auto"/>
        <w:jc w:val="left"/>
      </w:pPr>
      <w:r>
        <w:rPr>
          <w:rFonts w:ascii="Arial" w:cs="Arial" w:eastAsia="Arial" w:hAnsi="Arial"/>
          <w:b w:val="false"/>
          <w:bCs w:val="false"/>
          <w:i w:val="false"/>
          <w:iCs w:val="false"/>
          <w:sz w:val="22"/>
          <w:szCs w:val="22"/>
        </w:rPr>
        <w:t xml:space="preserve">39. Hakki, B. W. &amp; Coleman, P. D. A dielectric resonator method of measuring inductive capacities in the millimetre range. </w:t>
      </w:r>
      <w:r>
        <w:rPr>
          <w:rFonts w:ascii="Arial" w:cs="Arial" w:eastAsia="Arial" w:hAnsi="Arial"/>
          <w:b w:val="false"/>
          <w:bCs w:val="false"/>
          <w:i/>
          <w:iCs/>
          <w:sz w:val="22"/>
          <w:szCs w:val="22"/>
        </w:rPr>
        <w:t xml:space="preserve">IRE Trans. Microw. Theory Tech.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8</w:t>
      </w:r>
      <w:r>
        <w:rPr>
          <w:rFonts w:ascii="Arial" w:cs="Arial" w:eastAsia="Arial" w:hAnsi="Arial"/>
          <w:b w:val="false"/>
          <w:bCs w:val="false"/>
          <w:i w:val="false"/>
          <w:iCs w:val="false"/>
          <w:sz w:val="22"/>
          <w:szCs w:val="22"/>
        </w:rPr>
        <w:t xml:space="preserve">, 402–410 (1960).</w:t>
      </w:r>
    </w:p>
    <w:p>
      <w:pPr>
        <w:spacing w:after="60" w:line="240" w:lineRule="auto"/>
        <w:jc w:val="left"/>
      </w:pPr>
      <w:r>
        <w:rPr>
          <w:rFonts w:ascii="Arial" w:cs="Arial" w:eastAsia="Arial" w:hAnsi="Arial"/>
          <w:b w:val="false"/>
          <w:bCs w:val="false"/>
          <w:i w:val="false"/>
          <w:iCs w:val="false"/>
          <w:sz w:val="22"/>
          <w:szCs w:val="22"/>
        </w:rPr>
        <w:t xml:space="preserve">40. Courtney, W. E. Analysis and evaluation of a method of measuring the complex permittivity and permeability of microwave insulators. </w:t>
      </w:r>
      <w:r>
        <w:rPr>
          <w:rFonts w:ascii="Arial" w:cs="Arial" w:eastAsia="Arial" w:hAnsi="Arial"/>
          <w:b w:val="false"/>
          <w:bCs w:val="false"/>
          <w:i/>
          <w:iCs/>
          <w:sz w:val="22"/>
          <w:szCs w:val="22"/>
        </w:rPr>
        <w:t xml:space="preserve">IEEE Trans. Microw. Theory Tech.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18</w:t>
      </w:r>
      <w:r>
        <w:rPr>
          <w:rFonts w:ascii="Arial" w:cs="Arial" w:eastAsia="Arial" w:hAnsi="Arial"/>
          <w:b w:val="false"/>
          <w:bCs w:val="false"/>
          <w:i w:val="false"/>
          <w:iCs w:val="false"/>
          <w:sz w:val="22"/>
          <w:szCs w:val="22"/>
        </w:rPr>
        <w:t xml:space="preserve">, 476–485 (1970).</w:t>
      </w:r>
    </w:p>
    <w:p>
      <w:pPr>
        <w:spacing w:after="60" w:line="240" w:lineRule="auto"/>
        <w:jc w:val="left"/>
      </w:pPr>
      <w:r>
        <w:rPr>
          <w:rFonts w:ascii="Arial" w:cs="Arial" w:eastAsia="Arial" w:hAnsi="Arial"/>
          <w:b w:val="false"/>
          <w:bCs w:val="false"/>
          <w:i w:val="false"/>
          <w:iCs w:val="false"/>
          <w:sz w:val="22"/>
          <w:szCs w:val="22"/>
        </w:rPr>
        <w:t xml:space="preserve">41. Bednorz, J. G. &amp; Müller, K. A. Sr</w:t>
      </w:r>
      <w:r>
        <w:rPr>
          <w:rFonts w:ascii="Arial" w:cs="Arial" w:eastAsia="Arial" w:hAnsi="Arial"/>
          <w:b w:val="false"/>
          <w:bCs w:val="false"/>
          <w:i w:val="false"/>
          <w:iCs w:val="false"/>
          <w:sz w:val="22"/>
          <w:szCs w:val="22"/>
          <w:vertAlign w:val="subscript"/>
        </w:rPr>
        <w:t xml:space="preserve">1−x</w:t>
      </w:r>
      <w:r>
        <w:rPr>
          <w:rFonts w:ascii="Arial" w:cs="Arial" w:eastAsia="Arial" w:hAnsi="Arial"/>
          <w:b w:val="false"/>
          <w:bCs w:val="false"/>
          <w:i w:val="false"/>
          <w:iCs w:val="false"/>
          <w:sz w:val="22"/>
          <w:szCs w:val="22"/>
        </w:rPr>
        <w:t xml:space="preserve">Ca</w:t>
      </w:r>
      <w:r>
        <w:rPr>
          <w:rFonts w:ascii="Arial" w:cs="Arial" w:eastAsia="Arial" w:hAnsi="Arial"/>
          <w:b w:val="false"/>
          <w:bCs w:val="false"/>
          <w:i w:val="false"/>
          <w:iCs w:val="false"/>
          <w:sz w:val="22"/>
          <w:szCs w:val="22"/>
          <w:vertAlign w:val="subscript"/>
        </w:rPr>
        <w:t xml:space="preserve">x</w:t>
      </w:r>
      <w:r>
        <w:rPr>
          <w:rFonts w:ascii="Arial" w:cs="Arial" w:eastAsia="Arial" w:hAnsi="Arial"/>
          <w:b w:val="false"/>
          <w:bCs w:val="false"/>
          <w:i w:val="false"/>
          <w:iCs w:val="false"/>
          <w:sz w:val="22"/>
          <w:szCs w:val="22"/>
        </w:rPr>
        <w:t xml:space="preserve">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An XY quantum ferroelectric with transition to randomness. </w:t>
      </w:r>
      <w:r>
        <w:rPr>
          <w:rFonts w:ascii="Arial" w:cs="Arial" w:eastAsia="Arial" w:hAnsi="Arial"/>
          <w:b w:val="false"/>
          <w:bCs w:val="false"/>
          <w:i/>
          <w:iCs/>
          <w:sz w:val="22"/>
          <w:szCs w:val="22"/>
        </w:rPr>
        <w:t xml:space="preserve">Phys. Rev. Lett.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52</w:t>
      </w:r>
      <w:r>
        <w:rPr>
          <w:rFonts w:ascii="Arial" w:cs="Arial" w:eastAsia="Arial" w:hAnsi="Arial"/>
          <w:b w:val="false"/>
          <w:bCs w:val="false"/>
          <w:i w:val="false"/>
          <w:iCs w:val="false"/>
          <w:sz w:val="22"/>
          <w:szCs w:val="22"/>
        </w:rPr>
        <w:t xml:space="preserve">, 2289–2292 (1984).</w:t>
      </w:r>
    </w:p>
    <w:p>
      <w:pPr>
        <w:spacing w:after="60" w:line="240" w:lineRule="auto"/>
        <w:jc w:val="left"/>
      </w:pPr>
      <w:r>
        <w:rPr>
          <w:rFonts w:ascii="Arial" w:cs="Arial" w:eastAsia="Arial" w:hAnsi="Arial"/>
          <w:b w:val="false"/>
          <w:bCs w:val="false"/>
          <w:i w:val="false"/>
          <w:iCs w:val="false"/>
          <w:sz w:val="22"/>
          <w:szCs w:val="22"/>
        </w:rPr>
        <w:t xml:space="preserve">42. Petzelt, J. et al. Dielectric, infrared, and Raman response of undoped SrTiO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ceramics: evidence of polar grain boundaries. </w:t>
      </w:r>
      <w:r>
        <w:rPr>
          <w:rFonts w:ascii="Arial" w:cs="Arial" w:eastAsia="Arial" w:hAnsi="Arial"/>
          <w:b w:val="false"/>
          <w:bCs w:val="false"/>
          <w:i/>
          <w:iCs/>
          <w:sz w:val="22"/>
          <w:szCs w:val="22"/>
        </w:rPr>
        <w:t xml:space="preserve">Phys. Rev.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64</w:t>
      </w:r>
      <w:r>
        <w:rPr>
          <w:rFonts w:ascii="Arial" w:cs="Arial" w:eastAsia="Arial" w:hAnsi="Arial"/>
          <w:b w:val="false"/>
          <w:bCs w:val="false"/>
          <w:i w:val="false"/>
          <w:iCs w:val="false"/>
          <w:sz w:val="22"/>
          <w:szCs w:val="22"/>
        </w:rPr>
        <w:t xml:space="preserve">, 184111 (2001).</w:t>
      </w:r>
    </w:p>
    <w:p>
      <w:pPr>
        <w:spacing w:after="60" w:line="240" w:lineRule="auto"/>
        <w:jc w:val="left"/>
      </w:pPr>
      <w:r>
        <w:rPr>
          <w:rFonts w:ascii="Arial" w:cs="Arial" w:eastAsia="Arial" w:hAnsi="Arial"/>
          <w:b w:val="false"/>
          <w:bCs w:val="false"/>
          <w:i w:val="false"/>
          <w:iCs w:val="false"/>
          <w:sz w:val="22"/>
          <w:szCs w:val="22"/>
        </w:rPr>
        <w:t xml:space="preserve">43. Vogt, H. Refined treatment of the model of linearly coupled anharmonic oscillators and its application to the temperature dependence of the zone-centre soft mode in cubic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Phys. Rev.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51</w:t>
      </w:r>
      <w:r>
        <w:rPr>
          <w:rFonts w:ascii="Arial" w:cs="Arial" w:eastAsia="Arial" w:hAnsi="Arial"/>
          <w:b w:val="false"/>
          <w:bCs w:val="false"/>
          <w:i w:val="false"/>
          <w:iCs w:val="false"/>
          <w:sz w:val="22"/>
          <w:szCs w:val="22"/>
        </w:rPr>
        <w:t xml:space="preserve">, 8046–8059 (1995).</w:t>
      </w:r>
    </w:p>
    <w:p>
      <w:pPr>
        <w:spacing w:after="60" w:line="240" w:lineRule="auto"/>
        <w:jc w:val="left"/>
      </w:pPr>
      <w:r>
        <w:rPr>
          <w:rFonts w:ascii="Arial" w:cs="Arial" w:eastAsia="Arial" w:hAnsi="Arial"/>
          <w:b w:val="false"/>
          <w:bCs w:val="false"/>
          <w:i w:val="false"/>
          <w:iCs w:val="false"/>
          <w:sz w:val="22"/>
          <w:szCs w:val="22"/>
        </w:rPr>
        <w:t xml:space="preserve">44. Harada, J., Axe, J. D. &amp; Shirane, G. Neutron-scattering study of soft modes in cubic BaTiO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Phys. Rev. 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w:t>
      </w:r>
      <w:r>
        <w:rPr>
          <w:rFonts w:ascii="Arial" w:cs="Arial" w:eastAsia="Arial" w:hAnsi="Arial"/>
          <w:b w:val="false"/>
          <w:bCs w:val="false"/>
          <w:i w:val="false"/>
          <w:iCs w:val="false"/>
          <w:sz w:val="22"/>
          <w:szCs w:val="22"/>
        </w:rPr>
        <w:t xml:space="preserve">, 155–162 (1971).</w:t>
      </w:r>
    </w:p>
    <w:p>
      <w:pPr>
        <w:spacing w:after="60" w:line="240" w:lineRule="auto"/>
        <w:jc w:val="left"/>
      </w:pPr>
      <w:r>
        <w:rPr>
          <w:rFonts w:ascii="Arial" w:cs="Arial" w:eastAsia="Arial" w:hAnsi="Arial"/>
          <w:b w:val="false"/>
          <w:bCs w:val="false"/>
          <w:i w:val="false"/>
          <w:iCs w:val="false"/>
          <w:sz w:val="22"/>
          <w:szCs w:val="22"/>
        </w:rPr>
        <w:t xml:space="preserve">45. Davies, P. K., Wu, H., Borisevich, A. Y., Molodetsky, I. E. &amp; Farber, L. Crystal chemistry of complex perovskites: new cation-ordered dielectric oxides. </w:t>
      </w:r>
      <w:r>
        <w:rPr>
          <w:rFonts w:ascii="Arial" w:cs="Arial" w:eastAsia="Arial" w:hAnsi="Arial"/>
          <w:b w:val="false"/>
          <w:bCs w:val="false"/>
          <w:i/>
          <w:iCs/>
          <w:sz w:val="22"/>
          <w:szCs w:val="22"/>
        </w:rPr>
        <w:t xml:space="preserve">Annu. Rev. Mater. Res.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38</w:t>
      </w:r>
      <w:r>
        <w:rPr>
          <w:rFonts w:ascii="Arial" w:cs="Arial" w:eastAsia="Arial" w:hAnsi="Arial"/>
          <w:b w:val="false"/>
          <w:bCs w:val="false"/>
          <w:i w:val="false"/>
          <w:iCs w:val="false"/>
          <w:sz w:val="22"/>
          <w:szCs w:val="22"/>
        </w:rPr>
        <w:t xml:space="preserve">, 369–401 (2008).</w:t>
      </w:r>
    </w:p>
    <w:p>
      <w:pPr>
        <w:spacing w:after="60" w:line="240" w:lineRule="auto"/>
        <w:jc w:val="left"/>
      </w:pPr>
      <w:r>
        <w:rPr>
          <w:rFonts w:ascii="Arial" w:cs="Arial" w:eastAsia="Arial" w:hAnsi="Arial"/>
          <w:b w:val="false"/>
          <w:bCs w:val="false"/>
          <w:i w:val="false"/>
          <w:iCs w:val="false"/>
          <w:sz w:val="22"/>
          <w:szCs w:val="22"/>
        </w:rPr>
        <w:t xml:space="preserve">46. Agarwal, R. et al. Neural additive models: interpretable machine learning with neural nets. In </w:t>
      </w:r>
      <w:r>
        <w:rPr>
          <w:rFonts w:ascii="Arial" w:cs="Arial" w:eastAsia="Arial" w:hAnsi="Arial"/>
          <w:b w:val="false"/>
          <w:bCs w:val="false"/>
          <w:i/>
          <w:iCs/>
          <w:sz w:val="22"/>
          <w:szCs w:val="22"/>
        </w:rPr>
        <w:t xml:space="preserve">Advances in Neural Information Processing Systems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34</w:t>
      </w:r>
      <w:r>
        <w:rPr>
          <w:rFonts w:ascii="Arial" w:cs="Arial" w:eastAsia="Arial" w:hAnsi="Arial"/>
          <w:b w:val="false"/>
          <w:bCs w:val="false"/>
          <w:i w:val="false"/>
          <w:iCs w:val="false"/>
          <w:sz w:val="22"/>
          <w:szCs w:val="22"/>
        </w:rPr>
        <w:t xml:space="preserve">, 4699–4711 (2021).</w:t>
      </w:r>
    </w:p>
    <w:p>
      <w:pPr>
        <w:spacing w:after="60" w:line="240" w:lineRule="auto"/>
        <w:jc w:val="left"/>
      </w:pPr>
      <w:r>
        <w:rPr>
          <w:rFonts w:ascii="Arial" w:cs="Arial" w:eastAsia="Arial" w:hAnsi="Arial"/>
          <w:b w:val="false"/>
          <w:bCs w:val="false"/>
          <w:i w:val="false"/>
          <w:iCs w:val="false"/>
          <w:sz w:val="22"/>
          <w:szCs w:val="22"/>
        </w:rPr>
        <w:t xml:space="preserve">47. Zhao, W. et al. A physics-informed machine learning framework for accelerated discovery of single-phase B2 multi-principal element intermetallics.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w:t>
      </w:r>
      <w:r>
        <w:rPr>
          <w:rFonts w:ascii="Arial" w:cs="Arial" w:eastAsia="Arial" w:hAnsi="Arial"/>
          <w:b w:val="false"/>
          <w:bCs w:val="false"/>
          <w:i w:val="false"/>
          <w:iCs w:val="false"/>
          <w:sz w:val="22"/>
          <w:szCs w:val="22"/>
        </w:rPr>
        <w:t xml:space="preserve">, 278 (2025).</w:t>
      </w:r>
    </w:p>
    <w:p>
      <w:pPr>
        <w:spacing w:after="60" w:line="240" w:lineRule="auto"/>
        <w:jc w:val="left"/>
      </w:pPr>
      <w:r>
        <w:rPr>
          <w:rFonts w:ascii="Arial" w:cs="Arial" w:eastAsia="Arial" w:hAnsi="Arial"/>
          <w:b w:val="false"/>
          <w:bCs w:val="false"/>
          <w:i w:val="false"/>
          <w:iCs w:val="false"/>
          <w:sz w:val="22"/>
          <w:szCs w:val="22"/>
        </w:rPr>
        <w:t xml:space="preserve">48. Liu, J. et al. Optimizing and extending ion dielectric polarizability database for microwave frequencies using machine learning methods.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9</w:t>
      </w:r>
      <w:r>
        <w:rPr>
          <w:rFonts w:ascii="Arial" w:cs="Arial" w:eastAsia="Arial" w:hAnsi="Arial"/>
          <w:b w:val="false"/>
          <w:bCs w:val="false"/>
          <w:i w:val="false"/>
          <w:iCs w:val="false"/>
          <w:sz w:val="22"/>
          <w:szCs w:val="22"/>
        </w:rPr>
        <w:t xml:space="preserve">, 178 (2023). _TODO_verify_article_number</w:t>
      </w:r>
    </w:p>
    <w:p>
      <w:pPr>
        <w:spacing w:after="60" w:line="240" w:lineRule="auto"/>
        <w:jc w:val="left"/>
      </w:pPr>
      <w:r>
        <w:rPr>
          <w:rFonts w:ascii="Arial" w:cs="Arial" w:eastAsia="Arial" w:hAnsi="Arial"/>
          <w:b w:val="false"/>
          <w:bCs w:val="false"/>
          <w:i w:val="false"/>
          <w:iCs w:val="false"/>
          <w:sz w:val="22"/>
          <w:szCs w:val="22"/>
        </w:rPr>
        <w:t xml:space="preserve">49. Shannon, R. D. Revised effective ionic radii and systematic studies of interatomic distances in halides and chalcogenides. </w:t>
      </w:r>
      <w:r>
        <w:rPr>
          <w:rFonts w:ascii="Arial" w:cs="Arial" w:eastAsia="Arial" w:hAnsi="Arial"/>
          <w:b w:val="false"/>
          <w:bCs w:val="false"/>
          <w:i/>
          <w:iCs/>
          <w:sz w:val="22"/>
          <w:szCs w:val="22"/>
        </w:rPr>
        <w:t xml:space="preserve">Acta Crystallogr.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32</w:t>
      </w:r>
      <w:r>
        <w:rPr>
          <w:rFonts w:ascii="Arial" w:cs="Arial" w:eastAsia="Arial" w:hAnsi="Arial"/>
          <w:b w:val="false"/>
          <w:bCs w:val="false"/>
          <w:i w:val="false"/>
          <w:iCs w:val="false"/>
          <w:sz w:val="22"/>
          <w:szCs w:val="22"/>
        </w:rPr>
        <w:t xml:space="preserve">, 751–767 (1976).</w:t>
      </w:r>
    </w:p>
    <w:p>
      <w:pPr>
        <w:spacing w:after="60" w:line="240" w:lineRule="auto"/>
        <w:jc w:val="left"/>
      </w:pPr>
      <w:r>
        <w:rPr>
          <w:rFonts w:ascii="Arial" w:cs="Arial" w:eastAsia="Arial" w:hAnsi="Arial"/>
          <w:b w:val="false"/>
          <w:bCs w:val="false"/>
          <w:i w:val="false"/>
          <w:iCs w:val="false"/>
          <w:sz w:val="22"/>
          <w:szCs w:val="22"/>
        </w:rPr>
        <w:t xml:space="preserve">50. Loshchilov, I. &amp; Hutter, F. Decoupled weight decay regularization. </w:t>
      </w:r>
      <w:r>
        <w:rPr>
          <w:rFonts w:ascii="Arial" w:cs="Arial" w:eastAsia="Arial" w:hAnsi="Arial"/>
          <w:b w:val="false"/>
          <w:bCs w:val="false"/>
          <w:i/>
          <w:iCs/>
          <w:sz w:val="22"/>
          <w:szCs w:val="22"/>
        </w:rPr>
        <w:t xml:space="preserve">International Conference on Learning Representations</w:t>
      </w:r>
      <w:r>
        <w:rPr>
          <w:rFonts w:ascii="Arial" w:cs="Arial" w:eastAsia="Arial" w:hAnsi="Arial"/>
          <w:b w:val="false"/>
          <w:bCs w:val="false"/>
          <w:i w:val="false"/>
          <w:iCs w:val="false"/>
          <w:sz w:val="22"/>
          <w:szCs w:val="22"/>
        </w:rPr>
        <w:t xml:space="preserve"> (ICLR, 2019). arXiv:1711.05101.</w:t>
      </w:r>
    </w:p>
    <w:p>
      <w:pPr>
        <w:spacing w:after="60" w:line="240" w:lineRule="auto"/>
        <w:jc w:val="left"/>
      </w:pPr>
      <w:r>
        <w:rPr>
          <w:rFonts w:ascii="Arial" w:cs="Arial" w:eastAsia="Arial" w:hAnsi="Arial"/>
          <w:b w:val="false"/>
          <w:bCs w:val="false"/>
          <w:i w:val="false"/>
          <w:iCs w:val="false"/>
          <w:sz w:val="22"/>
          <w:szCs w:val="22"/>
        </w:rPr>
        <w:t xml:space="preserve">51. Zhang, H., Cisse, M., Dauphin, Y. N. &amp; Lopez-Paz, D. mixup: Beyond empirical risk minimization. </w:t>
      </w:r>
      <w:r>
        <w:rPr>
          <w:rFonts w:ascii="Arial" w:cs="Arial" w:eastAsia="Arial" w:hAnsi="Arial"/>
          <w:b w:val="false"/>
          <w:bCs w:val="false"/>
          <w:i/>
          <w:iCs/>
          <w:sz w:val="22"/>
          <w:szCs w:val="22"/>
        </w:rPr>
        <w:t xml:space="preserve">International Conference on Learning Representations</w:t>
      </w:r>
      <w:r>
        <w:rPr>
          <w:rFonts w:ascii="Arial" w:cs="Arial" w:eastAsia="Arial" w:hAnsi="Arial"/>
          <w:b w:val="false"/>
          <w:bCs w:val="false"/>
          <w:i w:val="false"/>
          <w:iCs w:val="false"/>
          <w:sz w:val="22"/>
          <w:szCs w:val="22"/>
        </w:rPr>
        <w:t xml:space="preserve"> (ICLR, 2018). arXiv:1710.09412.</w:t>
      </w:r>
    </w:p>
    <w:p>
      <w:pPr>
        <w:spacing w:after="60" w:line="240" w:lineRule="auto"/>
        <w:jc w:val="left"/>
      </w:pPr>
      <w:r>
        <w:rPr>
          <w:rFonts w:ascii="Arial" w:cs="Arial" w:eastAsia="Arial" w:hAnsi="Arial"/>
          <w:b w:val="false"/>
          <w:bCs w:val="false"/>
          <w:i w:val="false"/>
          <w:iCs w:val="false"/>
          <w:sz w:val="22"/>
          <w:szCs w:val="22"/>
        </w:rPr>
        <w:t xml:space="preserve">52. Izmailov, P., Podoprikhin, D., Garipov, T., Vetrov, D. &amp; Wilson, A. G. Averaging weights leads to wider optima and better generalization. </w:t>
      </w:r>
      <w:r>
        <w:rPr>
          <w:rFonts w:ascii="Arial" w:cs="Arial" w:eastAsia="Arial" w:hAnsi="Arial"/>
          <w:b w:val="false"/>
          <w:bCs w:val="false"/>
          <w:i/>
          <w:iCs/>
          <w:sz w:val="22"/>
          <w:szCs w:val="22"/>
        </w:rPr>
        <w:t xml:space="preserve">Uncertainty in Artificial Intelligence</w:t>
      </w:r>
      <w:r>
        <w:rPr>
          <w:rFonts w:ascii="Arial" w:cs="Arial" w:eastAsia="Arial" w:hAnsi="Arial"/>
          <w:b w:val="false"/>
          <w:bCs w:val="false"/>
          <w:i w:val="false"/>
          <w:iCs w:val="false"/>
          <w:sz w:val="22"/>
          <w:szCs w:val="22"/>
        </w:rPr>
        <w:t xml:space="preserve"> (UAI, 2018). arXiv:1803.05407.</w:t>
      </w:r>
    </w:p>
    <w:p>
      <w:pPr>
        <w:spacing w:after="60" w:line="240" w:lineRule="auto"/>
        <w:jc w:val="left"/>
      </w:pPr>
      <w:r>
        <w:rPr>
          <w:rFonts w:ascii="Arial" w:cs="Arial" w:eastAsia="Arial" w:hAnsi="Arial"/>
          <w:b w:val="false"/>
          <w:bCs w:val="false"/>
          <w:i w:val="false"/>
          <w:iCs w:val="false"/>
          <w:sz w:val="22"/>
          <w:szCs w:val="22"/>
        </w:rPr>
        <w:t xml:space="preserve">53. Kato, H. et al. Complementary evaluation of structure stability of perovskite oxides using bond-valence and density-functional-theory calculations. </w:t>
      </w:r>
      <w:r>
        <w:rPr>
          <w:rFonts w:ascii="Arial" w:cs="Arial" w:eastAsia="Arial" w:hAnsi="Arial"/>
          <w:b w:val="false"/>
          <w:bCs w:val="false"/>
          <w:i/>
          <w:iCs/>
          <w:sz w:val="22"/>
          <w:szCs w:val="22"/>
        </w:rPr>
        <w:t xml:space="preserve">Sci. Technol. Adv.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19</w:t>
      </w:r>
      <w:r>
        <w:rPr>
          <w:rFonts w:ascii="Arial" w:cs="Arial" w:eastAsia="Arial" w:hAnsi="Arial"/>
          <w:b w:val="false"/>
          <w:bCs w:val="false"/>
          <w:i w:val="false"/>
          <w:iCs w:val="false"/>
          <w:sz w:val="22"/>
          <w:szCs w:val="22"/>
        </w:rPr>
        <w:t xml:space="preserve">, 155–161 (2018).</w:t>
      </w:r>
    </w:p>
    <w:p>
      <w:pPr>
        <w:spacing w:after="60" w:line="240" w:lineRule="auto"/>
        <w:jc w:val="left"/>
      </w:pPr>
      <w:r>
        <w:rPr>
          <w:rFonts w:ascii="Arial" w:cs="Arial" w:eastAsia="Arial" w:hAnsi="Arial"/>
          <w:b w:val="false"/>
          <w:bCs w:val="false"/>
          <w:i w:val="false"/>
          <w:iCs w:val="false"/>
          <w:sz w:val="22"/>
          <w:szCs w:val="22"/>
        </w:rPr>
        <w:t xml:space="preserve">54. Tibshirani, R. J., Foygel Barber, R., Candès, E. J. &amp; Ramdas, A. Conformal prediction under covariate shift. </w:t>
      </w:r>
      <w:r>
        <w:rPr>
          <w:rFonts w:ascii="Arial" w:cs="Arial" w:eastAsia="Arial" w:hAnsi="Arial"/>
          <w:b w:val="false"/>
          <w:bCs w:val="false"/>
          <w:i/>
          <w:iCs/>
          <w:sz w:val="22"/>
          <w:szCs w:val="22"/>
        </w:rPr>
        <w:t xml:space="preserve">Advances in Neural Information Processing Systems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32</w:t>
      </w:r>
      <w:r>
        <w:rPr>
          <w:rFonts w:ascii="Arial" w:cs="Arial" w:eastAsia="Arial" w:hAnsi="Arial"/>
          <w:b w:val="false"/>
          <w:bCs w:val="false"/>
          <w:i w:val="false"/>
          <w:iCs w:val="false"/>
          <w:sz w:val="22"/>
          <w:szCs w:val="22"/>
        </w:rPr>
        <w:t xml:space="preserve">, 2530–2540 (NeurIPS, 2019).</w:t>
      </w:r>
    </w:p>
    <w:p>
      <w:pPr>
        <w:spacing w:after="60" w:line="240" w:lineRule="auto"/>
        <w:jc w:val="left"/>
      </w:pPr>
      <w:r>
        <w:rPr>
          <w:rFonts w:ascii="Arial" w:cs="Arial" w:eastAsia="Arial" w:hAnsi="Arial"/>
          <w:b w:val="false"/>
          <w:bCs w:val="false"/>
          <w:i w:val="false"/>
          <w:iCs w:val="false"/>
          <w:sz w:val="22"/>
          <w:szCs w:val="22"/>
        </w:rPr>
        <w:t xml:space="preserve">55. Barber, R. F., Candès, E. J., Ramdas, A. &amp; Tibshirani, R. J. Conformal prediction beyond exchangeability. </w:t>
      </w:r>
      <w:r>
        <w:rPr>
          <w:rFonts w:ascii="Arial" w:cs="Arial" w:eastAsia="Arial" w:hAnsi="Arial"/>
          <w:b w:val="false"/>
          <w:bCs w:val="false"/>
          <w:i/>
          <w:iCs/>
          <w:sz w:val="22"/>
          <w:szCs w:val="22"/>
        </w:rPr>
        <w:t xml:space="preserve">Ann. Stat.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51</w:t>
      </w:r>
      <w:r>
        <w:rPr>
          <w:rFonts w:ascii="Arial" w:cs="Arial" w:eastAsia="Arial" w:hAnsi="Arial"/>
          <w:b w:val="false"/>
          <w:bCs w:val="false"/>
          <w:i w:val="false"/>
          <w:iCs w:val="false"/>
          <w:sz w:val="22"/>
          <w:szCs w:val="22"/>
        </w:rPr>
        <w:t xml:space="preserve">, 816–845 (2023).</w:t>
      </w:r>
    </w:p>
    <w:p>
      <w:pPr>
        <w:spacing w:after="60" w:line="240" w:lineRule="auto"/>
        <w:jc w:val="left"/>
      </w:pPr>
      <w:r>
        <w:rPr>
          <w:rFonts w:ascii="Arial" w:cs="Arial" w:eastAsia="Arial" w:hAnsi="Arial"/>
          <w:b w:val="false"/>
          <w:bCs w:val="false"/>
          <w:i w:val="false"/>
          <w:iCs w:val="false"/>
          <w:sz w:val="22"/>
          <w:szCs w:val="22"/>
        </w:rPr>
        <w:t xml:space="preserve">56. Cauchois, M., Gupta, S., Ali, A. &amp; Duchi, J. C. Robust validation: confident predictions even when distributions shift. </w:t>
      </w:r>
      <w:r>
        <w:rPr>
          <w:rFonts w:ascii="Arial" w:cs="Arial" w:eastAsia="Arial" w:hAnsi="Arial"/>
          <w:b w:val="false"/>
          <w:bCs w:val="false"/>
          <w:i/>
          <w:iCs/>
          <w:sz w:val="22"/>
          <w:szCs w:val="22"/>
        </w:rPr>
        <w:t xml:space="preserve">J. Am. Stat. Assoc.</w:t>
      </w:r>
      <w:r>
        <w:rPr>
          <w:rFonts w:ascii="Arial" w:cs="Arial" w:eastAsia="Arial" w:hAnsi="Arial"/>
          <w:b w:val="false"/>
          <w:bCs w:val="false"/>
          <w:i w:val="false"/>
          <w:iCs w:val="false"/>
          <w:sz w:val="22"/>
          <w:szCs w:val="22"/>
        </w:rPr>
        <w:t xml:space="preserve"> (online, 2024). arXiv:2008.04267.</w:t>
      </w:r>
    </w:p>
    <w:p>
      <w:pPr>
        <w:spacing w:after="60" w:line="240" w:lineRule="auto"/>
        <w:jc w:val="left"/>
      </w:pPr>
      <w:r>
        <w:rPr>
          <w:rFonts w:ascii="Arial" w:cs="Arial" w:eastAsia="Arial" w:hAnsi="Arial"/>
          <w:b w:val="false"/>
          <w:bCs w:val="false"/>
          <w:i w:val="false"/>
          <w:iCs w:val="false"/>
          <w:sz w:val="22"/>
          <w:szCs w:val="22"/>
        </w:rPr>
        <w:t xml:space="preserve">57. Chen, T. &amp; Guestrin, C. XGBoost: a scalable tree boosting system. In </w:t>
      </w:r>
      <w:r>
        <w:rPr>
          <w:rFonts w:ascii="Arial" w:cs="Arial" w:eastAsia="Arial" w:hAnsi="Arial"/>
          <w:b w:val="false"/>
          <w:bCs w:val="false"/>
          <w:i/>
          <w:iCs/>
          <w:sz w:val="22"/>
          <w:szCs w:val="22"/>
        </w:rPr>
        <w:t xml:space="preserve">Proc. 22nd ACM SIGKDD International Conference on Knowledge Discovery and Data Mining</w:t>
      </w:r>
      <w:r>
        <w:rPr>
          <w:rFonts w:ascii="Arial" w:cs="Arial" w:eastAsia="Arial" w:hAnsi="Arial"/>
          <w:b w:val="false"/>
          <w:bCs w:val="false"/>
          <w:i w:val="false"/>
          <w:iCs w:val="false"/>
          <w:sz w:val="22"/>
          <w:szCs w:val="22"/>
        </w:rPr>
        <w:t xml:space="preserve"> 785–794 (ACM, 2016).</w:t>
      </w:r>
    </w:p>
    <w:p>
      <w:pPr>
        <w:spacing w:after="60" w:line="240" w:lineRule="auto"/>
        <w:jc w:val="left"/>
      </w:pPr>
      <w:r>
        <w:rPr>
          <w:rFonts w:ascii="Arial" w:cs="Arial" w:eastAsia="Arial" w:hAnsi="Arial"/>
          <w:b w:val="false"/>
          <w:bCs w:val="false"/>
          <w:i w:val="false"/>
          <w:iCs w:val="false"/>
          <w:sz w:val="22"/>
          <w:szCs w:val="22"/>
        </w:rPr>
        <w:t xml:space="preserve">58. Prokhorenkova, L., Gusev, G., Vorobev, A., Dorogush, A. V. &amp; Gulin, A. CatBoost: unbiased boosting with categorical features. In </w:t>
      </w:r>
      <w:r>
        <w:rPr>
          <w:rFonts w:ascii="Arial" w:cs="Arial" w:eastAsia="Arial" w:hAnsi="Arial"/>
          <w:b w:val="false"/>
          <w:bCs w:val="false"/>
          <w:i/>
          <w:iCs/>
          <w:sz w:val="22"/>
          <w:szCs w:val="22"/>
        </w:rPr>
        <w:t xml:space="preserve">Advances in Neural Information Processing Systems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31</w:t>
      </w:r>
      <w:r>
        <w:rPr>
          <w:rFonts w:ascii="Arial" w:cs="Arial" w:eastAsia="Arial" w:hAnsi="Arial"/>
          <w:b w:val="false"/>
          <w:bCs w:val="false"/>
          <w:i w:val="false"/>
          <w:iCs w:val="false"/>
          <w:sz w:val="22"/>
          <w:szCs w:val="22"/>
        </w:rPr>
        <w:t xml:space="preserve"> (2018).</w:t>
      </w:r>
    </w:p>
    <w:p>
      <w:pPr>
        <w:spacing w:after="60" w:line="240" w:lineRule="auto"/>
        <w:jc w:val="left"/>
      </w:pPr>
      <w:r>
        <w:rPr>
          <w:rFonts w:ascii="Arial" w:cs="Arial" w:eastAsia="Arial" w:hAnsi="Arial"/>
          <w:b w:val="false"/>
          <w:bCs w:val="false"/>
          <w:i w:val="false"/>
          <w:iCs w:val="false"/>
          <w:sz w:val="22"/>
          <w:szCs w:val="22"/>
        </w:rPr>
        <w:t xml:space="preserve">59. Segal, N., Netanyahu, A., Greenman, K. P., Agrawal, P. &amp; Gómez-Bombarelli, R. Known unknowns: out-of-distribution property prediction in materials and molecules.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11</w:t>
      </w:r>
      <w:r>
        <w:rPr>
          <w:rFonts w:ascii="Arial" w:cs="Arial" w:eastAsia="Arial" w:hAnsi="Arial"/>
          <w:b w:val="false"/>
          <w:bCs w:val="false"/>
          <w:i w:val="false"/>
          <w:iCs w:val="false"/>
          <w:sz w:val="22"/>
          <w:szCs w:val="22"/>
        </w:rPr>
        <w:t xml:space="preserve">, 345 (2025).</w:t>
      </w:r>
    </w:p>
    <w:p>
      <w:pPr>
        <w:spacing w:after="60" w:line="240" w:lineRule="auto"/>
        <w:jc w:val="left"/>
      </w:pPr>
      <w:r>
        <w:rPr>
          <w:rFonts w:ascii="Arial" w:cs="Arial" w:eastAsia="Arial" w:hAnsi="Arial"/>
          <w:b w:val="false"/>
          <w:bCs w:val="false"/>
          <w:i w:val="false"/>
          <w:iCs w:val="false"/>
          <w:sz w:val="22"/>
          <w:szCs w:val="22"/>
        </w:rPr>
        <w:t xml:space="preserve">60. Panapitiya, G. &amp; Saldanha, E. Outlier-based domain of applicability identification for materials property prediction models. Preprint at https://arxiv.org/abs/2302.06454 (2023).</w:t>
      </w:r>
    </w:p>
    <w:p>
      <w:pPr>
        <w:spacing w:after="60" w:line="240" w:lineRule="auto"/>
        <w:jc w:val="left"/>
      </w:pPr>
      <w:r>
        <w:rPr>
          <w:rFonts w:ascii="Arial" w:cs="Arial" w:eastAsia="Arial" w:hAnsi="Arial"/>
          <w:b w:val="false"/>
          <w:bCs w:val="false"/>
          <w:i w:val="false"/>
          <w:iCs w:val="false"/>
          <w:sz w:val="22"/>
          <w:szCs w:val="22"/>
        </w:rPr>
        <w:t xml:space="preserve">61. Jennings, P. C., Lysgaard, S., Hummelshøj, J. S., Vegge, T. &amp; Bligaard, T. Genetic algorithms for computational materials discovery accelerated by machine learning. </w:t>
      </w:r>
      <w:r>
        <w:rPr>
          <w:rFonts w:ascii="Arial" w:cs="Arial" w:eastAsia="Arial" w:hAnsi="Arial"/>
          <w:b w:val="false"/>
          <w:bCs w:val="false"/>
          <w:i/>
          <w:iCs/>
          <w:sz w:val="22"/>
          <w:szCs w:val="22"/>
        </w:rPr>
        <w:t xml:space="preserve">npj Comput. Mater.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5</w:t>
      </w:r>
      <w:r>
        <w:rPr>
          <w:rFonts w:ascii="Arial" w:cs="Arial" w:eastAsia="Arial" w:hAnsi="Arial"/>
          <w:b w:val="false"/>
          <w:bCs w:val="false"/>
          <w:i w:val="false"/>
          <w:iCs w:val="false"/>
          <w:sz w:val="22"/>
          <w:szCs w:val="22"/>
        </w:rPr>
        <w:t xml:space="preserve">, 46 (2019).</w:t>
      </w:r>
    </w:p>
    <w:p>
      <w:pPr>
        <w:spacing w:after="60" w:line="240" w:lineRule="auto"/>
        <w:jc w:val="left"/>
      </w:pPr>
      <w:r>
        <w:rPr>
          <w:rFonts w:ascii="Arial" w:cs="Arial" w:eastAsia="Arial" w:hAnsi="Arial"/>
          <w:b w:val="false"/>
          <w:bCs w:val="false"/>
          <w:i w:val="false"/>
          <w:iCs w:val="false"/>
          <w:sz w:val="22"/>
          <w:szCs w:val="22"/>
        </w:rPr>
        <w:t xml:space="preserve">62. PCNN Authors. CMLTRPCNN —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microwave-dielectric permittivity dataset (n = 1,304). </w:t>
      </w:r>
      <w:r>
        <w:rPr>
          <w:rFonts w:ascii="Arial" w:cs="Arial" w:eastAsia="Arial" w:hAnsi="Arial"/>
          <w:b w:val="false"/>
          <w:bCs w:val="false"/>
          <w:i/>
          <w:iCs/>
          <w:sz w:val="22"/>
          <w:szCs w:val="22"/>
        </w:rPr>
        <w:t xml:space="preserve">Zenodo</w:t>
      </w:r>
      <w:r>
        <w:rPr>
          <w:rFonts w:ascii="Arial" w:cs="Arial" w:eastAsia="Arial" w:hAnsi="Arial"/>
          <w:b w:val="false"/>
          <w:bCs w:val="false"/>
          <w:i w:val="false"/>
          <w:iCs w:val="false"/>
          <w:sz w:val="22"/>
          <w:szCs w:val="22"/>
        </w:rPr>
        <w:t xml:space="preserve"> https://doi.org/10.5281/zenodo.20433427 (2026).</w:t>
      </w:r>
    </w:p>
    <w:p>
      <w:pPr>
        <w:spacing w:after="60" w:line="240" w:lineRule="auto"/>
        <w:jc w:val="left"/>
      </w:pPr>
      <w:r>
        <w:rPr>
          <w:rFonts w:ascii="Arial" w:cs="Arial" w:eastAsia="Arial" w:hAnsi="Arial"/>
          <w:b w:val="false"/>
          <w:bCs w:val="false"/>
          <w:i w:val="false"/>
          <w:iCs w:val="false"/>
          <w:sz w:val="22"/>
          <w:szCs w:val="22"/>
        </w:rPr>
        <w:t xml:space="preserve">63. PCNN Authors. CMLTRPCNN — physics-constrained neural network for ABO</w:t>
      </w:r>
      <w:r>
        <w:rPr>
          <w:rFonts w:ascii="Arial" w:cs="Arial" w:eastAsia="Arial" w:hAnsi="Arial"/>
          <w:b w:val="false"/>
          <w:bCs w:val="false"/>
          <w:i w:val="false"/>
          <w:iCs w:val="false"/>
          <w:sz w:val="22"/>
          <w:szCs w:val="22"/>
          <w:vertAlign w:val="subscript"/>
        </w:rPr>
        <w:t xml:space="preserve">3</w:t>
      </w:r>
      <w:r>
        <w:rPr>
          <w:rFonts w:ascii="Arial" w:cs="Arial" w:eastAsia="Arial" w:hAnsi="Arial"/>
          <w:b w:val="false"/>
          <w:bCs w:val="false"/>
          <w:i w:val="false"/>
          <w:iCs w:val="false"/>
          <w:sz w:val="22"/>
          <w:szCs w:val="22"/>
        </w:rPr>
        <w:t xml:space="preserve"> microwave-dielectric permittivity prediction (companion code release; concept DOI). </w:t>
      </w:r>
      <w:r>
        <w:rPr>
          <w:rFonts w:ascii="Arial" w:cs="Arial" w:eastAsia="Arial" w:hAnsi="Arial"/>
          <w:b w:val="false"/>
          <w:bCs w:val="false"/>
          <w:i/>
          <w:iCs/>
          <w:sz w:val="22"/>
          <w:szCs w:val="22"/>
        </w:rPr>
        <w:t xml:space="preserve">Zenodo</w:t>
      </w:r>
      <w:r>
        <w:rPr>
          <w:rFonts w:ascii="Arial" w:cs="Arial" w:eastAsia="Arial" w:hAnsi="Arial"/>
          <w:b w:val="false"/>
          <w:bCs w:val="false"/>
          <w:i w:val="false"/>
          <w:iCs w:val="false"/>
          <w:sz w:val="22"/>
          <w:szCs w:val="22"/>
        </w:rPr>
        <w:t xml:space="preserve"> https://doi.org/10.5281/zenodo.20433402 (2026).</w:t>
      </w:r>
    </w:p>
    <w:p>
      <w:pPr>
        <w:pStyle w:val="Heading1"/>
        <w:spacing w:after="240" w:before="360" w:line="480" w:lineRule="auto"/>
      </w:pPr>
      <w:r>
        <w:rPr>
          <w:rFonts w:ascii="Arial" w:cs="Arial" w:eastAsia="Arial" w:hAnsi="Arial"/>
          <w:b/>
          <w:bCs/>
          <w:color w:val="000000"/>
          <w:sz w:val="28"/>
          <w:szCs w:val="28"/>
        </w:rPr>
        <w:t xml:space="preserve">Acknowledgements</w:t>
      </w:r>
    </w:p>
    <w:p>
      <w:pPr>
        <w:spacing w:after="0" w:line="480" w:lineRule="auto"/>
        <w:jc w:val="left"/>
      </w:pPr>
      <w:r>
        <w:rPr>
          <w:rFonts w:ascii="Arial" w:cs="Arial" w:eastAsia="Arial" w:hAnsi="Arial"/>
          <w:i/>
          <w:iCs/>
          <w:sz w:val="22"/>
          <w:szCs w:val="22"/>
        </w:rPr>
        <w:t xml:space="preserve">The authors acknowledge [funding source 1] (grant [###]) and [funding source 2] (grant [###]) for financial support. Computational resources were provided by [computing facility]. We thank [colleagues, if any, for intellectual input not warranting authorship].</w:t>
      </w:r>
    </w:p>
    <w:p>
      <w:pPr>
        <w:pStyle w:val="Heading1"/>
        <w:spacing w:after="240" w:before="360" w:line="480" w:lineRule="auto"/>
      </w:pPr>
      <w:r>
        <w:rPr>
          <w:rFonts w:ascii="Arial" w:cs="Arial" w:eastAsia="Arial" w:hAnsi="Arial"/>
          <w:b/>
          <w:bCs/>
          <w:color w:val="000000"/>
          <w:sz w:val="28"/>
          <w:szCs w:val="28"/>
        </w:rPr>
        <w:t xml:space="preserve">Author contributions</w:t>
      </w:r>
    </w:p>
    <w:p>
      <w:pPr>
        <w:spacing w:after="0" w:line="480" w:lineRule="auto"/>
        <w:jc w:val="left"/>
      </w:pPr>
      <w:r>
        <w:rPr>
          <w:rFonts w:ascii="Arial" w:cs="Arial" w:eastAsia="Arial" w:hAnsi="Arial"/>
          <w:i/>
          <w:iCs/>
          <w:sz w:val="22"/>
          <w:szCs w:val="22"/>
        </w:rPr>
        <w:t xml:space="preserve">[A.B.] conceived the project, designed the PCNN architecture, performed model training, cross-validation, applicability-domain analysis and inverse design, and wrote the manuscript. [C.D.] curated the dataset and the feature-engineering pipeline. [E.F.] supervised the work and contributed to interpretation. All authors discussed the results and approved the final manuscript. (CRediT taxonomy: insert specific role assignments — Conceptualization, Methodology, Software, Investigation, Formal analysis, Writing — original draft, Writing — review and editing, Visualization, Supervision, Funding acquisition.)</w:t>
      </w:r>
    </w:p>
    <w:p>
      <w:pPr>
        <w:pStyle w:val="Heading1"/>
        <w:spacing w:after="240" w:before="360" w:line="480" w:lineRule="auto"/>
      </w:pPr>
      <w:r>
        <w:rPr>
          <w:rFonts w:ascii="Arial" w:cs="Arial" w:eastAsia="Arial" w:hAnsi="Arial"/>
          <w:b/>
          <w:bCs/>
          <w:color w:val="000000"/>
          <w:sz w:val="28"/>
          <w:szCs w:val="28"/>
        </w:rPr>
        <w:t xml:space="preserve">Competing interests</w:t>
      </w:r>
    </w:p>
    <w:p>
      <w:pPr>
        <w:spacing w:after="0" w:line="480" w:lineRule="auto"/>
        <w:jc w:val="left"/>
      </w:pPr>
      <w:r>
        <w:rPr>
          <w:rFonts w:ascii="Arial" w:cs="Arial" w:eastAsia="Arial" w:hAnsi="Arial"/>
          <w:sz w:val="22"/>
          <w:szCs w:val="22"/>
        </w:rPr>
        <w:t xml:space="preserve">The authors declare no competing interests.</w:t>
      </w:r>
    </w:p>
    <w:p>
      <w:pPr>
        <w:pStyle w:val="Heading1"/>
        <w:spacing w:after="240" w:before="360" w:line="480" w:lineRule="auto"/>
      </w:pPr>
      <w:r>
        <w:rPr>
          <w:rFonts w:ascii="Arial" w:cs="Arial" w:eastAsia="Arial" w:hAnsi="Arial"/>
          <w:b/>
          <w:bCs/>
          <w:color w:val="000000"/>
          <w:sz w:val="28"/>
          <w:szCs w:val="28"/>
        </w:rPr>
        <w:t xml:space="preserve">Materials &amp; Correspondence</w:t>
      </w:r>
    </w:p>
    <w:p>
      <w:pPr>
        <w:spacing w:after="0" w:line="480" w:lineRule="auto"/>
        <w:jc w:val="left"/>
      </w:pPr>
      <w:r>
        <w:rPr>
          <w:rFonts w:ascii="Arial" w:cs="Arial" w:eastAsia="Arial" w:hAnsi="Arial"/>
          <w:i/>
          <w:iCs/>
          <w:sz w:val="22"/>
          <w:szCs w:val="22"/>
        </w:rPr>
        <w:t xml:space="preserve">Correspondence and material requests should be addressed to [Corresponding Author Name] ([corresponding.author@institution.tld]).</w:t>
      </w:r>
    </w:p>
    <w:sectPr>
      <w:footerReference w:type="default" r:id="rId20"/>
      <w:type w:val="continuous"/>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image" Target="media/ae8952f122d8e70636387ed078ef645ac95faba4.png"/><Relationship Id="rId22" Type="http://schemas.openxmlformats.org/officeDocument/2006/relationships/image" Target="media/e7428dbe776a9d01cfebea98d29d0d399a184a88.png"/><Relationship Id="rId23" Type="http://schemas.openxmlformats.org/officeDocument/2006/relationships/image" Target="media/5cda7953102159c5e92468df1c820b2038d0542b.png"/><Relationship Id="rId24" Type="http://schemas.openxmlformats.org/officeDocument/2006/relationships/image" Target="media/70ef8188732fa8d923ade84c9570efb3757b9edb.png"/><Relationship Id="rId25" Type="http://schemas.openxmlformats.org/officeDocument/2006/relationships/image" Target="media/b55964bd8409d71ad526b563a6b882b78cb379ba.png"/><Relationship Id="rId26" Type="http://schemas.openxmlformats.org/officeDocument/2006/relationships/image" Target="media/ba9c21929efae95f2881bba0d72e68dd55f6d04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PCNN ABO3 Manuscript</dc:title>
  <dc:creator>PCNN Authors</dc:creator>
  <dc:description>Manuscript draft, intended for Nature Communications</dc:description>
  <cp:lastModifiedBy>Un-named</cp:lastModifiedBy>
  <cp:revision>1</cp:revision>
  <dcterms:created xsi:type="dcterms:W3CDTF">2026-05-29T08:23:07.828Z</dcterms:created>
  <dcterms:modified xsi:type="dcterms:W3CDTF">2026-05-29T08:23:07.832Z</dcterms:modified>
</cp:coreProperties>
</file>

<file path=docProps/custom.xml><?xml version="1.0" encoding="utf-8"?>
<Properties xmlns="http://schemas.openxmlformats.org/officeDocument/2006/custom-properties" xmlns:vt="http://schemas.openxmlformats.org/officeDocument/2006/docPropsVTypes"/>
</file>