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6"/>
          <w:szCs w:val="26"/>
        </w:rPr>
        <w:t xml:space="preserve">CHAPTER IV</w:t>
      </w:r>
    </w:p>
    <w:p>
      <w:pPr>
        <w:spacing w:after="240"/>
        <w:jc w:val="center"/>
      </w:pPr>
      <w:r>
        <w:rPr>
          <w:rFonts w:ascii="Times New Roman" w:cs="Times New Roman" w:eastAsia="Times New Roman" w:hAnsi="Times New Roman"/>
          <w:b/>
          <w:bCs/>
          <w:sz w:val="28"/>
          <w:szCs w:val="28"/>
        </w:rPr>
        <w:t xml:space="preserve">RESULTS AND DISCUSSION</w:t>
      </w:r>
    </w:p>
    <w:p>
      <w:pPr>
        <w:pBdr>
          <w:bottom w:val="single" w:color="000000" w:sz="8" w:space="6"/>
        </w:pBdr>
        <w:spacing w:after="320"/>
        <w:jc w:val="center"/>
      </w:pPr>
      <w:r>
        <w:rPr>
          <w:rFonts w:ascii="Times New Roman" w:cs="Times New Roman" w:eastAsia="Times New Roman" w:hAnsi="Times New Roman"/>
          <w:b/>
          <w:bCs/>
          <w:i/>
          <w:iCs/>
          <w:sz w:val="23"/>
          <w:szCs w:val="23"/>
        </w:rPr>
        <w:t xml:space="preserve">Experiment 1: Evaluation of grain quality of aromatic rice cultivars influenced by location and storage time</w:t>
      </w:r>
    </w:p>
    <w:p>
      <w:pPr>
        <w:pStyle w:val="Heading1"/>
        <w:spacing w:after="130" w:before="260"/>
      </w:pPr>
      <w:r>
        <w:rPr>
          <w:rFonts w:ascii="Times New Roman" w:cs="Times New Roman" w:eastAsia="Times New Roman" w:hAnsi="Times New Roman"/>
          <w:b/>
          <w:bCs/>
          <w:color w:val="000000"/>
          <w:sz w:val="24"/>
          <w:szCs w:val="24"/>
        </w:rPr>
        <w:t xml:space="preserve">4.0 Preamble and statistical analysis</w:t>
      </w:r>
    </w:p>
    <w:p>
      <w:pPr>
        <w:spacing w:after="140" w:line="300"/>
        <w:jc w:val="both"/>
      </w:pPr>
      <w:r>
        <w:rPr>
          <w:rFonts w:ascii="Times New Roman" w:cs="Times New Roman" w:eastAsia="Times New Roman" w:hAnsi="Times New Roman"/>
          <w:b w:val="false"/>
          <w:bCs w:val="false"/>
          <w:i w:val="false"/>
          <w:iCs w:val="false"/>
          <w:sz w:val="22"/>
          <w:szCs w:val="22"/>
        </w:rPr>
        <w:t xml:space="preserve">This experiment measured how the place of growing, the landrace and the length of storage after harvest affect the grain quality of three traditional aromatic rices of West Bengal. The landraces were Gobindabhog (V1), Radhunipagal (V2) and Kalojira (V3). They were collected from Nadia (L1), Purba Bardhaman (L2) and Birbhum/Howrah (L3). Each lot was tested as fresh paddy (S1) and again at 4 months (S2), 8 months (S3) and 12 months (S4) after harvest. The design was a factorial randomised block design with three replications. The trial was repeated in 2022-23 and 2023-24. Thirty-eight parameters were recorded. They are presented under seven headings: physical, sensory, nutritional, anti-nutritional, colour, minerals and amino acids. Data were analysed by analysis of variance for a three-factor factorial randomised block design (Das and Giri, 1986). Year was included as an additional factor. The year × treatment interactions were non-significant for most parameters. All means reported below are therefore pooled over the two years. SEm, CD at the 5% level and CV were computed from the pooled error mean square with 140 degrees of freedom. Means sharing a common letter do not differ at the 5% level by the least significant difference test. In the tables GB, RP and KJ denote the three landraces in the order given above. Amino acids were assayed on freshly harvested grain alone. Section 4.7 therefore reports S1 means only and no effect of storage.</w:t>
      </w:r>
    </w:p>
    <w:p>
      <w:r>
        <w:br w:type="page"/>
      </w:r>
    </w:p>
    <w:p>
      <w:pPr>
        <w:pStyle w:val="Heading1"/>
        <w:spacing w:after="130" w:before="260"/>
      </w:pPr>
      <w:r>
        <w:rPr>
          <w:rFonts w:ascii="Times New Roman" w:cs="Times New Roman" w:eastAsia="Times New Roman" w:hAnsi="Times New Roman"/>
          <w:b/>
          <w:bCs/>
          <w:color w:val="000000"/>
          <w:sz w:val="24"/>
          <w:szCs w:val="24"/>
        </w:rPr>
        <w:t xml:space="preserve">4.1 Physical grain quality</w:t>
      </w:r>
    </w:p>
    <w:p>
      <w:pPr>
        <w:spacing w:after="140" w:line="300"/>
        <w:jc w:val="both"/>
      </w:pPr>
      <w:r>
        <w:rPr>
          <w:rFonts w:ascii="Times New Roman" w:cs="Times New Roman" w:eastAsia="Times New Roman" w:hAnsi="Times New Roman"/>
          <w:b w:val="false"/>
          <w:bCs w:val="false"/>
          <w:i w:val="false"/>
          <w:iCs w:val="false"/>
          <w:sz w:val="22"/>
          <w:szCs w:val="22"/>
        </w:rPr>
        <w:t xml:space="preserve">The main effect means for all parameters in this section are brought together in Table 1. The individual parameters, with their interaction means, standard errors and critical differences, follow.</w:t>
      </w:r>
    </w:p>
    <w:p>
      <w:pPr>
        <w:spacing w:after="90" w:before="200"/>
        <w:jc w:val="left"/>
      </w:pPr>
      <w:r>
        <w:rPr>
          <w:rFonts w:ascii="Times New Roman" w:cs="Times New Roman" w:eastAsia="Times New Roman" w:hAnsi="Times New Roman"/>
          <w:b/>
          <w:bCs/>
          <w:sz w:val="19"/>
          <w:szCs w:val="19"/>
        </w:rPr>
        <w:t xml:space="preserve">Table 1. Main effect means of location, variety and storage period for the physical grain quality of three aromatic rice landraces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690"/>
        <w:gridCol w:w="690"/>
        <w:gridCol w:w="690"/>
        <w:gridCol w:w="690"/>
        <w:gridCol w:w="690"/>
        <w:gridCol w:w="690"/>
        <w:gridCol w:w="690"/>
        <w:gridCol w:w="690"/>
        <w:gridCol w:w="690"/>
        <w:gridCol w:w="690"/>
      </w:tblGrid>
      <w:tr>
        <w:trPr>
          <w:tblHeader/>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Parameter</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Hulling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75.59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75.28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74.58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77.52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76.92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74.30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75.81</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Milling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70.30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68.99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70.87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68.17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70.21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71.49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68.62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70.56</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Head Rice Recovery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62.87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64.08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62.00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62.26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62.77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64.06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64.90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63.37</w:t>
            </w:r>
            <w:r>
              <w:rPr>
                <w:rFonts w:ascii="Times New Roman" w:cs="Times New Roman" w:eastAsia="Times New Roman" w:hAnsi="Times New Roman"/>
                <w:b w:val="false"/>
                <w:bCs w:val="false"/>
                <w:i w:val="false"/>
                <w:iCs w:val="false"/>
                <w:sz w:val="20"/>
                <w:szCs w:val="20"/>
                <w:vertAlign w:val="superscript"/>
              </w:rPr>
              <w:t xml:space="preserve">c</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L/B Ratio</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1.831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1.607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1.865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2.051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1.789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1.785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1.746</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Moisture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13.10</w:t>
            </w:r>
            <w:r>
              <w:rPr>
                <w:rFonts w:ascii="Times New Roman" w:cs="Times New Roman" w:eastAsia="Times New Roman" w:hAnsi="Times New Roman"/>
                <w:b w:val="false"/>
                <w:bCs w:val="false"/>
                <w:i w:val="false"/>
                <w:iCs w:val="false"/>
                <w:sz w:val="20"/>
                <w:szCs w:val="20"/>
                <w:vertAlign w:val="superscript"/>
              </w:rPr>
              <w:t xml:space="preserve">c</w:t>
            </w:r>
          </w:p>
        </w:tc>
      </w:tr>
    </w:tbl>
    <w:p>
      <w:pPr>
        <w:spacing w:after="190" w:before="70"/>
        <w:jc w:val="left"/>
      </w:pPr>
      <w:r>
        <w:rPr>
          <w:rFonts w:ascii="Times New Roman" w:cs="Times New Roman" w:eastAsia="Times New Roman" w:hAnsi="Times New Roman"/>
          <w:i/>
          <w:iCs/>
          <w:sz w:val="17"/>
          <w:szCs w:val="17"/>
        </w:rPr>
        <w:t xml:space="preserve">Means followed by a common letter within a factor and row are not significantly different at P = 0.05 (LSD). L1, L2 and L3 denote Nadia, Purba Bardhaman and Birbhum/Howrah; V1, V2 and V3 denote Gobindabhog, Radhunipagal and Kalojira; S1 to S4 denote storage for zero, four, eight and twelve months. Standard errors and critical differences for each parameter are given with its individual table.</w:t>
      </w:r>
    </w:p>
    <w:p>
      <w:pPr>
        <w:pStyle w:val="Heading2"/>
        <w:spacing w:after="130" w:before="260"/>
      </w:pPr>
      <w:r>
        <w:rPr>
          <w:rFonts w:ascii="Times New Roman" w:cs="Times New Roman" w:eastAsia="Times New Roman" w:hAnsi="Times New Roman"/>
          <w:b/>
          <w:bCs/>
          <w:color w:val="000000"/>
          <w:sz w:val="23"/>
          <w:szCs w:val="23"/>
        </w:rPr>
        <w:t xml:space="preserve">4.1.1 Hulling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hulling, and the effect of location was highly significant. The highest value of 77.02% was recorded at Nadia. Purba Bardhaman came next with 75.59% and Birbhum/Howrah gave the lowest value of 75.28%. All three locations fell into separate letter groups. Each location differed from the other two. The gap between the best and the poorest location was 1.73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77.52%, followed by Gobindabhog with 75.78% and Radhunipagal with 74.58%. Each landrace occupied its own letter group. Kalojira exceeded Radhunipagal by 2.94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hulling. The effect was highly significant. Taken in order of sampling date, the values were 76.82% in fresh paddy, 76.92% at 4 months, 74.30% at 8 months and 75.81% at 12 months. Over the full year the value fell by 1.3%. The highest value came from 4 months and the lowest from 8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Kalojira at Nadia with 78.55%. The poorest was Radhunipagal at Birbhum/Howrah with 73.99%. The order of the three landraces stayed the same at every location. It ran Kalojira, then Gobindabhog, then Radhunipagal. The interaction therefore changed the size of the varietal differences but not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highly significant. The highest mean was 78.89% for Nadia at 4 months. The lowest was 73.81% for Purba Bardhaman at 8 months. Between fresh paddy and 12 months of storage the change was -1.3% at Nadia, -1.2% at Purba Bardhaman, -1.4%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79.01% for Kalojira at fresh paddy. The lowest was 73.45% for Radhunipagal at 8 months. Over the twelve months the change was -0.7% in Gobindabhog, -1.3% in Radhunipagal, -2.0%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80.20% was recorded by Kalojira grown at Nadia and sampled at 4 months. The lowest value of 72.38% came from Gobindabhog grown at Birbhum/Howrah and sampled at 8 months. The spread between these two cells was 7.82 percentage points.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2. Effect of location, variety and storage period on Hulling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77.65</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78.85</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75.01</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76.55</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75.79</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77.63</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73.77</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74.79</w:t>
            </w:r>
            <w:r>
              <w:rPr>
                <w:rFonts w:ascii="Times New Roman" w:cs="Times New Roman" w:eastAsia="Times New Roman" w:hAnsi="Times New Roman"/>
                <w:b w:val="false"/>
                <w:bCs w:val="false"/>
                <w:i w:val="false"/>
                <w:iCs w:val="false"/>
                <w:sz w:val="20"/>
                <w:szCs w:val="20"/>
                <w:vertAlign w:val="superscript"/>
              </w:rPr>
              <w:t xml:space="preserve">lmn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75.49</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78.95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80.20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77.01</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78.02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78.55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76.29</w:t>
            </w:r>
            <w:r>
              <w:rPr>
                <w:rFonts w:ascii="Times New Roman" w:cs="Times New Roman" w:eastAsia="Times New Roman" w:hAnsi="Times New Roman"/>
                <w:b w:val="false"/>
                <w:bCs w:val="false"/>
                <w:i w:val="false"/>
                <w:iCs w:val="false"/>
                <w:sz w:val="20"/>
                <w:szCs w:val="20"/>
                <w:vertAlign w:val="superscript"/>
              </w:rPr>
              <w:t xml:space="preserve">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77.40</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74.01</w:t>
            </w:r>
            <w:r>
              <w:rPr>
                <w:rFonts w:ascii="Times New Roman" w:cs="Times New Roman" w:eastAsia="Times New Roman" w:hAnsi="Times New Roman"/>
                <w:b w:val="false"/>
                <w:bCs w:val="false"/>
                <w:i w:val="false"/>
                <w:iCs w:val="false"/>
                <w:sz w:val="20"/>
                <w:szCs w:val="20"/>
                <w:vertAlign w:val="superscript"/>
              </w:rPr>
              <w:t xml:space="preserve">nopq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76.03</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75.93</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74.67</w:t>
            </w:r>
            <w:r>
              <w:rPr>
                <w:rFonts w:ascii="Times New Roman" w:cs="Times New Roman" w:eastAsia="Times New Roman" w:hAnsi="Times New Roman"/>
                <w:b w:val="false"/>
                <w:bCs w:val="false"/>
                <w:i w:val="false"/>
                <w:iCs w:val="false"/>
                <w:sz w:val="20"/>
                <w:szCs w:val="20"/>
                <w:vertAlign w:val="superscript"/>
              </w:rPr>
              <w:t xml:space="preserve">lmno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75.80</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72.91</w:t>
            </w:r>
            <w:r>
              <w:rPr>
                <w:rFonts w:ascii="Times New Roman" w:cs="Times New Roman" w:eastAsia="Times New Roman" w:hAnsi="Times New Roman"/>
                <w:b w:val="false"/>
                <w:bCs w:val="false"/>
                <w:i w:val="false"/>
                <w:iCs w:val="false"/>
                <w:sz w:val="20"/>
                <w:szCs w:val="20"/>
                <w:vertAlign w:val="superscript"/>
              </w:rPr>
              <w:t xml:space="preserve">rs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73.68</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74.26</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78.09</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77.15</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74.49</w:t>
            </w:r>
            <w:r>
              <w:rPr>
                <w:rFonts w:ascii="Times New Roman" w:cs="Times New Roman" w:eastAsia="Times New Roman" w:hAnsi="Times New Roman"/>
                <w:b w:val="false"/>
                <w:bCs w:val="false"/>
                <w:i w:val="false"/>
                <w:iCs w:val="false"/>
                <w:sz w:val="20"/>
                <w:szCs w:val="20"/>
                <w:vertAlign w:val="superscript"/>
              </w:rPr>
              <w:t xml:space="preserve">mnopq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76.54</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76.57</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75.27</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74.85</w:t>
            </w:r>
            <w:r>
              <w:rPr>
                <w:rFonts w:ascii="Times New Roman" w:cs="Times New Roman" w:eastAsia="Times New Roman" w:hAnsi="Times New Roman"/>
                <w:b w:val="false"/>
                <w:bCs w:val="false"/>
                <w:i w:val="false"/>
                <w:iCs w:val="false"/>
                <w:sz w:val="20"/>
                <w:szCs w:val="20"/>
                <w:vertAlign w:val="superscript"/>
              </w:rPr>
              <w:t xml:space="preserve">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72.38</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75.13</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74.41</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74.65</w:t>
            </w:r>
            <w:r>
              <w:rPr>
                <w:rFonts w:ascii="Times New Roman" w:cs="Times New Roman" w:eastAsia="Times New Roman" w:hAnsi="Times New Roman"/>
                <w:b w:val="false"/>
                <w:bCs w:val="false"/>
                <w:i w:val="false"/>
                <w:iCs w:val="false"/>
                <w:sz w:val="20"/>
                <w:szCs w:val="20"/>
                <w:vertAlign w:val="superscript"/>
              </w:rPr>
              <w:t xml:space="preserve">lmnop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73.85</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73.68</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73.79</w:t>
            </w:r>
            <w:r>
              <w:rPr>
                <w:rFonts w:ascii="Times New Roman" w:cs="Times New Roman" w:eastAsia="Times New Roman" w:hAnsi="Times New Roman"/>
                <w:b w:val="false"/>
                <w:bCs w:val="false"/>
                <w:i w:val="false"/>
                <w:iCs w:val="false"/>
                <w:sz w:val="20"/>
                <w:szCs w:val="20"/>
                <w:vertAlign w:val="superscript"/>
              </w:rPr>
              <w:t xml:space="preserve">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73.99</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80.00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76.56</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75.46</w:t>
            </w:r>
            <w:r>
              <w:rPr>
                <w:rFonts w:ascii="Times New Roman" w:cs="Times New Roman" w:eastAsia="Times New Roman" w:hAnsi="Times New Roman"/>
                <w:b w:val="false"/>
                <w:bCs w:val="false"/>
                <w:i w:val="false"/>
                <w:iCs w:val="false"/>
                <w:sz w:val="20"/>
                <w:szCs w:val="20"/>
                <w:vertAlign w:val="superscript"/>
              </w:rPr>
              <w:t xml:space="preserve">ijkl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77.79</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77.45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77.46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78.89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75.26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76.45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76.78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75.59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76.64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75.09</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75.57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75.28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76.40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73.80</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75.91</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73.45</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74.58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79.01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77.97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75.65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77.45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77.52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76.82</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76.92</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74.30</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75.81</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75.96</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75.96.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0.250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0.250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0.999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Hulling depends on what share of the paddy weight is husk and on how firmly the husk grips the kernel. Both are decided before harvest. The share of husk is a varietal character, so a landrace with a small tight husk will always dehusk better than a bold one with a heavy hull, and Singh et al. (2000) and Mahendra et al. (2019) recorded the same kind of difference among Indian aromatic rices. Patra et al. (2024) obtained comparable figures for a West Bengal aromatic landrace. The effect of the growing place is most probably due to weather during grain filling, because temperature, sunlight and humidity in the weeks after flowering decide how completely the kernel fills the space inside the husk (Li et al., 2018). Grain that fills poorly sits loosely in the hull and a larger share fails to dehusk in a single pass. The change during storage is unlikely to be a lasting chemical one. Paddy exchanges moisture with the surrounding air, and a damp husk softens and grips the kernel more tightly, which is why hulling follows the season rather than the length of storage. Wongpornchai et al. (2004) and Zhou et al. (2002) reached the same conclusion, and Müller et al. (2022) judged the moisture balance of stored grain to be the single most important factor in preserving milling quality.</w:t>
      </w:r>
    </w:p>
    <w:p>
      <w:pPr>
        <w:pStyle w:val="Heading2"/>
        <w:spacing w:after="130" w:before="260"/>
      </w:pPr>
      <w:r>
        <w:rPr>
          <w:rFonts w:ascii="Times New Roman" w:cs="Times New Roman" w:eastAsia="Times New Roman" w:hAnsi="Times New Roman"/>
          <w:b/>
          <w:bCs/>
          <w:color w:val="000000"/>
          <w:sz w:val="23"/>
          <w:szCs w:val="23"/>
        </w:rPr>
        <w:t xml:space="preserve">4.1.2 Milling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milling, and the effect of location was highly significant. The highest value of 71.38% was recorded at Birbhum/Howrah. Nadia came next with 70.30% and Purba Bardhaman gave the lowest value of 68.99%. All three locations fell into separate letter groups. Each location differed from the other two. The gap between the best and the poorest location was 2.39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71.63%, followed by Gobindabhog with 70.87% and Radhunipagal with 68.17%. Each landrace occupied its own letter group. Kalojira exceeded Radhunipagal by 3.47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milling. The effect was highly significant. Taken in order of sampling date, the values were 70.21% in fresh paddy, 71.49% at 4 months, 68.62% at 8 months and 70.56% at 12 months. Over the full year the value increased by 0.5%. The highest value came from 4 months and the lowest from 8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Kalojira at Birbhum/Howrah with 72.89%. The poorest was Radhunipagal at Purba Bardhaman with 66.90%. The order of the three landraces stayed the same at every location. It ran Kalojira, then Gobindabhog, then Radhunipagal. The interaction therefore changed the size of the varietal differences but not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not significant. The highest mean was 72.69% for Birbhum/Howrah at 4 months. The lowest was 67.55% for Purba Bardhaman at 8 months. Between fresh paddy and 12 months of storage the change was +0.6% at Nadia, +0.8% at Purba Bardhaman, +0.2%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not significant. The highest mean was 72.94% for Kalojira at 4 months. The lowest was 66.42% for Radhunipagal at 8 months. Over the twelve months the change was +0.2% in Gobindabhog, +0.3% in Radhunipagal, +1.0%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not significant. Out of the thirty six treatment combinations the highest value of 73.88% was recorded by Kalojira grown at Birbhum/Howrah and sampled at 4 months. The lowest value of 65.21% came from Radhunipagal grown at Purba Bardhaman and sampled at 8 months. This interaction was not significant. These two extreme cells should not be read as real differences on their own. The main effects give the safer picture.</w:t>
      </w:r>
    </w:p>
    <w:p>
      <w:pPr>
        <w:spacing w:after="90" w:before="200"/>
        <w:jc w:val="left"/>
      </w:pPr>
      <w:r>
        <w:rPr>
          <w:rFonts w:ascii="Times New Roman" w:cs="Times New Roman" w:eastAsia="Times New Roman" w:hAnsi="Times New Roman"/>
          <w:b/>
          <w:bCs/>
          <w:sz w:val="19"/>
          <w:szCs w:val="19"/>
        </w:rPr>
        <w:t xml:space="preserve">Table 3. Effect of location, variety and storage period on Milling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71.06</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72.00</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69.44</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71.59</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71.03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68.01</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69.40</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66.42</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68.07</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67.97</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71.59</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73.61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70.22</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72.17</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71.90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69.94</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71.18</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68.67</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70.02</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69.95</w:t>
            </w:r>
            <w:r>
              <w:rPr>
                <w:rFonts w:ascii="Times New Roman" w:cs="Times New Roman" w:eastAsia="Times New Roman" w:hAnsi="Times New Roman"/>
                <w:b w:val="false"/>
                <w:bCs w:val="false"/>
                <w:i w:val="false"/>
                <w:iCs w:val="false"/>
                <w:sz w:val="20"/>
                <w:szCs w:val="20"/>
                <w:vertAlign w:val="superscript"/>
              </w:rPr>
              <w:t xml:space="preserve">de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66.92</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67.78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65.21</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67.68</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66.90</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69.78</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71.33</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68.77</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70.55</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70.11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71.96</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72.96</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69.86</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71.69</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69.88</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71.25</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67.61</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69.77</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69.63</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72.79</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71.36</w:t>
            </w:r>
            <w:r>
              <w:rPr>
                <w:rFonts w:ascii="Times New Roman" w:cs="Times New Roman" w:eastAsia="Times New Roman" w:hAnsi="Times New Roman"/>
                <w:b w:val="false"/>
                <w:bCs w:val="false"/>
                <w:i w:val="false"/>
                <w:iCs w:val="false"/>
                <w:sz w:val="20"/>
                <w:szCs w:val="20"/>
                <w:vertAlign w:val="superscript"/>
              </w:rPr>
              <w:t xml:space="preserve">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73.55</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72.89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70.22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68.70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70.61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70.30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68.88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70.10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67.55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69.42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68.99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71.55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72.69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69.61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71.38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70.99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72.05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69.33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71.10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70.87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68.27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69.47</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66.42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68.50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68.17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71.39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70.12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72.09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70.21</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71.49</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68.62</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70.56</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70.22</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70.22.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1.037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Milling recovery is decided by how well the kernel resists the abrasive action of the polisher. The most probable reason for the varietal differences is endosperm hardness. A bold grain with a softer endosperm fissures more readily and loses more material as bran and broken fragments, and Tsado et al. (2015) found cracking and breakage in milled rice to be strongly cultivar dependent. The gain seen in the early months of storage is a well documented consequence of ageing. Sulphur bridges form within the storage protein and the bond between starch and protein tightens, so the kernel becomes harder and fewer grains break during polishing (Chrastil and Zarins, 1992; Zhou et al., 2015). This is why millers hold paddy for a season before polishing it. The later decline most probably reflects moisture uptake during the humid months, which softens the grain again, since Müller et al. (2022) concluded that both the drying history and the moisture balance of a lot govern how much breakage occurs at the mill. That location also mattered is consistent with Li et al. (2018), who found milling outturn to respond to conditions during grain filling.</w:t>
      </w:r>
    </w:p>
    <w:p>
      <w:pPr>
        <w:pStyle w:val="Heading2"/>
        <w:spacing w:after="130" w:before="260"/>
      </w:pPr>
      <w:r>
        <w:rPr>
          <w:rFonts w:ascii="Times New Roman" w:cs="Times New Roman" w:eastAsia="Times New Roman" w:hAnsi="Times New Roman"/>
          <w:b/>
          <w:bCs/>
          <w:color w:val="000000"/>
          <w:sz w:val="23"/>
          <w:szCs w:val="23"/>
        </w:rPr>
        <w:t xml:space="preserve">4.1.3 Head Rice Recovery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head rice recovery, and the effect of location was highly significant. The highest value of 64.38% was recorded at Birbhum/Howrah. Purba Bardhaman came next with 64.08% and Nadia gave the lowest value of 62.87%. All three locations fell into separate letter groups. Each location differed from the other two. The gap between the best and the poorest location was 1.52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67.07%, followed by Radhunipagal with 62.26% and Gobindabhog with 62.00%. Each landrace occupied its own letter group. Kalojira exceeded Gobindabhog by 5.07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head rice recovery. The effect was highly significant. Taken in order of sampling date, the values were 62.77% in fresh paddy, 64.06% at 4 months, 64.90% at 8 months and 63.37% at 12 months. Over the full year the value increased by 1.0%. The highest value came from 8 months and the lowest from fresh paddy.</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Kalojira at Birbhum/Howrah with 68.88%. The poorest was Gobindabhog at Nadia with 60.53%. The ranking of the landraces did not stay the same across locations. At Nadia the order was Kalojira, Radhunipagal and Gobindabhog. At Purba Bardhaman the order was Kalojira, Gobindabhog and Radhunipagal. At Birbhum/Howrah the order was Kalojira, Radhunipagal and Gobindabhog.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not significant. The highest mean was 65.64% for Birbhum/Howrah at 8 months. The lowest was 62.12% for Nadia at fresh paddy. Between fresh paddy and 12 months of storage the change was +0.4% at Nadia, +1.4% at Purba Bardhaman, +1.1%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not significant. The highest mean was 68.22% for Kalojira at 8 months. The lowest was 60.90% for Gobindabhog at fresh paddy. Over the twelve months the change was +1.3% in Gobindabhog, +0.3% in Radhunipagal, +1.3%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not significant. Out of the thirty six treatment combinations the highest value of 70.10% was recorded by Kalojira grown at Birbhum/Howrah and sampled at 8 months. The lowest value of 59.64% came from Gobindabhog grown at Nadia and sampled at 12 months. This interaction was not significant. These two extreme cells should not be read as real differences on their own. The main effects give the safer picture.</w:t>
      </w:r>
    </w:p>
    <w:p>
      <w:pPr>
        <w:spacing w:after="90" w:before="200"/>
        <w:jc w:val="left"/>
      </w:pPr>
      <w:r>
        <w:rPr>
          <w:rFonts w:ascii="Times New Roman" w:cs="Times New Roman" w:eastAsia="Times New Roman" w:hAnsi="Times New Roman"/>
          <w:b/>
          <w:bCs/>
          <w:sz w:val="19"/>
          <w:szCs w:val="19"/>
        </w:rPr>
        <w:t xml:space="preserve">Table 4. Effect of location, variety and storage period on Head Rice Recovery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59.85</w:t>
            </w:r>
            <w:r>
              <w:rPr>
                <w:rFonts w:ascii="Times New Roman" w:cs="Times New Roman" w:eastAsia="Times New Roman" w:hAnsi="Times New Roman"/>
                <w:b w:val="false"/>
                <w:bCs w:val="false"/>
                <w:i w:val="false"/>
                <w:iCs w:val="false"/>
                <w:sz w:val="20"/>
                <w:szCs w:val="20"/>
                <w:vertAlign w:val="superscript"/>
              </w:rPr>
              <w:t xml:space="preserve">uv</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60.85</w:t>
            </w:r>
            <w:r>
              <w:rPr>
                <w:rFonts w:ascii="Times New Roman" w:cs="Times New Roman" w:eastAsia="Times New Roman" w:hAnsi="Times New Roman"/>
                <w:b w:val="false"/>
                <w:bCs w:val="false"/>
                <w:i w:val="false"/>
                <w:iCs w:val="false"/>
                <w:sz w:val="20"/>
                <w:szCs w:val="20"/>
                <w:vertAlign w:val="superscript"/>
              </w:rPr>
              <w:t xml:space="preserve">rst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61.79</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59.64</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60.53</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61.92</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62.82</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63.32</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62.24</w:t>
            </w:r>
            <w:r>
              <w:rPr>
                <w:rFonts w:ascii="Times New Roman" w:cs="Times New Roman" w:eastAsia="Times New Roman" w:hAnsi="Times New Roman"/>
                <w:b w:val="false"/>
                <w:bCs w:val="false"/>
                <w:i w:val="false"/>
                <w:iCs w:val="false"/>
                <w:sz w:val="20"/>
                <w:szCs w:val="20"/>
                <w:vertAlign w:val="superscript"/>
              </w:rPr>
              <w:t xml:space="preserve">nopq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62.57</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64.60</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65.69</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66.50</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65.17</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65.49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62.35</w:t>
            </w:r>
            <w:r>
              <w:rPr>
                <w:rFonts w:ascii="Times New Roman" w:cs="Times New Roman" w:eastAsia="Times New Roman" w:hAnsi="Times New Roman"/>
                <w:b w:val="false"/>
                <w:bCs w:val="false"/>
                <w:i w:val="false"/>
                <w:iCs w:val="false"/>
                <w:sz w:val="20"/>
                <w:szCs w:val="20"/>
                <w:vertAlign w:val="superscript"/>
              </w:rPr>
              <w:t xml:space="preserve">nop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64.17</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64.75</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63.94</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63.80</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60.72</w:t>
            </w:r>
            <w:r>
              <w:rPr>
                <w:rFonts w:ascii="Times New Roman" w:cs="Times New Roman" w:eastAsia="Times New Roman" w:hAnsi="Times New Roman"/>
                <w:b w:val="false"/>
                <w:bCs w:val="false"/>
                <w:i w:val="false"/>
                <w:iCs w:val="false"/>
                <w:sz w:val="20"/>
                <w:szCs w:val="20"/>
                <w:vertAlign w:val="superscript"/>
              </w:rPr>
              <w:t xml:space="preserve">st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61.88</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62.80</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60.98</w:t>
            </w:r>
            <w:r>
              <w:rPr>
                <w:rFonts w:ascii="Times New Roman" w:cs="Times New Roman" w:eastAsia="Times New Roman" w:hAnsi="Times New Roman"/>
                <w:b w:val="false"/>
                <w:bCs w:val="false"/>
                <w:i w:val="false"/>
                <w:iCs w:val="false"/>
                <w:sz w:val="20"/>
                <w:szCs w:val="20"/>
                <w:vertAlign w:val="superscript"/>
              </w:rPr>
              <w:t xml:space="preserve">rst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61.60</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65.79</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66.89</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68.05</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66.60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66.83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60.49</w:t>
            </w:r>
            <w:r>
              <w:rPr>
                <w:rFonts w:ascii="Times New Roman" w:cs="Times New Roman" w:eastAsia="Times New Roman" w:hAnsi="Times New Roman"/>
                <w:b w:val="false"/>
                <w:bCs w:val="false"/>
                <w:i w:val="false"/>
                <w:iCs w:val="false"/>
                <w:sz w:val="20"/>
                <w:szCs w:val="20"/>
                <w:vertAlign w:val="superscript"/>
              </w:rPr>
              <w:t xml:space="preserve">tu</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62.23</w:t>
            </w:r>
            <w:r>
              <w:rPr>
                <w:rFonts w:ascii="Times New Roman" w:cs="Times New Roman" w:eastAsia="Times New Roman" w:hAnsi="Times New Roman"/>
                <w:b w:val="false"/>
                <w:bCs w:val="false"/>
                <w:i w:val="false"/>
                <w:iCs w:val="false"/>
                <w:sz w:val="20"/>
                <w:szCs w:val="20"/>
                <w:vertAlign w:val="superscript"/>
              </w:rPr>
              <w:t xml:space="preserve">nopq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62.46</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61.45</w:t>
            </w:r>
            <w:r>
              <w:rPr>
                <w:rFonts w:ascii="Times New Roman" w:cs="Times New Roman" w:eastAsia="Times New Roman" w:hAnsi="Times New Roman"/>
                <w:b w:val="false"/>
                <w:bCs w:val="false"/>
                <w:i w:val="false"/>
                <w:iCs w:val="false"/>
                <w:sz w:val="20"/>
                <w:szCs w:val="20"/>
                <w:vertAlign w:val="superscript"/>
              </w:rPr>
              <w:t xml:space="preserve">qrs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61.66</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61.60</w:t>
            </w:r>
            <w:r>
              <w:rPr>
                <w:rFonts w:ascii="Times New Roman" w:cs="Times New Roman" w:eastAsia="Times New Roman" w:hAnsi="Times New Roman"/>
                <w:b w:val="false"/>
                <w:bCs w:val="false"/>
                <w:i w:val="false"/>
                <w:iCs w:val="false"/>
                <w:sz w:val="20"/>
                <w:szCs w:val="20"/>
                <w:vertAlign w:val="superscript"/>
              </w:rPr>
              <w:t xml:space="preserve">pqr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62.91</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64.37</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61.56</w:t>
            </w:r>
            <w:r>
              <w:rPr>
                <w:rFonts w:ascii="Times New Roman" w:cs="Times New Roman" w:eastAsia="Times New Roman" w:hAnsi="Times New Roman"/>
                <w:b w:val="false"/>
                <w:bCs w:val="false"/>
                <w:i w:val="false"/>
                <w:iCs w:val="false"/>
                <w:sz w:val="20"/>
                <w:szCs w:val="20"/>
                <w:vertAlign w:val="superscript"/>
              </w:rPr>
              <w:t xml:space="preserve">pqr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62.61</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67.58</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69.12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70.10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68.71</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68.88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62.12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63.12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63.87</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62.35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62.87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62.95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64.32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65.20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63.84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64.08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63.22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64.75</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65.64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63.91</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64.38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60.90</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62.42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63.00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61.68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62.00</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61.41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62.54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63.50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61.59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62.26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65.99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67.23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68.22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66.83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67.07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62.77</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64.06</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64.90</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63.37</w:t>
            </w:r>
            <w:r>
              <w:rPr>
                <w:rFonts w:ascii="Times New Roman" w:cs="Times New Roman" w:eastAsia="Times New Roman" w:hAnsi="Times New Roman"/>
                <w:b/>
                <w:bCs/>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63.77</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63.77.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0.264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0.792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1.088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Head rice recovery measures how many kernels survive milling unbroken, and it is governed mainly by kernel density and vitreousness. A small, dense, glassy grain resists fracture, which is the most probable reason for the varietal ranking obtained here. Li et al. (2018) likewise found milling quality to be shaped more by the genotype than by the growing environment, which fits the fact that the spread between landraces was wider than the spread between places. The improvement during the middle part of storage is explained by the hardening that accompanies ageing, as storage proteins polymerise and starch granules reassociate so the kernel fractures less easily (Zhou et al., 2002; Zhou et al., 2015). The loss of that gain later on is best explained by fatigue rather than by chemistry. Grain held through a full year takes up and gives off moisture repeatedly as the seasons turn, and each cycle sets up internal stress that opens fine fissures. In time these outweigh the benefit of hardening. Tsado et al. (2015) recorded the same reversal when paddy was held beyond one year in ordinary storage, and Müller et al. (2022) drew the same conclusion from a wide review of post-harvest work.</w:t>
      </w:r>
    </w:p>
    <w:p>
      <w:pPr>
        <w:pStyle w:val="Heading2"/>
        <w:spacing w:after="130" w:before="260"/>
      </w:pPr>
      <w:r>
        <w:rPr>
          <w:rFonts w:ascii="Times New Roman" w:cs="Times New Roman" w:eastAsia="Times New Roman" w:hAnsi="Times New Roman"/>
          <w:b/>
          <w:bCs/>
          <w:color w:val="000000"/>
          <w:sz w:val="23"/>
          <w:szCs w:val="23"/>
        </w:rPr>
        <w:t xml:space="preserve">4.1.4 L/B Ratio</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the L/B ratio, and the effect of location was highly significant. The highest value of 1.865 was recorded at Birbhum/Howrah. Nadia came next with 1.831 and Purba Bardhaman gave the lowest value of 1.607. All three locations fell into separate letter groups. Each location differed from the other two. The gap between the best and the poorest location was 0.258.</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Gobindabhog recorded the highest value of 2.051, followed by Kalojira with 1.627 and Radhunipagal with 1.626. Kalojira and Radhunipagal carried a common letter. These two were on par with each other. Gobindabhog exceeded Radhunipagal by 0.426.</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the L/B ratio. The effect was highly significant. Taken in order of sampling date, the values were 1.789 in fresh paddy, 1.785 at 4 months, 1.753 at 8 months and 1.746 at 12 months. Over the full year the value fell by 2.4%. The highest value came from fresh paddy and the lowest from 12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Gobindabhog at Purba Bardhaman with 2.113. The poorest was Radhunipagal at Purba Bardhaman with 1.170. The ranking of the landraces did not stay the same across locations. At Nadia the order was Gobindabhog, Radhunipagal and Kalojira. At Purba Bardhaman the order was Gobindabhog, Kalojira and Radhunipagal. At Birbhum/Howrah the order was Gobindabhog, Radhunipagal and Kalojira.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highly significant. The highest mean was 1.882 for Nadia at 4 months. The lowest was 1.549 for Purba Bardhaman at 8 months. Between fresh paddy and 12 months of storage the change was +1.6% at Nadia, -8.6% at Purba Bardhaman, -0.3% at Birbhum/Howrah. Grain from Purba Bardhaman changed the most and grain from Nadia the least. The spread was 10.2 percentage points. The rate of change during storage was therefore not the same at all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2.114 for Gobindabhog at 8 months. The lowest was 1.547 for Radhunipagal at 8 months. Over the twelve months the change was +0.3% in Gobindabhog, -7.4% in Radhunipagal, -0.3% in Kalojira. Radhunipagal moved the furthest and Gobindabhog the least. The three landraces did not lose or gain at the same rate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2.177 was recorded by Gobindabhog grown at Purba Bardhaman and sampled at 8 months. The lowest value of 0.991 came from Radhunipagal grown at Purba Bardhaman and sampled at 8 months. The spread between these two cells was 1.186.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5. Effect of location, variety and storage period on L/B Ratio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1.972</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2.070</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2.089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2.020</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1.746</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1.791</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1.844</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1.757</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1.785</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1.604</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1.785</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1.671</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1.628</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1.672</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2.162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2.033</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2.177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2.078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2.113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1.464</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1.211</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0.991</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1.015</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1.170</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1.519</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1.551</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1.478</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1.606</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1.539</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1.957</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2.075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2.008</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1.922</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1.983</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1.804</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1.978</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1.922</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1.751</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1.662</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1.643</w:t>
            </w:r>
            <w:r>
              <w:rPr>
                <w:rFonts w:ascii="Times New Roman" w:cs="Times New Roman" w:eastAsia="Times New Roman" w:hAnsi="Times New Roman"/>
                <w:b w:val="false"/>
                <w:bCs w:val="false"/>
                <w:i w:val="false"/>
                <w:iCs w:val="false"/>
                <w:sz w:val="20"/>
                <w:szCs w:val="20"/>
                <w:vertAlign w:val="superscript"/>
              </w:rPr>
              <w:t xml:space="preserve">nop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1.625</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1.670</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1.774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1.868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1.831</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1.598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1.549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1.567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1.607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1.865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2.026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2.114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2.051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1.661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1.547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1.583</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1.666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1.597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1.789</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1.785</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1.753</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1.746</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1.768</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1.768.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0.0191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0.0137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1.895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Grain shape is among the most strongly inherited of all quality traits, being fixed by the maternal genotype while the grain is filling, so the varietal differences recorded here are expected. All three landraces fall well short of the slender Basmati grain type described by Kaul (1970), which confirms that they belong to the small and medium grained group of Indian aromatic rices catalogued by Singh et al. (2000). Pachauri et al. (2010) pointed out that short round aromatic landraces can match or surpass Basmati in flavour and digestibility even though grain shape counts against them in the market, and that applies to the present material. The small contraction observed during storage most probably reflects uneven shrinkage rather than any real change in shape. As bound moisture leaves the kernel it shrinks more along its length than across its breadth, so the ratio falls slightly. Because the change is very small it has no commercial consequence, and it registers as significant only because the experimental error in this trial was low.</w:t>
      </w:r>
    </w:p>
    <w:p>
      <w:pPr>
        <w:pStyle w:val="Heading2"/>
        <w:spacing w:after="130" w:before="260"/>
      </w:pPr>
      <w:r>
        <w:rPr>
          <w:rFonts w:ascii="Times New Roman" w:cs="Times New Roman" w:eastAsia="Times New Roman" w:hAnsi="Times New Roman"/>
          <w:b/>
          <w:bCs/>
          <w:color w:val="000000"/>
          <w:sz w:val="23"/>
          <w:szCs w:val="23"/>
        </w:rPr>
        <w:t xml:space="preserve">4.1.5 Moisture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moisture, and the effect of location was highly significant. The highest value of 13.34% was recorded at Nadia. Birbhum/Howrah came next with 13.28% and Purba Bardhaman gave the lowest value of 13.18%. All three locations fell into separate letter groups. Each location differed from the other two. The gap between the best and the poorest location was 0.16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13.78%, followed by Gobindabhog with 13.38% and Radhunipagal with 12.64%. Each landrace occupied its own letter group. Kalojira exceeded Radhunipagal by 1.14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moisture. The effect was highly significant. Taken in order of sampling date, the values were 13.29% in fresh paddy, 12.74% at 4 months, 13.95% at 8 months and 13.10% at 12 months. Over the full year the value fell by 1.4%. The highest value came from 8 months and the lowest from 4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Kalojira at Nadia with 13.91%. The poorest was Radhunipagal at Purba Bardhaman with 12.58%. The order of the three landraces stayed the same at every location. It ran Kalojira, then Gobindabhog, then Radhunipagal. The interaction therefore changed the size of the varietal differences but not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highly significant. The highest mean was 14.14% for Nadia at 8 months. The lowest was 12.68% for Nadia at 4 months. Between fresh paddy and 12 months of storage the change was -1.6% at Nadia, -1.1% at Purba Bardhaman, -1.4%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14.45% for Kalojira at 8 months. The lowest was 12.21% for Radhunipagal at 4 months. Over the twelve months the change was -2.1% in Gobindabhog, -0.9% in Radhunipagal, -1.1%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14.80% was recorded by Kalojira grown at Nadia and sampled at 8 months. The lowest value of 12.00% came from Radhunipagal grown at Purba Bardhaman and sampled at 4 months. The spread between these two cells was 2.80 percentage points.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6. Effect of location, variety and storage period on Moisture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13.51</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12.90</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13.14</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12.70</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12.08</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13.15</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12.52</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12.61</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13.06</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13.84</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13.22</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12.90</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13.21</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13.32</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12.51</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12.00</w:t>
            </w:r>
            <w:r>
              <w:rPr>
                <w:rFonts w:ascii="Times New Roman" w:cs="Times New Roman" w:eastAsia="Times New Roman" w:hAnsi="Times New Roman"/>
                <w:b w:val="false"/>
                <w:bCs w:val="false"/>
                <w:i w:val="false"/>
                <w:iCs w:val="false"/>
                <w:sz w:val="20"/>
                <w:szCs w:val="20"/>
                <w:vertAlign w:val="superscript"/>
              </w:rPr>
              <w:t xml:space="preserve">w</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13.41</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12.38</w:t>
            </w:r>
            <w:r>
              <w:rPr>
                <w:rFonts w:ascii="Times New Roman" w:cs="Times New Roman" w:eastAsia="Times New Roman" w:hAnsi="Times New Roman"/>
                <w:b w:val="false"/>
                <w:bCs w:val="false"/>
                <w:i w:val="false"/>
                <w:iCs w:val="false"/>
                <w:sz w:val="20"/>
                <w:szCs w:val="20"/>
                <w:vertAlign w:val="superscript"/>
              </w:rPr>
              <w:t xml:space="preserve">u</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12.58</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13.15</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14.13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13.66</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13.54</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12.83</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13.06</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13.32</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12.56</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12.56</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13.32</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12.52</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12.74</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13.16</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12.68</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14.14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13.34</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12.69</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13.04</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13.29</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12.85</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13.42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12.87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14.10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13.14</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12.59</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12.21</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13.29</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13.13</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13.29</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12.74</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13.95</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13.10</w:t>
            </w:r>
            <w:r>
              <w:rPr>
                <w:rFonts w:ascii="Times New Roman" w:cs="Times New Roman" w:eastAsia="Times New Roman" w:hAnsi="Times New Roman"/>
                <w:b/>
                <w:bCs/>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13.27</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13.27.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moisture content of stored paddy is not a fixed property of the lot but a running balance with the surrounding air. Genkawa et al. (2008) showed that brown rice kept in ordinary conditions continues to exchange water vapour with the atmosphere, so what matters for storability is this balance rather than the moisture the grain started with. The rise and fall recorded across the sampling dates therefore tracks the seasonal humidity of the Gangetic plain, with grain drying through the cool months and taking moisture back during the monsoon. The varietal differences are most probably a matter of husk structure, since a tight, closely fitting husk slows vapour movement and keeps the kernel damper than a loose one. This has practical weight, because the same godown will not give every landrace the same safety margin. Nearly all samples stayed within the limit prescribed for safe paddy storage (IRRI, 2016), and Müller et al. (2022) recommend holding grain within a similar band. Duangkhamchan et al. (2024) further showed that moisture is rarely uniform through a stored heap, so parts of a lot may exceed the safe limit even when the average appears acceptable.</w:t>
      </w:r>
    </w:p>
    <w:p>
      <w:r>
        <w:br w:type="page"/>
      </w:r>
    </w:p>
    <w:p>
      <w:pPr>
        <w:pStyle w:val="Heading1"/>
        <w:spacing w:after="130" w:before="260"/>
      </w:pPr>
      <w:r>
        <w:rPr>
          <w:rFonts w:ascii="Times New Roman" w:cs="Times New Roman" w:eastAsia="Times New Roman" w:hAnsi="Times New Roman"/>
          <w:b/>
          <w:bCs/>
          <w:color w:val="000000"/>
          <w:sz w:val="24"/>
          <w:szCs w:val="24"/>
        </w:rPr>
        <w:t xml:space="preserve">4.2 Sensory quality</w:t>
      </w:r>
    </w:p>
    <w:p>
      <w:pPr>
        <w:pStyle w:val="Heading2"/>
        <w:spacing w:after="130" w:before="260"/>
      </w:pPr>
      <w:r>
        <w:rPr>
          <w:rFonts w:ascii="Times New Roman" w:cs="Times New Roman" w:eastAsia="Times New Roman" w:hAnsi="Times New Roman"/>
          <w:b/>
          <w:bCs/>
          <w:color w:val="000000"/>
          <w:sz w:val="23"/>
          <w:szCs w:val="23"/>
        </w:rPr>
        <w:t xml:space="preserve">4.2.1 Aroma Score</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the aroma score, and the effect of location was highly significant. The highest value of 2.232 was recorded at Birbhum/Howrah. Nadia came next with 2.228 and Purba Bardhaman gave the lowest value of 2.127. Birbhum/Howrah and Nadia shared the same letter group. The difference between these two locations was too small to be real. The gap between the best and the poorest location was 0.104.</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2.506, followed by Gobindabhog with 2.083 and Radhunipagal with 1.998. Each landrace occupied its own letter group. Kalojira exceeded Radhunipagal by 0.508.</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the aroma score. The effect was highly significant. Taken in order of sampling date, the values were 2.605 in fresh paddy, 2.326 at 4 months, 2.071 at 8 months and 1.780 at 12 months. Over the full year the value fell by 31.7%. The highest value came from fresh paddy and the lowest from 12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Kalojira at Birbhum/Howrah with 2.561. The poorest was Radhunipagal at Purba Bardhaman with 1.962. The order of the three landraces stayed the same at every location. It ran Kalojira, then Gobindabhog, then Radhunipagal. The interaction therefore changed the size of the varietal differences but not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highly significant. The highest mean was 2.646 for Nadia at fresh paddy. The lowest was 1.702 for Purba Bardhaman at 12 months. Between fresh paddy and 12 months of storage the change was -31.1% at Nadia, -32.9% at Purba Bardhaman, -31.0%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2.908 for Kalojira at fresh paddy. The lowest was 1.615 for Radhunipagal at 12 months. Over the twelve months the change was -31.8% in Gobindabhog, -32.8% in Radhunipagal, -30.7% in Kalojira. Radhunipagal moved the furthest and Kalojira the least. The three landraces did not lose or gain at the same rate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2.953 was recorded by Kalojira grown at Nadia and sampled at fresh paddy. The lowest value of 1.538 came from Radhunipagal grown at Purba Bardhaman and sampled at 12 months. The spread between these two cells was 1.415.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7. Effect of location, variety and storage period on Aroma Score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2.553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2.214</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1.947</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1.757</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2.118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2.432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2.150</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1.838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1.654</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2.018</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2.953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2.747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2.440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2.056</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2.549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2.428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2.142</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1.836</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1.639</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2.343</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2.029</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1.939</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1.538</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1.962</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2.842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2.524</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2.339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1.929</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2.408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2.531</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2.267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1.950</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1.730</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2.120</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2.433</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2.118</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1.849</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1.655</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2.931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2.747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2.503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2.064</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2.561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2.646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2.370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2.075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1.822</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2.228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2.232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1.702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2.127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2.632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2.377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2.101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1.816</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2.232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2.504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2.207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1.911</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1.709</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2.083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2.403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2.099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1.876</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1.615</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1.998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2.908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2.673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2.427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2.016</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2.506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2.605</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2.326</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2.071</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1.780</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2.196</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2.196.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0.0050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0.0138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0.0208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0.0149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0.0415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1.658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steady loss of aroma through storage is the most consequential finding of this experiment, and its cause is well established. The fragrance of aromatic rice comes chiefly from 2-acetyl-1-pyrroline, a highly volatile compound detectable at very low concentration (Buttery et al., 1983; Bhattacharjee et al., 2002). Yoshihashi et al. (2002) showed that the plant makes this compound while the grain is still filling and does not make more after harvest, so any loss in store is permanent. Simple volatilisation, helped by slow oxidation, is therefore the most probable reason for the decline. Widjaja et al. (1996) tracked the same fall in the volatile fraction of paddy, brown and white fragrant rice, and Wongpornchai et al. (2004) recorded it in a fragrant cultivar with increasing storage time. Yoshihashi et al. (2005) showed the rate to be governed mainly by storage temperature, which explains why loss under ambient conditions in eastern India is severe. The strong varietal ranking reflects genetic control of the biosynthetic pathway, while the smaller effect of growing place is most probably due to differences in the supply of precursor amino acids during grain filling, as Itani et al. (2004) proposed and Imran et al. (2023) later confirmed. Kim et al. (2023) add the caution that sensory quality can decline well before any outward sign of deterioration appears.</w:t>
      </w:r>
    </w:p>
    <w:p>
      <w:r>
        <w:br w:type="page"/>
      </w:r>
    </w:p>
    <w:p>
      <w:pPr>
        <w:pStyle w:val="Heading1"/>
        <w:spacing w:after="130" w:before="260"/>
      </w:pPr>
      <w:r>
        <w:rPr>
          <w:rFonts w:ascii="Times New Roman" w:cs="Times New Roman" w:eastAsia="Times New Roman" w:hAnsi="Times New Roman"/>
          <w:b/>
          <w:bCs/>
          <w:color w:val="000000"/>
          <w:sz w:val="24"/>
          <w:szCs w:val="24"/>
        </w:rPr>
        <w:t xml:space="preserve">4.3 Nutritional quality</w:t>
      </w:r>
    </w:p>
    <w:p>
      <w:pPr>
        <w:spacing w:after="140" w:line="300"/>
        <w:jc w:val="both"/>
      </w:pPr>
      <w:r>
        <w:rPr>
          <w:rFonts w:ascii="Times New Roman" w:cs="Times New Roman" w:eastAsia="Times New Roman" w:hAnsi="Times New Roman"/>
          <w:b w:val="false"/>
          <w:bCs w:val="false"/>
          <w:i w:val="false"/>
          <w:iCs w:val="false"/>
          <w:sz w:val="22"/>
          <w:szCs w:val="22"/>
        </w:rPr>
        <w:t xml:space="preserve">The main effect means for all parameters in this section are brought together in Table 8. The individual parameters, with their interaction means, standard errors and critical differences, follow.</w:t>
      </w:r>
    </w:p>
    <w:p>
      <w:pPr>
        <w:spacing w:after="90" w:before="200"/>
        <w:jc w:val="left"/>
      </w:pPr>
      <w:r>
        <w:rPr>
          <w:rFonts w:ascii="Times New Roman" w:cs="Times New Roman" w:eastAsia="Times New Roman" w:hAnsi="Times New Roman"/>
          <w:b/>
          <w:bCs/>
          <w:sz w:val="19"/>
          <w:szCs w:val="19"/>
        </w:rPr>
        <w:t xml:space="preserve">Table 8. Main effect means of location, variety and storage period for the nutritional quality of three aromatic rice landraces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690"/>
        <w:gridCol w:w="690"/>
        <w:gridCol w:w="690"/>
        <w:gridCol w:w="690"/>
        <w:gridCol w:w="690"/>
        <w:gridCol w:w="690"/>
        <w:gridCol w:w="690"/>
        <w:gridCol w:w="690"/>
        <w:gridCol w:w="690"/>
        <w:gridCol w:w="690"/>
      </w:tblGrid>
      <w:tr>
        <w:trPr>
          <w:tblHeader/>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Parameter</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Starch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72.69</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72.35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72.19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68.10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77.72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73.36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71.81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71.66</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Amylose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18.58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17.77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19.46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20.05</w:t>
            </w:r>
            <w:r>
              <w:rPr>
                <w:rFonts w:ascii="Times New Roman" w:cs="Times New Roman" w:eastAsia="Times New Roman" w:hAnsi="Times New Roman"/>
                <w:b w:val="false"/>
                <w:bCs w:val="false"/>
                <w:i w:val="false"/>
                <w:iCs w:val="false"/>
                <w:sz w:val="20"/>
                <w:szCs w:val="20"/>
                <w:vertAlign w:val="superscript"/>
              </w:rPr>
              <w:t xml:space="preserve">a</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Soluble Protein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1.232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1.368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0.890</w:t>
            </w:r>
            <w:r>
              <w:rPr>
                <w:rFonts w:ascii="Times New Roman" w:cs="Times New Roman" w:eastAsia="Times New Roman" w:hAnsi="Times New Roman"/>
                <w:b w:val="false"/>
                <w:bCs w:val="false"/>
                <w:i w:val="false"/>
                <w:iCs w:val="false"/>
                <w:sz w:val="20"/>
                <w:szCs w:val="20"/>
                <w:vertAlign w:val="superscript"/>
              </w:rPr>
              <w:t xml:space="preserve">d</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Fat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1.028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1.239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1.095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0.950</w:t>
            </w:r>
            <w:r>
              <w:rPr>
                <w:rFonts w:ascii="Times New Roman" w:cs="Times New Roman" w:eastAsia="Times New Roman" w:hAnsi="Times New Roman"/>
                <w:b w:val="false"/>
                <w:bCs w:val="false"/>
                <w:i w:val="false"/>
                <w:iCs w:val="false"/>
                <w:sz w:val="20"/>
                <w:szCs w:val="20"/>
                <w:vertAlign w:val="superscript"/>
              </w:rPr>
              <w:t xml:space="preserve">d</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Ash (%)</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0.593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0.767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0.800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0.780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0.772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0.779</w:t>
            </w:r>
            <w:r>
              <w:rPr>
                <w:rFonts w:ascii="Times New Roman" w:cs="Times New Roman" w:eastAsia="Times New Roman" w:hAnsi="Times New Roman"/>
                <w:b w:val="false"/>
                <w:bCs w:val="false"/>
                <w:i w:val="false"/>
                <w:iCs w:val="false"/>
                <w:sz w:val="20"/>
                <w:szCs w:val="20"/>
                <w:vertAlign w:val="superscript"/>
              </w:rPr>
              <w:t xml:space="preserve">c</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Phenol (mg GAE/g)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0.7145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0.4614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0.8232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0.5719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0.6459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0.7812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0.8868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0.7590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0.5976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0.4220</w:t>
            </w:r>
            <w:r>
              <w:rPr>
                <w:rFonts w:ascii="Times New Roman" w:cs="Times New Roman" w:eastAsia="Times New Roman" w:hAnsi="Times New Roman"/>
                <w:b w:val="false"/>
                <w:bCs w:val="false"/>
                <w:i w:val="false"/>
                <w:iCs w:val="false"/>
                <w:sz w:val="20"/>
                <w:szCs w:val="20"/>
                <w:vertAlign w:val="superscript"/>
              </w:rPr>
              <w:t xml:space="preserve">d</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Flavonoids (mg QE/100 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19.09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15.86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19.57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12.28</w:t>
            </w:r>
            <w:r>
              <w:rPr>
                <w:rFonts w:ascii="Times New Roman" w:cs="Times New Roman" w:eastAsia="Times New Roman" w:hAnsi="Times New Roman"/>
                <w:b w:val="false"/>
                <w:bCs w:val="false"/>
                <w:i w:val="false"/>
                <w:iCs w:val="false"/>
                <w:sz w:val="20"/>
                <w:szCs w:val="20"/>
                <w:vertAlign w:val="superscript"/>
              </w:rPr>
              <w:t xml:space="preserve">d</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Antioxidant Capacity (mg TE/100 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34.83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28.73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41.35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29.91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34.74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40.26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53.44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38.95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27.57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19.92</w:t>
            </w:r>
            <w:r>
              <w:rPr>
                <w:rFonts w:ascii="Times New Roman" w:cs="Times New Roman" w:eastAsia="Times New Roman" w:hAnsi="Times New Roman"/>
                <w:b w:val="false"/>
                <w:bCs w:val="false"/>
                <w:i w:val="false"/>
                <w:iCs w:val="false"/>
                <w:sz w:val="20"/>
                <w:szCs w:val="20"/>
                <w:vertAlign w:val="superscript"/>
              </w:rPr>
              <w:t xml:space="preserve">d</w:t>
            </w:r>
          </w:p>
        </w:tc>
      </w:tr>
    </w:tbl>
    <w:p>
      <w:pPr>
        <w:spacing w:after="190" w:before="70"/>
        <w:jc w:val="left"/>
      </w:pPr>
      <w:r>
        <w:rPr>
          <w:rFonts w:ascii="Times New Roman" w:cs="Times New Roman" w:eastAsia="Times New Roman" w:hAnsi="Times New Roman"/>
          <w:i/>
          <w:iCs/>
          <w:sz w:val="17"/>
          <w:szCs w:val="17"/>
        </w:rPr>
        <w:t xml:space="preserve">Means followed by a common letter within a factor and row are not significantly different at P = 0.05 (LSD). L1, L2 and L3 denote Nadia, Purba Bardhaman and Birbhum/Howrah; V1, V2 and V3 denote Gobindabhog, Radhunipagal and Kalojira; S1 to S4 denote storage for zero, four, eight and twelve months. Standard errors and critical differences for each parameter are given with its individual table.</w:t>
      </w:r>
    </w:p>
    <w:p>
      <w:pPr>
        <w:pStyle w:val="Heading2"/>
        <w:spacing w:after="130" w:before="260"/>
      </w:pPr>
      <w:r>
        <w:rPr>
          <w:rFonts w:ascii="Times New Roman" w:cs="Times New Roman" w:eastAsia="Times New Roman" w:hAnsi="Times New Roman"/>
          <w:b/>
          <w:bCs/>
          <w:color w:val="000000"/>
          <w:sz w:val="23"/>
          <w:szCs w:val="23"/>
        </w:rPr>
        <w:t xml:space="preserve">4.3.1 Total Starch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total starch, and the effect of location was significant. The highest value of 72.97% was recorded at Birbhum/Howrah. Nadia came next with 72.69% and Purba Bardhaman gave the lowest value of 72.35%. Birbhum/Howrah and Nadia shared the same letter group. The difference between these two locations was too small to be real. The gap between the best and the poorest location was 0.62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77.72%, followed by Gobindabhog with 72.19% and Radhunipagal with 68.10%. Each landrace occupied its own letter group. Kalojira exceeded Radhunipagal by 9.61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total starch. The effect was highly significant. Taken in order of sampling date, the values were 73.36% in fresh paddy, 73.84% at 4 months, 71.81% at 8 months and 71.66% at 12 months. Over the full year the value fell by 2.3%. The highest value came from 4 months and the lowest from 12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Kalojira at Birbhum/Howrah with 78.07%. The poorest was Radhunipagal at Nadia with 67.37%. The order of the three landraces stayed the same at every location. It ran Kalojira, then Gobindabhog, then Radhunipagal. The interaction therefore changed the size of the varietal differences but not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significant. The highest mean was 74.96% for Birbhum/Howrah at 4 months. The lowest was 71.25% for Purba Bardhaman at 12 months. Between fresh paddy and 12 months of storage the change was -1.9% at Nadia, -3.1% at Purba Bardhaman, -2.0%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not significant. The highest mean was 79.07% for Kalojira at 4 months. The lowest was 66.95% for Radhunipagal at 12 months. Over the twelve months the change was -2.9% in Gobindabhog, -2.5% in Radhunipagal, -1.6%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81.12% was recorded by Kalojira grown at Nadia and sampled at 4 months. The lowest value of 65.71% came from Radhunipagal grown at Nadia and sampled at 8 months. The spread between these two cells was 15.41 percentage points.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9. Effect of location, variety and storage period on Total Starch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72.92</w:t>
            </w:r>
            <w:r>
              <w:rPr>
                <w:rFonts w:ascii="Times New Roman" w:cs="Times New Roman" w:eastAsia="Times New Roman" w:hAnsi="Times New Roman"/>
                <w:b w:val="false"/>
                <w:bCs w:val="false"/>
                <w:i w:val="false"/>
                <w:iCs w:val="false"/>
                <w:sz w:val="20"/>
                <w:szCs w:val="20"/>
                <w:vertAlign w:val="superscript"/>
              </w:rPr>
              <w:t xml:space="preserve">fghi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72.20</w:t>
            </w:r>
            <w:r>
              <w:rPr>
                <w:rFonts w:ascii="Times New Roman" w:cs="Times New Roman" w:eastAsia="Times New Roman" w:hAnsi="Times New Roman"/>
                <w:b w:val="false"/>
                <w:bCs w:val="false"/>
                <w:i w:val="false"/>
                <w:iCs w:val="false"/>
                <w:sz w:val="20"/>
                <w:szCs w:val="20"/>
                <w:vertAlign w:val="superscript"/>
              </w:rPr>
              <w:t xml:space="preserve">ghij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73.42</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73.08</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72.91</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69.68</w:t>
            </w:r>
            <w:r>
              <w:rPr>
                <w:rFonts w:ascii="Times New Roman" w:cs="Times New Roman" w:eastAsia="Times New Roman" w:hAnsi="Times New Roman"/>
                <w:b w:val="false"/>
                <w:bCs w:val="false"/>
                <w:i w:val="false"/>
                <w:iCs w:val="false"/>
                <w:sz w:val="20"/>
                <w:szCs w:val="20"/>
                <w:vertAlign w:val="superscript"/>
              </w:rPr>
              <w:t xml:space="preserve">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67.97</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65.71</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66.10</w:t>
            </w:r>
            <w:r>
              <w:rPr>
                <w:rFonts w:ascii="Times New Roman" w:cs="Times New Roman" w:eastAsia="Times New Roman" w:hAnsi="Times New Roman"/>
                <w:b w:val="false"/>
                <w:bCs w:val="false"/>
                <w:i w:val="false"/>
                <w:iCs w:val="false"/>
                <w:sz w:val="20"/>
                <w:szCs w:val="20"/>
                <w:vertAlign w:val="superscript"/>
              </w:rPr>
              <w:t xml:space="preserve">rs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67.37</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76.90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81.12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76.95</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76.20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77.79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73.08</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71.44</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70.20</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69.02</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70.93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68.76</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70.15</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68.55</w:t>
            </w:r>
            <w:r>
              <w:rPr>
                <w:rFonts w:ascii="Times New Roman" w:cs="Times New Roman" w:eastAsia="Times New Roman" w:hAnsi="Times New Roman"/>
                <w:b w:val="false"/>
                <w:bCs w:val="false"/>
                <w:i w:val="false"/>
                <w:iCs w:val="false"/>
                <w:sz w:val="20"/>
                <w:szCs w:val="20"/>
                <w:vertAlign w:val="superscript"/>
              </w:rPr>
              <w:t xml:space="preserve">nop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67.80</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68.82</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78.76</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76.83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76.66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76.92</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77.29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74.46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70.68</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71.66</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72.72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67.57</w:t>
            </w:r>
            <w:r>
              <w:rPr>
                <w:rFonts w:ascii="Times New Roman" w:cs="Times New Roman" w:eastAsia="Times New Roman" w:hAnsi="Times New Roman"/>
                <w:b w:val="false"/>
                <w:bCs w:val="false"/>
                <w:i w:val="false"/>
                <w:iCs w:val="false"/>
                <w:sz w:val="20"/>
                <w:szCs w:val="20"/>
                <w:vertAlign w:val="superscript"/>
              </w:rPr>
              <w:t xml:space="preserve">opqr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71.16</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66.85</w:t>
            </w:r>
            <w:r>
              <w:rPr>
                <w:rFonts w:ascii="Times New Roman" w:cs="Times New Roman" w:eastAsia="Times New Roman" w:hAnsi="Times New Roman"/>
                <w:b w:val="false"/>
                <w:bCs w:val="false"/>
                <w:i w:val="false"/>
                <w:iCs w:val="false"/>
                <w:sz w:val="20"/>
                <w:szCs w:val="20"/>
                <w:vertAlign w:val="superscript"/>
              </w:rPr>
              <w:t xml:space="preserve">qrs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66.94</w:t>
            </w:r>
            <w:r>
              <w:rPr>
                <w:rFonts w:ascii="Times New Roman" w:cs="Times New Roman" w:eastAsia="Times New Roman" w:hAnsi="Times New Roman"/>
                <w:b w:val="false"/>
                <w:bCs w:val="false"/>
                <w:i w:val="false"/>
                <w:iCs w:val="false"/>
                <w:sz w:val="20"/>
                <w:szCs w:val="20"/>
                <w:vertAlign w:val="superscript"/>
              </w:rPr>
              <w:t xml:space="preserve">pqrs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68.13</w:t>
            </w:r>
            <w:r>
              <w:rPr>
                <w:rFonts w:ascii="Times New Roman" w:cs="Times New Roman" w:eastAsia="Times New Roman" w:hAnsi="Times New Roman"/>
                <w:b w:val="false"/>
                <w:bCs w:val="false"/>
                <w:i w:val="false"/>
                <w:iCs w:val="false"/>
                <w:sz w:val="20"/>
                <w:szCs w:val="20"/>
                <w:vertAlign w:val="superscript"/>
              </w:rPr>
              <w:t xml:space="preserve">de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78.52</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79.25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77.29</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77.20</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78.07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73.17</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73.77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72.03</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71.80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72.69</w:t>
            </w:r>
            <w:r>
              <w:rPr>
                <w:rFonts w:ascii="Times New Roman" w:cs="Times New Roman" w:eastAsia="Times New Roman" w:hAnsi="Times New Roman"/>
                <w:b w:val="false"/>
                <w:bCs w:val="false"/>
                <w:i w:val="false"/>
                <w:iCs w:val="false"/>
                <w:sz w:val="20"/>
                <w:szCs w:val="20"/>
                <w:vertAlign w:val="superscript"/>
              </w:rPr>
              <w:t xml:space="preserve">ab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73.53</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72.81</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71.80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71.25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72.35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73.39</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71.61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71.93</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72.97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73.36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72.70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71.43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71.25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72.19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68.67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69.76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67.04</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66.95</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68.10</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78.06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79.07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76.97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76.77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77.72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73.36</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73.84</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71.81</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71.66</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72.67</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72.67.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1.955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NS;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Starch is the bulk of the endosperm, so its share cannot vary widely, and the modest decline during storage is best explained by slow hydrolysis. Amylolytic enzymes remain partly active in paddy held at ambient temperature and gradually break down starch molecules, a process Zhou et al. (2015) placed at the centre of their account of rice ageing. The quantity of sugar released is small but enough to register as a fall in total starch. That the rate of loss differed between places and between landraces is consistent with Zia-Ur-Rehman (2004), who found the extent of starch degradation in stored cereals to depend jointly on the grain and on the conditions of the store, with almost no loss at low temperature. The varietal differences themselves most probably arise from the reciprocal relationship between the two major endosperm reserves. Starch and protein compete for the same space in the developing endosperm, so a landrace that accumulates more of one tends to hold less of the other, and the present material follows that pattern.</w:t>
      </w:r>
    </w:p>
    <w:p>
      <w:pPr>
        <w:pStyle w:val="Heading2"/>
        <w:spacing w:after="130" w:before="260"/>
      </w:pPr>
      <w:r>
        <w:rPr>
          <w:rFonts w:ascii="Times New Roman" w:cs="Times New Roman" w:eastAsia="Times New Roman" w:hAnsi="Times New Roman"/>
          <w:b/>
          <w:bCs/>
          <w:color w:val="000000"/>
          <w:sz w:val="23"/>
          <w:szCs w:val="23"/>
        </w:rPr>
        <w:t xml:space="preserve">4.3.2 Amylose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amylose, and the effect of location was highly significant. The highest value of 19.32% was recorded at Purba Bardhaman. Nadia came next with 18.77% and Birbhum/Howrah gave the lowest value of 18.73%. Nadia and Birbhum/Howrah shared the same letter group. The difference between these two locations was too small to be real. The gap between the best and the poorest location was 0.58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19.38%, followed by Radhunipagal with 18.87% and Gobindabhog with 18.58%. Each landrace occupied its own letter group. Kalojira exceeded Gobindabhog by 0.80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amylose. The effect was highly significant. Taken in order of sampling date, the values were 17.77% in fresh paddy, 18.48% at 4 months, 19.46% at 8 months and 20.05% at 12 months. Over the full year the value increased by 12.8%. The highest value came from 12 months and the lowest from fresh paddy.</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not significant. The best combination was Kalojira at Purba Bardhaman with 19.74%. The poorest was Gobindabhog at Nadia with 18.36%. The order of the three landraces stayed the same at every location. It ran Kalojira, then Radhunipagal, then Gobindabhog. The interaction therefore changed the size of the varietal differences but not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not significant. The highest mean was 20.38% for Purba Bardhaman at 12 months. The lowest was 17.42% for Birbhum/Howrah at fresh paddy. Between fresh paddy and 12 months of storage the change was +12.3% at Nadia, +11.6% at Purba Bardhaman, +14.6%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not significant. The highest mean was 20.39% for Kalojira at 12 months. The lowest was 17.38% for Gobindabhog at fresh paddy. Over the twelve months the change was +13.5% in Gobindabhog, +13.5% in Radhunipagal, +11.5%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not significant. Out of the thirty six treatment combinations the highest value of 20.68% was recorded by Kalojira grown at Purba Bardhaman and sampled at 12 months. The lowest value of 17.10% came from Gobindabhog grown at Birbhum/Howrah and sampled at fresh paddy. This interaction was not significant. These two extreme cells should not be read as real differences on their own. The main effects give the safer picture.</w:t>
      </w:r>
    </w:p>
    <w:p>
      <w:pPr>
        <w:spacing w:after="90" w:before="200"/>
        <w:jc w:val="left"/>
      </w:pPr>
      <w:r>
        <w:rPr>
          <w:rFonts w:ascii="Times New Roman" w:cs="Times New Roman" w:eastAsia="Times New Roman" w:hAnsi="Times New Roman"/>
          <w:b/>
          <w:bCs/>
          <w:sz w:val="19"/>
          <w:szCs w:val="19"/>
        </w:rPr>
        <w:t xml:space="preserve">Table 10. Effect of location, variety and storage period on Amylose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17.32</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18.11</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18.76</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19.24</w:t>
            </w:r>
            <w:r>
              <w:rPr>
                <w:rFonts w:ascii="Times New Roman" w:cs="Times New Roman" w:eastAsia="Times New Roman" w:hAnsi="Times New Roman"/>
                <w:b w:val="false"/>
                <w:bCs w:val="false"/>
                <w:i w:val="false"/>
                <w:iCs w:val="false"/>
                <w:sz w:val="20"/>
                <w:szCs w:val="20"/>
                <w:vertAlign w:val="superscript"/>
              </w:rPr>
              <w:t xml:space="preserve">defghi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18.36</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17.56</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18.46</w:t>
            </w:r>
            <w:r>
              <w:rPr>
                <w:rFonts w:ascii="Times New Roman" w:cs="Times New Roman" w:eastAsia="Times New Roman" w:hAnsi="Times New Roman"/>
                <w:b w:val="false"/>
                <w:bCs w:val="false"/>
                <w:i w:val="false"/>
                <w:iCs w:val="false"/>
                <w:sz w:val="20"/>
                <w:szCs w:val="20"/>
                <w:vertAlign w:val="superscript"/>
              </w:rPr>
              <w:t xml:space="preserve">ijkl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18.95</w:t>
            </w:r>
            <w:r>
              <w:rPr>
                <w:rFonts w:ascii="Times New Roman" w:cs="Times New Roman" w:eastAsia="Times New Roman" w:hAnsi="Times New Roman"/>
                <w:b w:val="false"/>
                <w:bCs w:val="false"/>
                <w:i w:val="false"/>
                <w:iCs w:val="false"/>
                <w:sz w:val="20"/>
                <w:szCs w:val="20"/>
                <w:vertAlign w:val="superscript"/>
              </w:rPr>
              <w:t xml:space="preserve">fghij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19.87</w:t>
            </w:r>
            <w:r>
              <w:rPr>
                <w:rFonts w:ascii="Times New Roman" w:cs="Times New Roman" w:eastAsia="Times New Roman" w:hAnsi="Times New Roman"/>
                <w:b w:val="false"/>
                <w:bCs w:val="false"/>
                <w:i w:val="false"/>
                <w:iCs w:val="false"/>
                <w:sz w:val="20"/>
                <w:szCs w:val="20"/>
                <w:vertAlign w:val="superscript"/>
              </w:rPr>
              <w:t xml:space="preserve">abcd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18.71</w:t>
            </w:r>
            <w:r>
              <w:rPr>
                <w:rFonts w:ascii="Times New Roman" w:cs="Times New Roman" w:eastAsia="Times New Roman" w:hAnsi="Times New Roman"/>
                <w:b w:val="false"/>
                <w:bCs w:val="false"/>
                <w:i w:val="false"/>
                <w:iCs w:val="false"/>
                <w:sz w:val="20"/>
                <w:szCs w:val="20"/>
                <w:vertAlign w:val="superscript"/>
              </w:rPr>
              <w:t xml:space="preserve">cd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18.03</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19.00</w:t>
            </w:r>
            <w:r>
              <w:rPr>
                <w:rFonts w:ascii="Times New Roman" w:cs="Times New Roman" w:eastAsia="Times New Roman" w:hAnsi="Times New Roman"/>
                <w:b w:val="false"/>
                <w:bCs w:val="false"/>
                <w:i w:val="false"/>
                <w:iCs w:val="false"/>
                <w:sz w:val="20"/>
                <w:szCs w:val="20"/>
                <w:vertAlign w:val="superscript"/>
              </w:rPr>
              <w:t xml:space="preserve">efghij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19.66</w:t>
            </w:r>
            <w:r>
              <w:rPr>
                <w:rFonts w:ascii="Times New Roman" w:cs="Times New Roman" w:eastAsia="Times New Roman" w:hAnsi="Times New Roman"/>
                <w:b w:val="false"/>
                <w:bCs w:val="false"/>
                <w:i w:val="false"/>
                <w:iCs w:val="false"/>
                <w:sz w:val="20"/>
                <w:szCs w:val="20"/>
                <w:vertAlign w:val="superscript"/>
              </w:rPr>
              <w:t xml:space="preserve">bcdef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17.71</w:t>
            </w:r>
            <w:r>
              <w:rPr>
                <w:rFonts w:ascii="Times New Roman" w:cs="Times New Roman" w:eastAsia="Times New Roman" w:hAnsi="Times New Roman"/>
                <w:b w:val="false"/>
                <w:bCs w:val="false"/>
                <w:i w:val="false"/>
                <w:iCs w:val="false"/>
                <w:sz w:val="20"/>
                <w:szCs w:val="20"/>
                <w:vertAlign w:val="superscript"/>
              </w:rPr>
              <w:t xml:space="preserve">lmno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18.27</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19.63</w:t>
            </w:r>
            <w:r>
              <w:rPr>
                <w:rFonts w:ascii="Times New Roman" w:cs="Times New Roman" w:eastAsia="Times New Roman" w:hAnsi="Times New Roman"/>
                <w:b w:val="false"/>
                <w:bCs w:val="false"/>
                <w:i w:val="false"/>
                <w:iCs w:val="false"/>
                <w:sz w:val="20"/>
                <w:szCs w:val="20"/>
                <w:vertAlign w:val="superscript"/>
              </w:rPr>
              <w:t xml:space="preserve">bcdefg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20.12</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18.93</w:t>
            </w:r>
            <w:r>
              <w:rPr>
                <w:rFonts w:ascii="Times New Roman" w:cs="Times New Roman" w:eastAsia="Times New Roman" w:hAnsi="Times New Roman"/>
                <w:b w:val="false"/>
                <w:bCs w:val="false"/>
                <w:i w:val="false"/>
                <w:iCs w:val="false"/>
                <w:sz w:val="20"/>
                <w:szCs w:val="20"/>
                <w:vertAlign w:val="superscript"/>
              </w:rPr>
              <w:t xml:space="preserve">bc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18.25</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18.81</w:t>
            </w:r>
            <w:r>
              <w:rPr>
                <w:rFonts w:ascii="Times New Roman" w:cs="Times New Roman" w:eastAsia="Times New Roman" w:hAnsi="Times New Roman"/>
                <w:b w:val="false"/>
                <w:bCs w:val="false"/>
                <w:i w:val="false"/>
                <w:iCs w:val="false"/>
                <w:sz w:val="20"/>
                <w:szCs w:val="20"/>
                <w:vertAlign w:val="superscript"/>
              </w:rPr>
              <w:t xml:space="preserve">ghijk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19.70</w:t>
            </w:r>
            <w:r>
              <w:rPr>
                <w:rFonts w:ascii="Times New Roman" w:cs="Times New Roman" w:eastAsia="Times New Roman" w:hAnsi="Times New Roman"/>
                <w:b w:val="false"/>
                <w:bCs w:val="false"/>
                <w:i w:val="false"/>
                <w:iCs w:val="false"/>
                <w:sz w:val="20"/>
                <w:szCs w:val="20"/>
                <w:vertAlign w:val="superscript"/>
              </w:rPr>
              <w:t xml:space="preserve">bcdef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20.34</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18.80</w:t>
            </w:r>
            <w:r>
              <w:rPr>
                <w:rFonts w:ascii="Times New Roman" w:cs="Times New Roman" w:eastAsia="Times New Roman" w:hAnsi="Times New Roman"/>
                <w:b w:val="false"/>
                <w:bCs w:val="false"/>
                <w:i w:val="false"/>
                <w:iCs w:val="false"/>
                <w:sz w:val="20"/>
                <w:szCs w:val="20"/>
                <w:vertAlign w:val="superscript"/>
              </w:rPr>
              <w:t xml:space="preserve">ghijk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19.36</w:t>
            </w:r>
            <w:r>
              <w:rPr>
                <w:rFonts w:ascii="Times New Roman" w:cs="Times New Roman" w:eastAsia="Times New Roman" w:hAnsi="Times New Roman"/>
                <w:b w:val="false"/>
                <w:bCs w:val="false"/>
                <w:i w:val="false"/>
                <w:iCs w:val="false"/>
                <w:sz w:val="20"/>
                <w:szCs w:val="20"/>
                <w:vertAlign w:val="superscript"/>
              </w:rPr>
              <w:t xml:space="preserve">cdefgh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20.13</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20.68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19.74</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17.10</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17.66</w:t>
            </w:r>
            <w:r>
              <w:rPr>
                <w:rFonts w:ascii="Times New Roman" w:cs="Times New Roman" w:eastAsia="Times New Roman" w:hAnsi="Times New Roman"/>
                <w:b w:val="false"/>
                <w:bCs w:val="false"/>
                <w:i w:val="false"/>
                <w:iCs w:val="false"/>
                <w:sz w:val="20"/>
                <w:szCs w:val="20"/>
                <w:vertAlign w:val="superscript"/>
              </w:rPr>
              <w:t xml:space="preserve">lmno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19.25</w:t>
            </w:r>
            <w:r>
              <w:rPr>
                <w:rFonts w:ascii="Times New Roman" w:cs="Times New Roman" w:eastAsia="Times New Roman" w:hAnsi="Times New Roman"/>
                <w:b w:val="false"/>
                <w:bCs w:val="false"/>
                <w:i w:val="false"/>
                <w:iCs w:val="false"/>
                <w:sz w:val="20"/>
                <w:szCs w:val="20"/>
                <w:vertAlign w:val="superscript"/>
              </w:rPr>
              <w:t xml:space="preserve">defghi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19.80</w:t>
            </w:r>
            <w:r>
              <w:rPr>
                <w:rFonts w:ascii="Times New Roman" w:cs="Times New Roman" w:eastAsia="Times New Roman" w:hAnsi="Times New Roman"/>
                <w:b w:val="false"/>
                <w:bCs w:val="false"/>
                <w:i w:val="false"/>
                <w:iCs w:val="false"/>
                <w:sz w:val="20"/>
                <w:szCs w:val="20"/>
                <w:vertAlign w:val="superscript"/>
              </w:rPr>
              <w:t xml:space="preserve">bcde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18.45</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17.15</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18.05</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19.36</w:t>
            </w:r>
            <w:r>
              <w:rPr>
                <w:rFonts w:ascii="Times New Roman" w:cs="Times New Roman" w:eastAsia="Times New Roman" w:hAnsi="Times New Roman"/>
                <w:b w:val="false"/>
                <w:bCs w:val="false"/>
                <w:i w:val="false"/>
                <w:iCs w:val="false"/>
                <w:sz w:val="20"/>
                <w:szCs w:val="20"/>
                <w:vertAlign w:val="superscript"/>
              </w:rPr>
              <w:t xml:space="preserve">cdefgh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19.89</w:t>
            </w:r>
            <w:r>
              <w:rPr>
                <w:rFonts w:ascii="Times New Roman" w:cs="Times New Roman" w:eastAsia="Times New Roman" w:hAnsi="Times New Roman"/>
                <w:b w:val="false"/>
                <w:bCs w:val="false"/>
                <w:i w:val="false"/>
                <w:iCs w:val="false"/>
                <w:sz w:val="20"/>
                <w:szCs w:val="20"/>
                <w:vertAlign w:val="superscript"/>
              </w:rPr>
              <w:t xml:space="preserve">abcd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18.61</w:t>
            </w:r>
            <w:r>
              <w:rPr>
                <w:rFonts w:ascii="Times New Roman" w:cs="Times New Roman" w:eastAsia="Times New Roman" w:hAnsi="Times New Roman"/>
                <w:b w:val="false"/>
                <w:bCs w:val="false"/>
                <w:i w:val="false"/>
                <w:iCs w:val="false"/>
                <w:sz w:val="20"/>
                <w:szCs w:val="20"/>
                <w:vertAlign w:val="superscript"/>
              </w:rPr>
              <w:t xml:space="preserve">cd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18.02</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18.64</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19.71</w:t>
            </w:r>
            <w:r>
              <w:rPr>
                <w:rFonts w:ascii="Times New Roman" w:cs="Times New Roman" w:eastAsia="Times New Roman" w:hAnsi="Times New Roman"/>
                <w:b w:val="false"/>
                <w:bCs w:val="false"/>
                <w:i w:val="false"/>
                <w:iCs w:val="false"/>
                <w:sz w:val="20"/>
                <w:szCs w:val="20"/>
                <w:vertAlign w:val="superscript"/>
              </w:rPr>
              <w:t xml:space="preserve">bcdef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20.19</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19.14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17.64</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18.52</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19.13</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19.81</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18.81</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19.82</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17.42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18.12</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19.44</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19.96</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17.38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18.01</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19.72</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18.58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17.65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19.34</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20.03</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18.28</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19.00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19.83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19.38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17.77</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18.48</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19.46</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20.05</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18.94</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18.94.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3.87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NS;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Amylose governs how cooked rice behaves, since grain low in amylose cooks moist and sticky while grain with more of it cooks drier and firmer (Mutters and Thompson, 2009). The landraces studied here fall in the low amylose class defined by Juliano (1992) when fresh, and the rise during storage is enough to shift the highest of them into the next class, which means the same rice cooks differently depending on how long it has been held. The grain does not synthesise amylose after harvest, so the increase is only apparent. The most probable reason is that long branch chains of amylopectin are degraded and the ordered regions of the starch granule come apart during ageing, releasing linear chain segments that bind iodine and are therefore counted as amylose in the standard assay; changes in the association of starch with lipid and protein add to the same effect (Zhou et al., 2015). That no interaction reached significance suggests a general physicochemical process rather than one modulated by genotype or environment. The small effect of growing place is most probably a temperature effect during grain filling, since the enzyme that forms amylose is less active in warm conditions, and Li et al. (2018) also found amylose to be set more by genotype than by environment.</w:t>
      </w:r>
    </w:p>
    <w:p>
      <w:pPr>
        <w:pStyle w:val="Heading2"/>
        <w:spacing w:after="130" w:before="260"/>
      </w:pPr>
      <w:r>
        <w:rPr>
          <w:rFonts w:ascii="Times New Roman" w:cs="Times New Roman" w:eastAsia="Times New Roman" w:hAnsi="Times New Roman"/>
          <w:b/>
          <w:bCs/>
          <w:color w:val="000000"/>
          <w:sz w:val="23"/>
          <w:szCs w:val="23"/>
        </w:rPr>
        <w:t xml:space="preserve">4.3.3 Total Soluble Protein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soluble protein, and the effect of location was highly significant. The highest value of 1.319% was recorded at Nadia. Birbhum/Howrah came next with 1.232% and Purba Bardhaman gave the lowest value of 1.154%. All three locations fell into separate letter groups. Each location differed from the other two. The gap between the best and the poorest location was 0.165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Gobindabhog recorded the highest value of 1.267%, followed by Radhunipagal with 1.219% and Kalojira with 1.218%. Radhunipagal and Kalojira carried a common letter. These two were on par with each other. Gobindabhog exceeded Kalojira by 0.049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soluble protein. The effect was highly significant. Taken in order of sampling date, the values were 1.518% in fresh paddy, 1.368% at 4 months, 1.163% at 8 months and 0.890% at 12 months. Over the full year the value fell by 41.4%. The highest value came from fresh paddy and the lowest from 12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Gobindabhog at Nadia with 1.396%. The poorest was Gobindabhog at Purba Bardhaman with 1.084%. The ranking of the landraces did not stay the same across locations. At Nadia the order was Gobindabhog, Radhunipagal and Kalojira. At Purba Bardhaman the order was Radhunipagal, Kalojira and Gobindabhog. At Birbhum/Howrah the order was Gobindabhog, Kalojira and Radhunipagal.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not significant. The highest mean was 1.584% for Nadia at fresh paddy. The lowest was 0.802% for Purba Bardhaman at 12 months. Between fresh paddy and 12 months of storage the change was -39.0% at Nadia, -44.9% at Purba Bardhaman, -40.5%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not significant. The highest mean was 1.557% for Gobindabhog at fresh paddy. The lowest was 0.863% for Radhunipagal at 12 months. Over the twelve months the change was -40.2% in Gobindabhog, -42.9% in Radhunipagal, -41.0%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1.707% was recorded by Gobindabhog grown at Nadia and sampled at fresh paddy. The lowest value of 0.781% came from Gobindabhog grown at Purba Bardhaman and sampled at 12 months. The spread between these two cells was 0.926 percentage points.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11. Effect of location, variety and storage period on Total Soluble Protein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1.295</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1.030</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1.519</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1.466</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1.263</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0.947</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1.525</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1.204</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0.924</w:t>
            </w:r>
            <w:r>
              <w:rPr>
                <w:rFonts w:ascii="Times New Roman" w:cs="Times New Roman" w:eastAsia="Times New Roman" w:hAnsi="Times New Roman"/>
                <w:b w:val="false"/>
                <w:bCs w:val="false"/>
                <w:i w:val="false"/>
                <w:iCs w:val="false"/>
                <w:sz w:val="20"/>
                <w:szCs w:val="20"/>
                <w:vertAlign w:val="superscript"/>
              </w:rPr>
              <w:t xml:space="preserve">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1.175</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0.996</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0.781</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1.084</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1.522</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1.135</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0.833</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1.458</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1.301</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1.112</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0.792</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1.166</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1.577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1.467</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1.259</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0.982</w:t>
            </w:r>
            <w:r>
              <w:rPr>
                <w:rFonts w:ascii="Times New Roman" w:cs="Times New Roman" w:eastAsia="Times New Roman" w:hAnsi="Times New Roman"/>
                <w:b w:val="false"/>
                <w:bCs w:val="false"/>
                <w:i w:val="false"/>
                <w:iCs w:val="false"/>
                <w:sz w:val="20"/>
                <w:szCs w:val="20"/>
                <w:vertAlign w:val="superscript"/>
              </w:rPr>
              <w:t xml:space="preserve">nop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1.321</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1.490</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1.246</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1.049</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0.809</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1.148</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1.479</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1.356</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1.155</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0.914</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1.226</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1.584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0.967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1.455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1.277</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1.081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0.802</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0.902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1.232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1.183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1.149</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0.863</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1.157</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0.877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1.518</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1.368</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1.163</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0.890</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1.235</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1.235.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0.0169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0.0169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0.0195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0.0292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0.0337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0.0337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0.0209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0.0584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4.143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NS; V × S: NS;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sharp fall in extractable protein during storage should not be read as a loss of protein. Chrastil and Zarins (1992) showed that ageing increases the number of disulphide bridges within the main rice storage protein and shifts its subunits towards larger aggregates, and these aggregates dissolve less readily in the extraction medium. Reduced solubility, not reduced nitrogen, is therefore the most probable reason for what was measured. The change is nevertheless of nutritional consequence, since Zia-Ur-Rehman (2004) found the protein of stored cereals to become genuinely less digestible at ordinary and elevated temperatures while remaining stable in the cold. The effect of growing place is most probably due to soil nitrogen supply together with temperature during grain filling, both of which govern how much nitrogen is remobilised into the grain; Li et al. (2018) found environment to matter more than genotype for grain protein and reported warmer ripening weather to raise it. The varietal ranking is consistent with the inverse relation between grain protein and amylose reported by Chattopadhyay et al. (2018), and with the dominance of the glutelin fraction in milled rice described by Jayaprakash et al. (2022).</w:t>
      </w:r>
    </w:p>
    <w:p>
      <w:pPr>
        <w:pStyle w:val="Heading2"/>
        <w:spacing w:after="130" w:before="260"/>
      </w:pPr>
      <w:r>
        <w:rPr>
          <w:rFonts w:ascii="Times New Roman" w:cs="Times New Roman" w:eastAsia="Times New Roman" w:hAnsi="Times New Roman"/>
          <w:b/>
          <w:bCs/>
          <w:color w:val="000000"/>
          <w:sz w:val="23"/>
          <w:szCs w:val="23"/>
        </w:rPr>
        <w:t xml:space="preserve">4.3.4 Total Fat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fat, and the effect of location was highly significant. The highest value of 1.207% was recorded at Nadia. Purba Bardhaman came next with 1.149% and Birbhum/Howrah gave the lowest value of 1.144%. Purba Bardhaman and Birbhum/Howrah shared the same letter group. The difference between these two locations was too small to be real. The gap between the best and the poorest location was 0.063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1.256%, followed by Gobindabhog with 1.215% and Radhunipagal with 1.028%. Each landrace occupied its own letter group. Kalojira exceeded Radhunipagal by 0.228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fat. The effect was highly significant. Taken in order of sampling date, the values were 1.382% in fresh paddy, 1.239% at 4 months, 1.095% at 8 months and 0.950% at 12 months. Over the full year the value fell by 31.3%. The highest value came from fresh paddy and the lowest from 12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Kalojira at Nadia with 1.313%. The poorest was Radhunipagal at Birbhum/Howrah with 0.953%. The order of the three landraces stayed the same at every location. It ran Kalojira, then Gobindabhog, then Radhunipagal. The interaction therefore changed the size of the varietal differences but not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not significant. The highest mean was 1.421% for Nadia at fresh paddy. The lowest was 0.931% for Birbhum/Howrah at 12 months. Between fresh paddy and 12 months of storage the change was -31.2% at Nadia, -30.8% at Purba Bardhaman, -31.8%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1.491% for Kalojira at fresh paddy. The lowest was 0.832% for Radhunipagal at 12 months. Over the twelve months the change was -31.5% in Gobindabhog, -31.0% in Radhunipagal, -31.2%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not significant. Out of the thirty six treatment combinations the highest value of 1.558% was recorded by Kalojira grown at Nadia and sampled at fresh paddy. The lowest value of 0.743% came from Radhunipagal grown at Birbhum/Howrah and sampled at 12 months. This interaction was not significant. These two extreme cells should not be read as real differences on their own. The main effects give the safer picture.</w:t>
      </w:r>
    </w:p>
    <w:p>
      <w:pPr>
        <w:spacing w:after="90" w:before="200"/>
        <w:jc w:val="left"/>
      </w:pPr>
      <w:r>
        <w:rPr>
          <w:rFonts w:ascii="Times New Roman" w:cs="Times New Roman" w:eastAsia="Times New Roman" w:hAnsi="Times New Roman"/>
          <w:b/>
          <w:bCs/>
          <w:sz w:val="19"/>
          <w:szCs w:val="19"/>
        </w:rPr>
        <w:t xml:space="preserve">Table 12. Effect of location, variety and storage period on Total Fat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1.150</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0.993</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1.240</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1.158</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1.033</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0.883</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1.079</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1.387</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1.250</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1.057</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1.275</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1.103</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0.963</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1.196</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1.227</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1.105</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1.007</w:t>
            </w:r>
            <w:r>
              <w:rPr>
                <w:rFonts w:ascii="Times New Roman" w:cs="Times New Roman" w:eastAsia="Times New Roman" w:hAnsi="Times New Roman"/>
                <w:b w:val="false"/>
                <w:bCs w:val="false"/>
                <w:i w:val="false"/>
                <w:iCs w:val="false"/>
                <w:sz w:val="20"/>
                <w:szCs w:val="20"/>
                <w:vertAlign w:val="superscript"/>
              </w:rPr>
              <w:t xml:space="preserve">nop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0.870</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1.052</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1.410</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1.270</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1.127</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0.988</w:t>
            </w:r>
            <w:r>
              <w:rPr>
                <w:rFonts w:ascii="Times New Roman" w:cs="Times New Roman" w:eastAsia="Times New Roman" w:hAnsi="Times New Roman"/>
                <w:b w:val="false"/>
                <w:bCs w:val="false"/>
                <w:i w:val="false"/>
                <w:iCs w:val="false"/>
                <w:sz w:val="20"/>
                <w:szCs w:val="20"/>
                <w:vertAlign w:val="superscript"/>
              </w:rPr>
              <w:t xml:space="preserve">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1.199</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1.440</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1.137</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1.018</w:t>
            </w:r>
            <w:r>
              <w:rPr>
                <w:rFonts w:ascii="Times New Roman" w:cs="Times New Roman" w:eastAsia="Times New Roman" w:hAnsi="Times New Roman"/>
                <w:b w:val="false"/>
                <w:bCs w:val="false"/>
                <w:i w:val="false"/>
                <w:iCs w:val="false"/>
                <w:sz w:val="20"/>
                <w:szCs w:val="20"/>
                <w:vertAlign w:val="superscript"/>
              </w:rPr>
              <w:t xml:space="preserve">mnop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1.152</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1.038</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0.878</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0.743</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0.953</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1.505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1.170</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1.032</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1.421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1.283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0.978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1.079</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0.941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1.366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1.062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0.992</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1.215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1.101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0.973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0.832</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1.028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1.491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1.182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1.026</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1.256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1.382</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1.239</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1.095</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0.950</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1.166</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1.166.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0.0111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0.0111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0.0128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0.0192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0.0137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2.883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NS; V × S: **;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Rice holds little fat, but that fraction has an influence on keeping quality out of proportion to its size. The decline through storage is most probably enzymatic in origin. Lipase splits the triglycerides into free fatty acids and lipoxygenase then allows those acids to react with oxygen, which is why fat acidity rises so rapidly in stored rice that it is widely used as an index of deterioration (Genkawa et al., 2008). Kim et al. (2023) confirmed in recent work that fat acidity and sensory quality worsen together as storage temperature and duration increase. The consequences reach beyond the loss of energy value, because the small carbonyl compounds formed when rice lipid oxidises give old grain its stale smell and work against whatever fragrance remains; the parallel decline of fat and aroma in this study is therefore likely to be causal rather than coincidental, as Zhou et al. (2002) also concluded. These oxidation products additionally attack protein sulphydryl groups and promote the cross-linking responsible for the loss of protein solubility, so the changes in lipid, protein and starch during ageing form one connected process rather than three separate ones (Zhou et al., 2015). The varietal differences most probably follow from differences in bran thickness, since most of the lipid of rice sits in the bran and embryo.</w:t>
      </w:r>
    </w:p>
    <w:p>
      <w:pPr>
        <w:pStyle w:val="Heading2"/>
        <w:spacing w:after="130" w:before="260"/>
      </w:pPr>
      <w:r>
        <w:rPr>
          <w:rFonts w:ascii="Times New Roman" w:cs="Times New Roman" w:eastAsia="Times New Roman" w:hAnsi="Times New Roman"/>
          <w:b/>
          <w:bCs/>
          <w:color w:val="000000"/>
          <w:sz w:val="23"/>
          <w:szCs w:val="23"/>
        </w:rPr>
        <w:t xml:space="preserve">4.3.5 Ash (%)</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ash, and the effect of location was highly significant. The highest value of 0.828% was recorded at Nadia. Birbhum/Howrah came next with 0.824% and Purba Bardhaman gave the lowest value of 0.697%. All three locations fell into separate letter groups. Each location differed from the other two. The gap between the best and the poorest location was 0.131 percentage points.</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0.989%, followed by Radhunipagal with 0.767% and Gobindabhog with 0.593%. Each landrace occupied its own letter group. Kalojira exceeded Gobindabhog by 0.396 percentage points.</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ash. The effect was highly significant. Taken in order of sampling date, the values were 0.800% in fresh paddy, 0.780% at 4 months, 0.772% at 8 months and 0.779% at 12 months. Over the full year the value fell by 2.7%. The highest value came from fresh paddy and the lowest from 8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Radhunipagal at Nadia with 1.161%. The poorest was Gobindabhog at Nadia with 0.368%. The ranking of the landraces did not stay the same across locations. At Nadia the order was Radhunipagal, Kalojira and Gobindabhog. At Purba Bardhaman the order was Kalojira, Gobindabhog and Radhunipagal. At Birbhum/Howrah the order was Kalojira, Radhunipagal and Gobindabhog.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highly significant. The highest mean was 0.866% for Nadia at fresh paddy. The lowest was 0.672% for Purba Bardhaman at 8 months. Between fresh paddy and 12 months of storage the change was -7.0% at Nadia, -1.6% at Purba Bardhaman, +0.8% at Birbhum/Howrah. Grain from Nadia changed the most and grain from Birbhum/Howrah the least. The spread was 7.8 percentage points. The rate of change during storage was therefore not the same at all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0.991% for Kalojira at fresh paddy. The lowest was 0.581% for Gobindabhog at 8 months. Over the twelve months the change was -4.4% in Gobindabhog, -3.8% in Radhunipagal, -0.8% in Kalojira. Gobindabhog moved the furthest and Kalojira the least. The three landraces did not lose or gain at the same rate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1.249% was recorded by Radhunipagal grown at Nadia and sampled at fresh paddy. The lowest value of 0.350% came from Gobindabhog grown at Nadia and sampled at fresh paddy. The spread between these two cells was 0.899 percentage points.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13. Effect of location, variety and storage period on Ash (%)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0.350</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0.376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0.360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0.368</w:t>
            </w:r>
            <w:r>
              <w:rPr>
                <w:rFonts w:ascii="Times New Roman" w:cs="Times New Roman" w:eastAsia="Times New Roman" w:hAnsi="Times New Roman"/>
                <w:b w:val="false"/>
                <w:bCs w:val="false"/>
                <w:i w:val="false"/>
                <w:iCs w:val="false"/>
                <w:sz w:val="20"/>
                <w:szCs w:val="20"/>
                <w:vertAlign w:val="superscript"/>
              </w:rPr>
              <w:t xml:space="preserve">i</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0.999</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0.949</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0.951</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0.918</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0.954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0.851</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0.701</w:t>
            </w:r>
            <w:r>
              <w:rPr>
                <w:rFonts w:ascii="Times New Roman" w:cs="Times New Roman" w:eastAsia="Times New Roman" w:hAnsi="Times New Roman"/>
                <w:b w:val="false"/>
                <w:bCs w:val="false"/>
                <w:i w:val="false"/>
                <w:iCs w:val="false"/>
                <w:sz w:val="20"/>
                <w:szCs w:val="20"/>
                <w:vertAlign w:val="superscript"/>
              </w:rPr>
              <w:t xml:space="preserve">w</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0.674</w:t>
            </w:r>
            <w:r>
              <w:rPr>
                <w:rFonts w:ascii="Times New Roman" w:cs="Times New Roman" w:eastAsia="Times New Roman" w:hAnsi="Times New Roman"/>
                <w:b w:val="false"/>
                <w:bCs w:val="false"/>
                <w:i w:val="false"/>
                <w:iCs w:val="false"/>
                <w:sz w:val="20"/>
                <w:szCs w:val="20"/>
                <w:vertAlign w:val="superscript"/>
              </w:rPr>
              <w:t xml:space="preserve">z</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0.714</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0.735</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0.379</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0.398</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0.898</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0.974</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0.963</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0.957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0.650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0.675</w:t>
            </w:r>
            <w:r>
              <w:rPr>
                <w:rFonts w:ascii="Times New Roman" w:cs="Times New Roman" w:eastAsia="Times New Roman" w:hAnsi="Times New Roman"/>
                <w:b w:val="false"/>
                <w:bCs w:val="false"/>
                <w:i w:val="false"/>
                <w:iCs w:val="false"/>
                <w:sz w:val="20"/>
                <w:szCs w:val="20"/>
                <w:vertAlign w:val="superscript"/>
              </w:rPr>
              <w:t xml:space="preserve">z</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0.680</w:t>
            </w:r>
            <w:r>
              <w:rPr>
                <w:rFonts w:ascii="Times New Roman" w:cs="Times New Roman" w:eastAsia="Times New Roman" w:hAnsi="Times New Roman"/>
                <w:b w:val="false"/>
                <w:bCs w:val="false"/>
                <w:i w:val="false"/>
                <w:iCs w:val="false"/>
                <w:sz w:val="20"/>
                <w:szCs w:val="20"/>
                <w:vertAlign w:val="superscript"/>
              </w:rPr>
              <w:t xml:space="preserve">y</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0.695</w:t>
            </w:r>
            <w:r>
              <w:rPr>
                <w:rFonts w:ascii="Times New Roman" w:cs="Times New Roman" w:eastAsia="Times New Roman" w:hAnsi="Times New Roman"/>
                <w:b w:val="false"/>
                <w:bCs w:val="false"/>
                <w:i w:val="false"/>
                <w:iCs w:val="false"/>
                <w:sz w:val="20"/>
                <w:szCs w:val="20"/>
                <w:vertAlign w:val="superscript"/>
              </w:rPr>
              <w:t xml:space="preserve">x</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0.675</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0.727</w:t>
            </w:r>
            <w:r>
              <w:rPr>
                <w:rFonts w:ascii="Times New Roman" w:cs="Times New Roman" w:eastAsia="Times New Roman" w:hAnsi="Times New Roman"/>
                <w:b w:val="false"/>
                <w:bCs w:val="false"/>
                <w:i w:val="false"/>
                <w:iCs w:val="false"/>
                <w:sz w:val="20"/>
                <w:szCs w:val="20"/>
                <w:vertAlign w:val="superscript"/>
              </w:rPr>
              <w:t xml:space="preserve">u</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0.773</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0.732</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0.739</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0.743</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1.077</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1.040</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0.805</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0.717</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0.692</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0.672</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0.706</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0.617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0.584</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0.581</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0.590</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0.593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0.793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0.766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0.763</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0.767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0.991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0.989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0.800</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0.780</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0.772</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0.779</w:t>
            </w:r>
            <w:r>
              <w:rPr>
                <w:rFonts w:ascii="Times New Roman" w:cs="Times New Roman" w:eastAsia="Times New Roman" w:hAnsi="Times New Roman"/>
                <w:b/>
                <w:bCs/>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0.783</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0.783.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0.226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Ash represents the mineral residue of the grain. Minerals are neither created nor lost from grain held in a store, so no real change with storage is expected, and the very small variation recorded here is most probably an artefact of expressing ash on a fresh weight basis while the moisture content of the grain moved up and down. It registered as significant only because the experimental error for this trait was exceptionally low, and it carries no nutritional meaning. The varietal differences, by contrast, are real and are most probably a matter of grain anatomy, since the husk, the aleurone and the bran are the mineral-rich tissues and a landrace with proportionately more of them will leave more ash. Verma and Srivastav (2017) found similar differences among Indian aromatic rices and reported aromatic types to be superior to non-aromatic ones on this count. The effect of growing place most probably reflects differences in soil fertility and in the supply of plant-available minerals, and Patra et al. (2024) showed ash in a West Bengal aromatic landrace to respond to the nutrient source applied to the crop.</w:t>
      </w:r>
    </w:p>
    <w:p>
      <w:pPr>
        <w:pStyle w:val="Heading2"/>
        <w:spacing w:after="130" w:before="260"/>
      </w:pPr>
      <w:r>
        <w:rPr>
          <w:rFonts w:ascii="Times New Roman" w:cs="Times New Roman" w:eastAsia="Times New Roman" w:hAnsi="Times New Roman"/>
          <w:b/>
          <w:bCs/>
          <w:color w:val="000000"/>
          <w:sz w:val="23"/>
          <w:szCs w:val="23"/>
        </w:rPr>
        <w:t xml:space="preserve">4.3.6 Total Phenol (mg GAE/g)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total phenol, and the effect of location was highly significant. The highest value of 0.8232 mg GAE/g was recorded at Birbhum/Howrah. Nadia came next with 0.7145 mg GAE/g and Purba Bardhaman gave the lowest value of 0.4614 mg GAE/g. All three locations fell into separate letter groups. Each location differed from the other two. The gap between the best and the poorest location was 0.3617 mg GAE/g.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0.7812 mg GAE/g, followed by Radhunipagal with 0.6459 mg GAE/g and Gobindabhog with 0.5719 mg GAE/g. Each landrace occupied its own letter group. Kalojira exceeded Gobindabhog by 0.2093 mg GAE/g.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total phenol. The effect was highly significant. Taken in order of sampling date, the values were 0.8868 mg GAE/g in fresh paddy, 0.7590 mg GAE/g at 4 months, 0.5976 mg GAE/g at 8 months and 0.4220 mg GAE/g at 12 months. Over the full year the value fell by 52.4%. The highest value came from fresh paddy and the lowest from 12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Kalojira at Birbhum/Howrah with 0.9337 mg GAE/g. The poorest was Gobindabhog at Purba Bardhaman with 0.3891 mg GAE/g. The order of the three landraces stayed the same at every location. It ran Kalojira, then Radhunipagal, then Gobindabhog. The interaction therefore changed the size of the varietal differences but not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highly significant. The highest mean was 1.0966 mg GAE/g for Birbhum/Howrah at fresh paddy. The lowest was 0.3237 mg GAE/g for Purba Bardhaman at 12 months. Between fresh paddy and 12 months of storage the change was -54.9% at Nadia, -46.4% at Purba Bardhaman, -53.6% at Birbhum/Howrah. Grain from Nadia changed the most and grain from Purba Bardhaman the least. The spread was 8.5 percentage points. The rate of change during storage was therefore not the same at all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1.0325 mg GAE/g for Kalojira at fresh paddy. The lowest was 0.3620 mg GAE/g for Gobindabhog at 12 months. Over the twelve months the change was -53.0% in Gobindabhog, -53.1% in Radhunipagal, -51.4%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1.2632 mg GAE/g was recorded by Kalojira grown at Birbhum/Howrah and sampled at fresh paddy. The lowest value of 0.2734 mg GAE/g came from Gobindabhog grown at Purba Bardhaman and sampled at 12 months. The spread between these two cells was 0.9898 mg GAE/g.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14. Effect of location, variety and storage period on Total Phenol (mg GAE/g)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0.8245</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0.7026</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0.5272</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0.3504</w:t>
            </w:r>
            <w:r>
              <w:rPr>
                <w:rFonts w:ascii="Times New Roman" w:cs="Times New Roman" w:eastAsia="Times New Roman" w:hAnsi="Times New Roman"/>
                <w:b w:val="false"/>
                <w:bCs w:val="false"/>
                <w:i w:val="false"/>
                <w:iCs w:val="false"/>
                <w:sz w:val="20"/>
                <w:szCs w:val="20"/>
                <w:vertAlign w:val="superscript"/>
              </w:rPr>
              <w:t xml:space="preserve">u</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0.6012</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0.9250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0.7830</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0.6042</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0.3919</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0.6760</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1.0258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0.7507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0.5567</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0.8662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0.5259</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0.4201</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0.3371</w:t>
            </w:r>
            <w:r>
              <w:rPr>
                <w:rFonts w:ascii="Times New Roman" w:cs="Times New Roman" w:eastAsia="Times New Roman" w:hAnsi="Times New Roman"/>
                <w:b w:val="false"/>
                <w:bCs w:val="false"/>
                <w:i w:val="false"/>
                <w:iCs w:val="false"/>
                <w:sz w:val="20"/>
                <w:szCs w:val="20"/>
                <w:vertAlign w:val="superscript"/>
              </w:rPr>
              <w:t xml:space="preserve">uv</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0.2734</w:t>
            </w:r>
            <w:r>
              <w:rPr>
                <w:rFonts w:ascii="Times New Roman" w:cs="Times New Roman" w:eastAsia="Times New Roman" w:hAnsi="Times New Roman"/>
                <w:b w:val="false"/>
                <w:bCs w:val="false"/>
                <w:i w:val="false"/>
                <w:iCs w:val="false"/>
                <w:sz w:val="20"/>
                <w:szCs w:val="20"/>
                <w:vertAlign w:val="superscript"/>
              </w:rPr>
              <w:t xml:space="preserve">w</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0.3891</w:t>
            </w:r>
            <w:r>
              <w:rPr>
                <w:rFonts w:ascii="Times New Roman" w:cs="Times New Roman" w:eastAsia="Times New Roman" w:hAnsi="Times New Roman"/>
                <w:b w:val="false"/>
                <w:bCs w:val="false"/>
                <w:i w:val="false"/>
                <w:iCs w:val="false"/>
                <w:sz w:val="20"/>
                <w:szCs w:val="20"/>
                <w:vertAlign w:val="superscript"/>
              </w:rPr>
              <w:t xml:space="preserve">i</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0.5814</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0.4876</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0.4222</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0.3146</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0.4514</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0.7030</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0.6167</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0.4724</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0.3831</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0.5438</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0.9612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0.8153</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0.6630</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0.4623</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0.7254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1.0656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0.9443</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0.7309</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0.5005</w:t>
            </w:r>
            <w:r>
              <w:rPr>
                <w:rFonts w:ascii="Times New Roman" w:cs="Times New Roman" w:eastAsia="Times New Roman" w:hAnsi="Times New Roman"/>
                <w:b w:val="false"/>
                <w:bCs w:val="false"/>
                <w:i w:val="false"/>
                <w:iCs w:val="false"/>
                <w:sz w:val="20"/>
                <w:szCs w:val="20"/>
                <w:vertAlign w:val="superscript"/>
              </w:rPr>
              <w:t xml:space="preserve">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0.8103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1.2632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1.0359</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0.8710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0.5648</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0.9337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0.9603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0.8371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0.6274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0.4330</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0.7145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0.6035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0.5081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0.4106</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0.3237</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0.4614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1.0966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0.9318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0.7550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0.5092</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0.8232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0.7706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0.6460</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0.5091</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0.3620</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0.5719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0.8573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0.7383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0.5858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0.4023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0.6459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1.0325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0.8928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0.6980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0.5015</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0.7812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0.8868</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0.7590</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0.5976</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0.4220</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0.6664</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0.6664.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0.0089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0.0134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0.0055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0.0154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0.0055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0.0154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0.0096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0.0267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3.516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Phenolic compounds are the main health-promoting constituents of rice and they proved the least stable of all the traits measured. Two processes most probably account for the loss. Monomeric phenolics polymerise into larger condensed forms that cannot be extracted by the solvent and no longer react with the assay reagent, while polyphenol oxidase and peroxidase remain partly active in stored grain and convert phenolic substrates into quinones. The drift of grain colour away from green during storage is the visible expression of the same chemistry. Zhou et al. (2004) recorded a comparable loss of phenolic acids from stored brown and white rice and found it far greater at high than at low temperature, which explains why the loss under ambient conditions in eastern India was so severe. The varietal ranking is straightforwardly a pigment effect, since a landrace with a coloured husk and pigmented pericarp carries a much heavier phenolic load, as Zhang et al. (2010) demonstrated for black rice bran and Shao et al. (2014) confirmed by locating these compounds in the bran, embryo and endosperm fractions. The wide differences between growing places most probably arise because plants build up phenolics in response to stress from strong sunlight, drought or poor soil, so a harsher environment often yields grain richer in them.</w:t>
      </w:r>
    </w:p>
    <w:p>
      <w:pPr>
        <w:pStyle w:val="Heading2"/>
        <w:spacing w:after="130" w:before="260"/>
      </w:pPr>
      <w:r>
        <w:rPr>
          <w:rFonts w:ascii="Times New Roman" w:cs="Times New Roman" w:eastAsia="Times New Roman" w:hAnsi="Times New Roman"/>
          <w:b/>
          <w:bCs/>
          <w:color w:val="000000"/>
          <w:sz w:val="23"/>
          <w:szCs w:val="23"/>
        </w:rPr>
        <w:t xml:space="preserve">4.3.7 Total Flavonoids (mg QE/100 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total flavonoid, and the effect of location was highly significant. The highest value of 19.09 mg QE/100 g was recorded at Birbhum/Howrah. Nadia came next with 16.74 mg QE/100 g and Purba Bardhaman gave the lowest value of 12.07 mg QE/100 g. All three locations fell into separate letter groups. Each location differed from the other two. The gap between the best and the poorest location was 7.02 mg QE/100 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18.06 mg QE/100 g, followed by Radhunipagal with 15.86 mg QE/100 g and Gobindabhog with 13.98 mg QE/100 g. Each landrace occupied its own letter group. Kalojira exceeded Gobindabhog by 4.08 mg QE/100 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total flavonoid. The effect was highly significant. Taken in order of sampling date, the values were 19.57 mg QE/100 g in fresh paddy, 17.14 mg QE/100 g at 4 months, 14.87 mg QE/100 g at 8 months and 12.28 mg QE/100 g at 12 months. Over the full year the value fell by 37.3%. The highest value came from fresh paddy and the lowest from 12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not significant. The best combination was Kalojira at Birbhum/Howrah with 21.19 mg QE/100 g. The poorest was Gobindabhog at Purba Bardhaman with 10.32 mg QE/100 g. The order of the three landraces stayed the same at every location. It ran Kalojira, then Radhunipagal, then Gobindabhog. The interaction therefore changed the size of the varietal differences but not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not significant. The highest mean was 22.87 mg QE/100 g for Birbhum/Howrah at fresh paddy. The lowest was 8.41 mg QE/100 g for Purba Bardhaman at 12 months. Between fresh paddy and 12 months of storage the change was -35.1% at Nadia, -46.2% at Purba Bardhaman, -33.1%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not significant. The highest mean was 21.80 mg QE/100 g for Kalojira at fresh paddy. The lowest was 10.38 mg QE/100 g for Gobindabhog at 12 months. Over the twelve months the change was -40.6% in Gobindabhog, -36.2% in Radhunipagal, -35.5%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not significant. Out of the thirty six treatment combinations the highest value of 25.16 mg QE/100 g was recorded by Kalojira grown at Birbhum/Howrah and sampled at fresh paddy. The lowest value of 6.52 mg QE/100 g came from Gobindabhog grown at Purba Bardhaman and sampled at 12 months. This interaction was not significant. These two extreme cells should not be read as real differences on their own. The main effects give the safer picture.</w:t>
      </w:r>
    </w:p>
    <w:p>
      <w:pPr>
        <w:spacing w:after="90" w:before="200"/>
        <w:jc w:val="left"/>
      </w:pPr>
      <w:r>
        <w:rPr>
          <w:rFonts w:ascii="Times New Roman" w:cs="Times New Roman" w:eastAsia="Times New Roman" w:hAnsi="Times New Roman"/>
          <w:b/>
          <w:bCs/>
          <w:sz w:val="19"/>
          <w:szCs w:val="19"/>
        </w:rPr>
        <w:t xml:space="preserve">Table 15. Effect of location, variety and storage period on Total Flavonoids (mg QE/100 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18.23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15.57</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13.40</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11.60</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14.70</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17.84</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15.51</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13.03</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16.61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22.33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20.60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18.02</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14.72</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18.92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13.86</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11.67</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9.23</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6.52</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10.32</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15.13</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13.12</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10.61</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8.42</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11.82</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17.91</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15.10</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12.93</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10.31</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14.06</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18.11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16.21</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13.03</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16.92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23.11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19.72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18.00</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15.74</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19.14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25.16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22.49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19.97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17.16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21.19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20.21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15.64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15.63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13.29</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10.92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8.41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12.07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22.87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15.31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19.09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17.48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15.12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10.38</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19.44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16.89</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14.70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12.40</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15.86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21.80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19.40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16.97</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14.06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18.06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19.57</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17.14</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14.87</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12.28</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15.96</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15.96.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0.255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0.255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0.442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0.884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4.85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NS;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Flavonoids form one family within the phenolic group and carry much of the antioxidant activity of pigmented grain, so it is unsurprising that they followed the same varietal and locational ranking as total phenol. They declined more slowly during storage, and the most probable reason is chemical stability: many grain flavonoids carry attached sugar molecules, and glycosylation protects them against the oxidation that degrades simple phenolic acids more readily. That none of the interactions reached significance for this trait, in contrast to total phenol and antioxidant capacity, points to a straightforward first-order breakdown governed by time and ambient conditions rather than by genotype or growing place. The consistently higher values of the pigmented landrace agree with Zhang et al. (2010) and Shao et al. (2014), who showed the flavonoid and anthocyanin load of coloured rice to sit mainly in the outer layers of the grain.</w:t>
      </w:r>
    </w:p>
    <w:p>
      <w:pPr>
        <w:pStyle w:val="Heading2"/>
        <w:spacing w:after="130" w:before="260"/>
      </w:pPr>
      <w:r>
        <w:rPr>
          <w:rFonts w:ascii="Times New Roman" w:cs="Times New Roman" w:eastAsia="Times New Roman" w:hAnsi="Times New Roman"/>
          <w:b/>
          <w:bCs/>
          <w:color w:val="000000"/>
          <w:sz w:val="23"/>
          <w:szCs w:val="23"/>
        </w:rPr>
        <w:t xml:space="preserve">4.3.8 Total Antioxidant Capacity (mg TE/100 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antioxidant capacity, and the effect of location was highly significant. The highest value of 41.35 mg TE/100 g was recorded at Birbhum/Howrah. Nadia came next with 34.83 mg TE/100 g and Purba Bardhaman gave the lowest value of 28.73 mg TE/100 g. All three locations fell into separate letter groups. Each location differed from the other two. The gap between the best and the poorest location was 12.62 mg TE/100 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40.26 mg TE/100 g, followed by Radhunipagal with 34.74 mg TE/100 g and Gobindabhog with 29.91 mg TE/100 g. Each landrace occupied its own letter group. Kalojira exceeded Gobindabhog by 10.34 mg TE/100 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antioxidant capacity. The effect was highly significant. Taken in order of sampling date, the values were 53.44 mg TE/100 g in fresh paddy, 38.95 mg TE/100 g at 4 months, 27.57 mg TE/100 g at 8 months and 19.92 mg TE/100 g at 12 months. Over the full year the value fell by 62.7%. The highest value came from fresh paddy and the lowest from 12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Kalojira at Birbhum/Howrah with 45.63 mg TE/100 g. The poorest was Gobindabhog at Purba Bardhaman with 24.69 mg TE/100 g. The order of the three landraces stayed the same at every location. It ran Kalojira, then Radhunipagal, then Gobindabhog. The interaction therefore changed the size of the varietal differences but not their direction.</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highly significant. The highest mean was 62.11 mg TE/100 g for Birbhum/Howrah at fresh paddy. The lowest was 13.57 mg TE/100 g for Purba Bardhaman at 12 months. Between fresh paddy and 12 months of storage the change was -61.2% at Nadia, -70.4% at Purba Bardhaman, -58.3% at Birbhum/Howrah. Grain from Purba Bardhaman changed the most and grain from Birbhum/Howrah the least. The spread was 12.1 percentage points. The rate of change during storage was therefore not the same at all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61.13 mg TE/100 g for Kalojira at fresh paddy. The lowest was 16.26 mg TE/100 g for Gobindabhog at 12 months. Over the twelve months the change was -63.8% in Gobindabhog, -64.6% in Radhunipagal, -60.2% in Kalojira. Radhunipagal moved the furthest and Kalojira the least. The three landraces did not lose or gain at the same rate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69.63 mg TE/100 g was recorded by Kalojira grown at Birbhum/Howrah and sampled at fresh paddy. The lowest value of 10.42 mg TE/100 g came from Gobindabhog grown at Purba Bardhaman and sampled at 12 months. The spread between these two cells was 59.21 mg TE/100 g.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16. Effect of location, variety and storage period on Total Antioxidant Capacity (mg TE/100 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44.66</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35.07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20.68</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14.66</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28.77</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50.84</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39.11</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25.15</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19.54</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33.66</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61.75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43.71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36.03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26.78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42.07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40.31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32.02</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16.00</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10.42</w:t>
            </w:r>
            <w:r>
              <w:rPr>
                <w:rFonts w:ascii="Times New Roman" w:cs="Times New Roman" w:eastAsia="Times New Roman" w:hAnsi="Times New Roman"/>
                <w:b w:val="false"/>
                <w:bCs w:val="false"/>
                <w:i w:val="false"/>
                <w:iCs w:val="false"/>
                <w:sz w:val="20"/>
                <w:szCs w:val="20"/>
                <w:vertAlign w:val="superscript"/>
              </w:rPr>
              <w:t xml:space="preserve">u</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24.69</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45.04</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35.87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20.10</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12.71</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28.43</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52.00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38.89</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23.81</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17.59</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33.07</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49.90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39.59</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31.96</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23.70</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36.29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66.82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40.46</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35.92</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25.30</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42.12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69.63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45.80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38.46</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28.61</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45.63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52.42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39.30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27.29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20.33</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34.83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45.79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35.59</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19.97</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28.73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62.11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41.95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35.45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25.87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41.35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44.96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35.56</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22.88</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16.26</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29.91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54.23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38.48</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27.06</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19.18</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34.74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61.13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42.80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32.77</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24.33</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40.26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53.44</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38.95</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27.57</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19.92</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34.97</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34.97.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0.251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0.810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1.402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3.513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Antioxidant capacity sums in a single figure the combined effect of all the protective compounds in the grain, and it fell more steeply during storage than any other trait measured. The important point is that it fell faster than either total phenol or total flavonoid, which means phenolic loss alone cannot account for it. The most probable explanation is that the lipid-associated antioxidants are lost as well: tocopherols, tocotrienols and gamma-oryzanol travel with the oil of the grain and are degraded as that oil is hydrolysed and oxidised, and the parallel decline of fat in this study supports that reading. Zhou et al. (2015) described these lipid, protein and starch changes as parts of one connected ageing process rather than separate events. The varietal and locational rankings matched those for phenolics, which is expected given the close association between phenolic content and radical-scavenging activity in rice reported by Shao et al. (2014) and Zhou et al. (2004). Read together with the aroma results, these findings define the useful storage life of these landraces: if they are valued for fragrance and for health-giving compounds rather than for milling outturn alone, prolonged ambient storage costs a great deal that cannot be recovered.</w:t>
      </w:r>
    </w:p>
    <w:p>
      <w:r>
        <w:br w:type="page"/>
      </w:r>
    </w:p>
    <w:p>
      <w:pPr>
        <w:pStyle w:val="Heading1"/>
        <w:spacing w:after="130" w:before="260"/>
      </w:pPr>
      <w:r>
        <w:rPr>
          <w:rFonts w:ascii="Times New Roman" w:cs="Times New Roman" w:eastAsia="Times New Roman" w:hAnsi="Times New Roman"/>
          <w:b/>
          <w:bCs/>
          <w:color w:val="000000"/>
          <w:sz w:val="24"/>
          <w:szCs w:val="24"/>
        </w:rPr>
        <w:t xml:space="preserve">4.4 Anti-nutritional factor</w:t>
      </w:r>
    </w:p>
    <w:p>
      <w:pPr>
        <w:pStyle w:val="Heading2"/>
        <w:spacing w:after="130" w:before="260"/>
      </w:pPr>
      <w:r>
        <w:rPr>
          <w:rFonts w:ascii="Times New Roman" w:cs="Times New Roman" w:eastAsia="Times New Roman" w:hAnsi="Times New Roman"/>
          <w:b/>
          <w:bCs/>
          <w:color w:val="000000"/>
          <w:sz w:val="23"/>
          <w:szCs w:val="23"/>
        </w:rPr>
        <w:t xml:space="preserve">4.4.1 Phytic Acid (mg/100 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phytic acid, and the effect of location was highly significant. The highest value of 339.23 mg/100 g was recorded at Birbhum/Howrah. Purba Bardhaman came next with 283.61 mg/100 g and Nadia gave the lowest value of 216.14 mg/100 g. All three locations fell into separate letter groups. Each location differed from the other two. The gap between the best and the poorest location was 123.09 mg/100 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Gobindabhog recorded the highest value of 336.04 mg/100 g, followed by Radhunipagal with 306.86 mg/100 g and Kalojira with 196.07 mg/100 g. Each landrace occupied its own letter group. Gobindabhog exceeded Kalojira by 139.97 mg/100 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phytic acid. The effect was highly significant. Taken in order of sampling date, the values were 350.10 mg/100 g in fresh paddy, 309.79 mg/100 g at 4 months, 248.66 mg/100 g at 8 months and 210.08 mg/100 g at 12 months. Over the full year the value fell by 40.0%. The highest value came from fresh paddy and the lowest from 12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Gobindabhog at Birbhum/Howrah with 460.67 mg/100 g. The poorest was Kalojira at Birbhum/Howrah with 175.02 mg/100 g. The ranking of the landraces did not stay the same across locations. At Nadia the order was Gobindabhog, Kalojira and Radhunipagal. At Purba Bardhaman the order was Radhunipagal, Gobindabhog and Kalojira. At Birbhum/Howrah the order was Gobindabhog, Radhunipagal and Kalojira.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not significant. The highest mean was 409.95 mg/100 g for Birbhum/Howrah at fresh paddy. The lowest was 144.22 mg/100 g for Nadia at 12 months. Between fresh paddy and 12 months of storage the change was -49.9% at Nadia, -36.8% at Purba Bardhaman, -35.8%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408.86 mg/100 g for Gobindabhog at fresh paddy. The lowest was 139.17 mg/100 g for Kalojira at 12 months. Over the twelve months the change was -35.5% in Gobindabhog, -41.3% in Radhunipagal, -45.2% in Kalojira. Kalojira moved the furthest and Gobindabhog the least. The three landraces did not lose or gain at the same rate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513.34 mg/100 g was recorded by Gobindabhog grown at Birbhum/Howrah and sampled at fresh paddy. The lowest value of 131.60 mg/100 g came from Gobindabhog grown at Nadia and sampled at 12 months. The spread between these two cells was 381.74 mg/100 g.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17. Effect of location, variety and storage period on Phytic Acid (mg/100 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358.24</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303.79</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196.13</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131.60</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247.44</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226.22</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187.99</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184.84</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152.58</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187.91</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279.52</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235.19</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189.08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148.49</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213.07</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355.01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305.07</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262.10</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277.86</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300.01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436.18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390.65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321.27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254.63</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350.68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265.88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239.58</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159.20</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135.86</w:t>
            </w:r>
            <w:r>
              <w:rPr>
                <w:rFonts w:ascii="Times New Roman" w:cs="Times New Roman" w:eastAsia="Times New Roman" w:hAnsi="Times New Roman"/>
                <w:b w:val="false"/>
                <w:bCs w:val="false"/>
                <w:i w:val="false"/>
                <w:iCs w:val="false"/>
                <w:sz w:val="20"/>
                <w:szCs w:val="20"/>
                <w:vertAlign w:val="superscript"/>
              </w:rPr>
              <w:t xml:space="preserve">opq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200.13</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513.34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507.72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439.64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381.99</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460.67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499.81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425.79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327.88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274.51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382.00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216.71</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192.38</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157.83</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133.17</w:t>
            </w:r>
            <w:r>
              <w:rPr>
                <w:rFonts w:ascii="Times New Roman" w:cs="Times New Roman" w:eastAsia="Times New Roman" w:hAnsi="Times New Roman"/>
                <w:b w:val="false"/>
                <w:bCs w:val="false"/>
                <w:i w:val="false"/>
                <w:iCs w:val="false"/>
                <w:sz w:val="20"/>
                <w:szCs w:val="20"/>
                <w:vertAlign w:val="superscript"/>
              </w:rPr>
              <w:t xml:space="preserve">pq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175.02</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288.00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242.32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190.02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144.22</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216.14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352.36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311.77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247.52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222.78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283.61</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409.95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375.30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308.45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263.22</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339.23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408.86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372.19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299.29</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263.82</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336.04</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387.41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334.81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278.00</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227.24</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306.86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254.04</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222.38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168.70</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139.17</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196.07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350.10</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309.79</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248.66</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210.08</w:t>
            </w:r>
            <w:r>
              <w:rPr>
                <w:rFonts w:ascii="Times New Roman" w:cs="Times New Roman" w:eastAsia="Times New Roman" w:hAnsi="Times New Roman"/>
                <w:b/>
                <w:bCs/>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279.66</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279.66.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2.653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7.419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2.653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7.419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3.064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8.567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4.596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12.850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5.307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14.838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5.307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14.838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9.192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25.700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8.051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NS;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Phytic acid is the store of phosphorus in the seed and at the same time the principal anti-nutrient of cereal grain, because it binds iron and zinc and prevents their absorption in the human gut. Its decline during storage is one of the few changes recorded in this experiment that improves nutritional value, and the most probable reason is enzymatic. Endogenous phytase gradually strips phosphate groups from the phytic acid molecule, and the partially stripped forms bind minerals far less tightly (Fukushima et al., 2020). Rice carries less phytase than rye or wheat, but enough to do measurable work when grain is held for months at ambient temperature and at the moisture levels prevailing here. The value of this becomes clear only when read against the mineral results, which did not change at all during storage: as phytate falls while minerals hold steady, the ratio between them improves and more of the iron and zinc in aged grain should be available to the body. The varietal differences are genotypic, since grain phytic acid is a quantitative trait under polygenic control with useful natural variation among rice types, which allows selection for lower phytate without recourse to induced mutants and their penalties in germination and yield (Perera et al., 2018). The effect of growing place most probably follows the phosphorus status of the soil.</w:t>
      </w:r>
    </w:p>
    <w:p>
      <w:r>
        <w:br w:type="page"/>
      </w:r>
    </w:p>
    <w:p>
      <w:pPr>
        <w:pStyle w:val="Heading1"/>
        <w:spacing w:after="130" w:before="260"/>
      </w:pPr>
      <w:r>
        <w:rPr>
          <w:rFonts w:ascii="Times New Roman" w:cs="Times New Roman" w:eastAsia="Times New Roman" w:hAnsi="Times New Roman"/>
          <w:b/>
          <w:bCs/>
          <w:color w:val="000000"/>
          <w:sz w:val="24"/>
          <w:szCs w:val="24"/>
        </w:rPr>
        <w:t xml:space="preserve">4.5 Colour attributes</w:t>
      </w:r>
    </w:p>
    <w:p>
      <w:pPr>
        <w:spacing w:after="140" w:line="300"/>
        <w:jc w:val="both"/>
      </w:pPr>
      <w:r>
        <w:rPr>
          <w:rFonts w:ascii="Times New Roman" w:cs="Times New Roman" w:eastAsia="Times New Roman" w:hAnsi="Times New Roman"/>
          <w:b w:val="false"/>
          <w:bCs w:val="false"/>
          <w:i w:val="false"/>
          <w:iCs w:val="false"/>
          <w:sz w:val="22"/>
          <w:szCs w:val="22"/>
        </w:rPr>
        <w:t xml:space="preserve">The main effect means for all parameters in this section are brought together in Table 18. The individual parameters, with their interaction means, standard errors and critical differences, follow.</w:t>
      </w:r>
    </w:p>
    <w:p>
      <w:pPr>
        <w:spacing w:after="90" w:before="200"/>
        <w:jc w:val="left"/>
      </w:pPr>
      <w:r>
        <w:rPr>
          <w:rFonts w:ascii="Times New Roman" w:cs="Times New Roman" w:eastAsia="Times New Roman" w:hAnsi="Times New Roman"/>
          <w:b/>
          <w:bCs/>
          <w:sz w:val="19"/>
          <w:szCs w:val="19"/>
        </w:rPr>
        <w:t xml:space="preserve">Table 18. Main effect means of location, variety and storage period for the colour attributes of three aromatic rice landraces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690"/>
        <w:gridCol w:w="690"/>
        <w:gridCol w:w="690"/>
        <w:gridCol w:w="690"/>
        <w:gridCol w:w="690"/>
        <w:gridCol w:w="690"/>
        <w:gridCol w:w="690"/>
        <w:gridCol w:w="690"/>
        <w:gridCol w:w="690"/>
        <w:gridCol w:w="690"/>
      </w:tblGrid>
      <w:tr>
        <w:trPr>
          <w:tblHeader/>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Parameter</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74.44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75.39</w:t>
            </w:r>
            <w:r>
              <w:rPr>
                <w:rFonts w:ascii="Times New Roman" w:cs="Times New Roman" w:eastAsia="Times New Roman" w:hAnsi="Times New Roman"/>
                <w:b w:val="false"/>
                <w:bCs w:val="false"/>
                <w:i w:val="false"/>
                <w:iCs w:val="false"/>
                <w:sz w:val="20"/>
                <w:szCs w:val="20"/>
                <w:vertAlign w:val="superscript"/>
              </w:rPr>
              <w:t xml:space="preserve">a</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-2.208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-2.252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-1.630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-3.310</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-0.764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-0.862</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113.67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112.64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108.35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114.51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113.94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114.07</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Total Colour Difference (ΔE)</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39.69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41.87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42.29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41.31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41.42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41.12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27.22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46.08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45.71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46.12</w:t>
            </w:r>
            <w:r>
              <w:rPr>
                <w:rFonts w:ascii="Times New Roman" w:cs="Times New Roman" w:eastAsia="Times New Roman" w:hAnsi="Times New Roman"/>
                <w:b w:val="false"/>
                <w:bCs w:val="false"/>
                <w:i w:val="false"/>
                <w:iCs w:val="false"/>
                <w:sz w:val="20"/>
                <w:szCs w:val="20"/>
                <w:vertAlign w:val="superscript"/>
              </w:rPr>
              <w:t xml:space="preserve">a</w:t>
            </w:r>
          </w:p>
        </w:tc>
      </w:tr>
    </w:tbl>
    <w:p>
      <w:pPr>
        <w:spacing w:after="190" w:before="70"/>
        <w:jc w:val="left"/>
      </w:pPr>
      <w:r>
        <w:rPr>
          <w:rFonts w:ascii="Times New Roman" w:cs="Times New Roman" w:eastAsia="Times New Roman" w:hAnsi="Times New Roman"/>
          <w:i/>
          <w:iCs/>
          <w:sz w:val="17"/>
          <w:szCs w:val="17"/>
        </w:rPr>
        <w:t xml:space="preserve">Means followed by a common letter within a factor and row are not significantly different at P = 0.05 (LSD). L1, L2 and L3 denote Nadia, Purba Bardhaman and Birbhum/Howrah; V1, V2 and V3 denote Gobindabhog, Radhunipagal and Kalojira; S1 to S4 denote storage for zero, four, eight and twelve months. Standard errors and critical differences for each parameter are given with its individual table.</w:t>
      </w:r>
    </w:p>
    <w:p>
      <w:pPr>
        <w:pStyle w:val="Heading2"/>
        <w:spacing w:after="130" w:before="260"/>
      </w:pPr>
      <w:r>
        <w:rPr>
          <w:rFonts w:ascii="Times New Roman" w:cs="Times New Roman" w:eastAsia="Times New Roman" w:hAnsi="Times New Roman"/>
          <w:b/>
          <w:bCs/>
          <w:color w:val="000000"/>
          <w:sz w:val="23"/>
          <w:szCs w:val="23"/>
        </w:rPr>
        <w:t xml:space="preserve">4.5.1 L*</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the L* value, and the effect of location was highly significant. The highest value of 76.59 was recorded at Purba Bardhaman. Nadia came next with 74.77 and Birbhum/Howrah gave the lowest value of 74.23. All three locations fell into separate letter groups. Each location differed from the other two. The gap between the best and the poorest location was 2.36.</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Radhunipagal recorded the highest value of 75.74, followed by Gobindabhog with 75.40 and Kalojira with 74.44. Each landrace occupied its own letter group. Radhunipagal exceeded Kalojira by 1.30.</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the L* value. The effect was highly significant. Taken in order of sampling date, the values were 75.02 in fresh paddy, 75.38 at 4 months, 75.00 at 8 months and 75.39 at 12 months. Over the full year the value increased by 0.5%. The highest value came from 12 months and the lowest from 8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Radhunipagal at Purba Bardhaman with 77.51. The poorest was Kalojira at Birbhum/Howrah with 72.23. The ranking of the landraces did not stay the same across locations. At Nadia the order was Radhunipagal, Kalojira and Gobindabhog. At Purba Bardhaman the order was Radhunipagal, Kalojira and Gobindabhog. At Birbhum/Howrah the order was Gobindabhog, Radhunipagal and Kalojira.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highly significant. The highest mean was 76.85 for Purba Bardhaman at 12 months. The lowest was 73.84 for Birbhum/Howrah at 8 months. Between fresh paddy and 12 months of storage the change was +1.4% at Nadia, +0.1% at Purba Bardhaman, -0.0%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75.83 for Radhunipagal at 8 months. The lowest was 74.05 for Kalojira at fresh paddy. Over the twelve months the change was +0.2% in Gobindabhog, +0.2% in Radhunipagal, +1.1%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79.71 was recorded by Radhunipagal grown at Purba Bardhaman and sampled at fresh paddy. The lowest value of 71.80 came from Kalojira grown at Birbhum/Howrah and sampled at 4 months. The spread between these two cells was 7.91.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19. Effect of location, variety and storage period on L*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74.16</w:t>
            </w:r>
            <w:r>
              <w:rPr>
                <w:rFonts w:ascii="Times New Roman" w:cs="Times New Roman" w:eastAsia="Times New Roman" w:hAnsi="Times New Roman"/>
                <w:b w:val="false"/>
                <w:bCs w:val="false"/>
                <w:i w:val="false"/>
                <w:iCs w:val="false"/>
                <w:sz w:val="20"/>
                <w:szCs w:val="20"/>
                <w:vertAlign w:val="superscript"/>
              </w:rPr>
              <w:t xml:space="preserve">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74.07</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74.22</w:t>
            </w:r>
            <w:r>
              <w:rPr>
                <w:rFonts w:ascii="Times New Roman" w:cs="Times New Roman" w:eastAsia="Times New Roman" w:hAnsi="Times New Roman"/>
                <w:b w:val="false"/>
                <w:bCs w:val="false"/>
                <w:i w:val="false"/>
                <w:iCs w:val="false"/>
                <w:sz w:val="20"/>
                <w:szCs w:val="20"/>
                <w:vertAlign w:val="superscript"/>
              </w:rPr>
              <w:t xml:space="preserve">lmno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74.35</w:t>
            </w:r>
            <w:r>
              <w:rPr>
                <w:rFonts w:ascii="Times New Roman" w:cs="Times New Roman" w:eastAsia="Times New Roman" w:hAnsi="Times New Roman"/>
                <w:b w:val="false"/>
                <w:bCs w:val="false"/>
                <w:i w:val="false"/>
                <w:iCs w:val="false"/>
                <w:sz w:val="20"/>
                <w:szCs w:val="20"/>
                <w:vertAlign w:val="superscript"/>
              </w:rPr>
              <w:t xml:space="preserve">klmn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74.20</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73.33</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77.16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74.94</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75.35</w:t>
            </w:r>
            <w:r>
              <w:rPr>
                <w:rFonts w:ascii="Times New Roman" w:cs="Times New Roman" w:eastAsia="Times New Roman" w:hAnsi="Times New Roman"/>
                <w:b w:val="false"/>
                <w:bCs w:val="false"/>
                <w:i w:val="false"/>
                <w:iCs w:val="false"/>
                <w:sz w:val="20"/>
                <w:szCs w:val="20"/>
                <w:vertAlign w:val="superscript"/>
              </w:rPr>
              <w:t xml:space="preserve">fghi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75.19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74.73</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74.09</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75.26</w:t>
            </w:r>
            <w:r>
              <w:rPr>
                <w:rFonts w:ascii="Times New Roman" w:cs="Times New Roman" w:eastAsia="Times New Roman" w:hAnsi="Times New Roman"/>
                <w:b w:val="false"/>
                <w:bCs w:val="false"/>
                <w:i w:val="false"/>
                <w:iCs w:val="false"/>
                <w:sz w:val="20"/>
                <w:szCs w:val="20"/>
                <w:vertAlign w:val="superscript"/>
              </w:rPr>
              <w:t xml:space="preserve">ghij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75.56</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75.61</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75.87</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75.75</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77.05</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76.07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79.71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75.44</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77.86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77.02</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77.51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74.91</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77.92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75.45</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76.49</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76.19</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76.46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77.12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74.73</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75.40</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75.93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73.71</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74.91</w:t>
            </w:r>
            <w:r>
              <w:rPr>
                <w:rFonts w:ascii="Times New Roman" w:cs="Times New Roman" w:eastAsia="Times New Roman" w:hAnsi="Times New Roman"/>
                <w:b w:val="false"/>
                <w:bCs w:val="false"/>
                <w:i w:val="false"/>
                <w:iCs w:val="false"/>
                <w:sz w:val="20"/>
                <w:szCs w:val="20"/>
                <w:vertAlign w:val="superscript"/>
              </w:rPr>
              <w:t xml:space="preserve">hijk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74.70</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74.78</w:t>
            </w:r>
            <w:r>
              <w:rPr>
                <w:rFonts w:ascii="Times New Roman" w:cs="Times New Roman" w:eastAsia="Times New Roman" w:hAnsi="Times New Roman"/>
                <w:b w:val="false"/>
                <w:bCs w:val="false"/>
                <w:i w:val="false"/>
                <w:iCs w:val="false"/>
                <w:sz w:val="20"/>
                <w:szCs w:val="20"/>
                <w:vertAlign w:val="superscript"/>
              </w:rPr>
              <w:t xml:space="preserve">ijkl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74.53</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72.52</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71.80</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72.10</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72.51</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72.23</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74.07</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75.10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74.81</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75.09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74.77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76.75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76.41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76.35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76.85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76.59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74.61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73.84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75.69</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74.90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75.60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75.40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75.58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75.83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75.83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75.72</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75.74</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74.05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74.60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74.27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74.85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74.44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75.02</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75.38</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75.00</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75.39</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75.19</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75.19.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0.060</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0.577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0.672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lightness of milled rice is one of the first things a buyer judges, and it proved remarkably stable through storage. The narrow range across sampling dates agrees with Yanxia et al. (2018), who found only a small change in the lightness of milled rice held at ambient temperature. Because the varietal and locational contributions to variation were much the larger, whiteness in these landraces is essentially a property of the grain rather than of its storage history. The most probable reason for the varietal differences is pigment carryover: even after polishing, traces of phenolic and anthocyanin pigments from a coloured husk and darker pericarp remain in the surface layers and reduce reflectance, which is consistent with the same landrace leading for phenolics here and with the pigment load Zhang et al. (2010) described in coloured rice. The differences between growing places are more probably a matter of grain filling than of pigment, since chalky or incompletely filled grain scatters light and reads brighter; a high lightness value is therefore not always a mark of better quality. Instrumental colour measurement of this kind provides an objective and non-destructive basis for grading (Kumaresh et al., 2020).</w:t>
      </w:r>
    </w:p>
    <w:p>
      <w:pPr>
        <w:pStyle w:val="Heading2"/>
        <w:spacing w:after="130" w:before="260"/>
      </w:pPr>
      <w:r>
        <w:rPr>
          <w:rFonts w:ascii="Times New Roman" w:cs="Times New Roman" w:eastAsia="Times New Roman" w:hAnsi="Times New Roman"/>
          <w:b/>
          <w:bCs/>
          <w:color w:val="000000"/>
          <w:sz w:val="23"/>
          <w:szCs w:val="23"/>
        </w:rPr>
        <w:t xml:space="preserve">4.5.2 a*</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the a* value, and the effect of location was highly significant. The highest value of -1.154 was recorded at Nadia. Birbhum/Howrah came next with -1.222 and Purba Bardhaman gave the lowest value of -2.208. Nadia and Birbhum/Howrah shared the same letter group. The difference between these two locations was too small to be real. The gap between the best and the poorest location was 1.054.</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-0.702, followed by Radhunipagal with -1.630 and Gobindabhog with -2.252. Each landrace occupied its own letter group. Kalojira exceeded Gobindabhog by 1.550.</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the a* value. The effect was highly significant. Taken in order of sampling date, the values were -3.310 in fresh paddy, -0.764 at 4 months, -1.176 at 8 months and -0.862 at 12 months. Over the full year the value fell by 74.0%. The highest value came from 4 months and the lowest from fresh paddy.</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Kalojira at Birbhum/Howrah with 1.325. The poorest was Gobindabhog at Birbhum/Howrah with -4.563. The ranking of the landraces did not stay the same across locations. At Nadia the order was Gobindabhog, Kalojira and Radhunipagal. At Purba Bardhaman the order was Gobindabhog, Kalojira and Radhunipagal. At Birbhum/Howrah the order was Kalojira, Radhunipagal and Gobindabhog.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highly significant. The highest mean was 0.138 for Birbhum/Howrah at 4 months. The lowest was -4.548 for Purba Bardhaman at fresh paddy. Between fresh paddy and 12 months of storage the change was -0.6% at Nadia, -72.6% at Purba Bardhaman, -95.2% at Birbhum/Howrah. Grain from Birbhum/Howrah changed the most and grain from Nadia the least. The spread was 94.6 percentage points. The rate of change during storage was therefore not the same at all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-0.499 for Kalojira at 12 months. The lowest was -4.885 for Gobindabhog at fresh paddy. Over the twelve months the change was -76.3% in Gobindabhog, -79.0% in Radhunipagal, -18.5% in Kalojira. Radhunipagal moved the furthest and Kalojira the least. The three landraces did not lose or gain at the same rate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1.790 was recorded by Kalojira grown at Birbhum/Howrah and sampled at 12 months. The lowest value of -13.290 came from Gobindabhog grown at Birbhum/Howrah and sampled at fresh paddy. The spread between these two cells was 15.080.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20. Effect of location, variety and storage period on a*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-1.620</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-0.698</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-0.356</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-0.685</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-3.023</w:t>
            </w:r>
            <w:r>
              <w:rPr>
                <w:rFonts w:ascii="Times New Roman" w:cs="Times New Roman" w:eastAsia="Times New Roman" w:hAnsi="Times New Roman"/>
                <w:b w:val="false"/>
                <w:bCs w:val="false"/>
                <w:i w:val="false"/>
                <w:iCs w:val="false"/>
                <w:sz w:val="20"/>
                <w:szCs w:val="20"/>
                <w:vertAlign w:val="superscript"/>
              </w:rPr>
              <w:t xml:space="preserve">qr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0.682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-2.185</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-2.217</w:t>
            </w:r>
            <w:r>
              <w:rPr>
                <w:rFonts w:ascii="Times New Roman" w:cs="Times New Roman" w:eastAsia="Times New Roman" w:hAnsi="Times New Roman"/>
                <w:b w:val="false"/>
                <w:bCs w:val="false"/>
                <w:i w:val="false"/>
                <w:iCs w:val="false"/>
                <w:sz w:val="20"/>
                <w:szCs w:val="20"/>
                <w:vertAlign w:val="superscript"/>
              </w:rPr>
              <w:t xml:space="preserve">op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-1.686</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-0.339</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-1.886</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-1.311</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-0.835</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-1.093</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-1.300</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-1.564</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-2.080</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-1.084</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-1.507</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-9.546</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-1.929</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0.558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-0.200</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-2.779</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-2.798</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-0.976</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-3.124</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-2.454</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-2.338</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-13.290</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-0.484</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-2.450</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-2.030</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-4.563</w:t>
            </w:r>
            <w:r>
              <w:rPr>
                <w:rFonts w:ascii="Times New Roman" w:cs="Times New Roman" w:eastAsia="Times New Roman" w:hAnsi="Times New Roman"/>
                <w:b w:val="false"/>
                <w:bCs w:val="false"/>
                <w:i w:val="false"/>
                <w:iCs w:val="false"/>
                <w:sz w:val="20"/>
                <w:szCs w:val="20"/>
                <w:vertAlign w:val="superscript"/>
              </w:rPr>
              <w:t xml:space="preserve">i</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-0.723</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-0.393</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-0.217</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-0.373</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1.292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0.922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1.790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1.325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-0.941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-1.398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-4.548</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-1.490</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-1.548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-1.246</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-2.208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-4.238</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-0.582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-4.885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-1.223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-1.742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-2.252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-4.430</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-0.614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-0.930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-1.630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-0.613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-3.310</w:t>
            </w:r>
            <w:r>
              <w:rPr>
                <w:rFonts w:ascii="Times New Roman" w:cs="Times New Roman" w:eastAsia="Times New Roman" w:hAnsi="Times New Roman"/>
                <w:b/>
                <w:bCs/>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-0.764</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-1.176</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-0.862</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-1.528</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-1.528.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0.0715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0.0715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0.0295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0.0825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0.0443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0.1238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0.1429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0.1429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0.0885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0.2475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-14.192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redness-greenness coordinate moved sharply away from green during the first months of storage and then changed little. The most probable reason for the early shift is the loss of residual chlorophyll and other immature pigments still present in freshly harvested grain, which is why newly milled rice often carries a greenish cast that disappears after the first storage season. The slower drift afterwards is best explained by gentle non-enzymatic browning and by the oxidative polymerisation of phenolic compounds, the same chemistry that accounts for the steep fall in extractable phenolics reported by Zhou et al. (2004) and observed here. That the pigmented landrace shifted least is consistent with it having started closest to neutral and therefore having least green pigment to lose. Two cautions belong with this trait. The values for milled rice are small in absolute terms and sensitive to the degree of polishing, and because the mean is negative the coefficient of variation prints as a negative figure and should be read in absolute terms. Wang et al. (2025) similarly found colour change in newly harvested rice to depend more on how the grain was handled than on how long it was subsequently held.</w:t>
      </w:r>
    </w:p>
    <w:p>
      <w:pPr>
        <w:pStyle w:val="Heading2"/>
        <w:spacing w:after="130" w:before="260"/>
      </w:pPr>
      <w:r>
        <w:rPr>
          <w:rFonts w:ascii="Times New Roman" w:cs="Times New Roman" w:eastAsia="Times New Roman" w:hAnsi="Times New Roman"/>
          <w:b/>
          <w:bCs/>
          <w:color w:val="000000"/>
          <w:sz w:val="23"/>
          <w:szCs w:val="23"/>
        </w:rPr>
        <w:t xml:space="preserve">4.5.3 b*</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the b* value, and the effect of location was highly significant. The highest value of 113.67 was recorded at Purba Bardhaman. Nadia came next with 113.14 and Birbhum/Howrah gave the lowest value of 111.35. All three locations fell into separate letter groups. Each location differed from the other two. The gap between the best and the poorest location was 2.32.</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113.16, followed by Radhunipagal with 112.64 and Gobindabhog with 112.35. Each landrace occupied its own letter group. Kalojira exceeded Gobindabhog by 0.81.</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the b* value. The effect was highly significant. Taken in order of sampling date, the values were 108.35 in fresh paddy, 114.51 at 4 months, 113.94 at 8 months and 114.07 at 12 months. Over the full year the value increased by 5.3%. The highest value came from 4 months and the lowest from fresh paddy.</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Kalojira at Purba Bardhaman with 115.48. The poorest was Gobindabhog at Birbhum/Howrah with 109.26. The ranking of the landraces did not stay the same across locations. At Nadia the order was Gobindabhog, Radhunipagal and Kalojira. At Purba Bardhaman the order was Kalojira, Gobindabhog and Radhunipagal. At Birbhum/Howrah the order was Radhunipagal, Kalojira and Gobindabhog.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highly significant. The highest mean was 115.85 for Purba Bardhaman at 4 months. The lowest was 105.12 for Birbhum/Howrah at fresh paddy. Between fresh paddy and 12 months of storage the change was +1.2% at Nadia, +7.2% at Purba Bardhaman, +7.7% at Birbhum/Howrah. Grain from Nadia changed the most and grain from Birbhum/Howrah the least. The spread was 6.5 percentage points. The rate of change during storage was therefore not the same at all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115.00 for Radhunipagal at 4 months. The lowest was 106.10 for Gobindabhog at fresh paddy. Over the twelve months the change was +7.8% in Gobindabhog, +7.4% in Radhunipagal, +0.9% in Kalojira. Kalojira moved the furthest and Gobindabhog the least. The three landraces did not lose or gain at the same rate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117.48 was recorded by Kalojira grown at Purba Bardhaman and sampled at 4 months. The lowest value of 92.38 came from Gobindabhog grown at Birbhum/Howrah and sampled at fresh paddy. The spread between these two cells was 25.10.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21. Effect of location, variety and storage period on b*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111.78</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112.53</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114.72</w:t>
            </w:r>
            <w:r>
              <w:rPr>
                <w:rFonts w:ascii="Times New Roman" w:cs="Times New Roman" w:eastAsia="Times New Roman" w:hAnsi="Times New Roman"/>
                <w:b w:val="false"/>
                <w:bCs w:val="false"/>
                <w:i w:val="false"/>
                <w:iCs w:val="false"/>
                <w:sz w:val="20"/>
                <w:szCs w:val="20"/>
                <w:vertAlign w:val="superscript"/>
              </w:rPr>
              <w:t xml:space="preserve">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114.39</w:t>
            </w:r>
            <w:r>
              <w:rPr>
                <w:rFonts w:ascii="Times New Roman" w:cs="Times New Roman" w:eastAsia="Times New Roman" w:hAnsi="Times New Roman"/>
                <w:b w:val="false"/>
                <w:bCs w:val="false"/>
                <w:i w:val="false"/>
                <w:iCs w:val="false"/>
                <w:sz w:val="20"/>
                <w:szCs w:val="20"/>
                <w:vertAlign w:val="superscript"/>
              </w:rPr>
              <w:t xml:space="preserve">ghij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113.36</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111.48</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115.96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112.47</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112.82</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113.18</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112.89</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113.14</w:t>
            </w:r>
            <w:r>
              <w:rPr>
                <w:rFonts w:ascii="Times New Roman" w:cs="Times New Roman" w:eastAsia="Times New Roman" w:hAnsi="Times New Roman"/>
                <w:b w:val="false"/>
                <w:bCs w:val="false"/>
                <w:i w:val="false"/>
                <w:iCs w:val="false"/>
                <w:sz w:val="20"/>
                <w:szCs w:val="20"/>
                <w:vertAlign w:val="superscript"/>
              </w:rPr>
              <w:t xml:space="preserve">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112.58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112.92</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112.88</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114.15</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115.14</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114.03</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114.43</w:t>
            </w:r>
            <w:r>
              <w:rPr>
                <w:rFonts w:ascii="Times New Roman" w:cs="Times New Roman" w:eastAsia="Times New Roman" w:hAnsi="Times New Roman"/>
                <w:b w:val="false"/>
                <w:bCs w:val="false"/>
                <w:i w:val="false"/>
                <w:iCs w:val="false"/>
                <w:sz w:val="20"/>
                <w:szCs w:val="20"/>
                <w:vertAlign w:val="superscript"/>
              </w:rPr>
              <w:t xml:space="preserve">fghij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95.58</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114.92</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117.08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116.74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111.08</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113.93</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117.48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114.86</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115.65</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115.48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92.38</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115.90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114.49</w:t>
            </w:r>
            <w:r>
              <w:rPr>
                <w:rFonts w:ascii="Times New Roman" w:cs="Times New Roman" w:eastAsia="Times New Roman" w:hAnsi="Times New Roman"/>
                <w:b w:val="false"/>
                <w:bCs w:val="false"/>
                <w:i w:val="false"/>
                <w:iCs w:val="false"/>
                <w:sz w:val="20"/>
                <w:szCs w:val="20"/>
                <w:vertAlign w:val="superscript"/>
              </w:rPr>
              <w:t xml:space="preserve">fghi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114.27</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109.26</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112.58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114.12</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114.19</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113.69</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113.65</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110.41</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111.41</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111.03</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111.67</w:t>
            </w:r>
            <w:r>
              <w:rPr>
                <w:rFonts w:ascii="Times New Roman" w:cs="Times New Roman" w:eastAsia="Times New Roman" w:hAnsi="Times New Roman"/>
                <w:b w:val="false"/>
                <w:bCs w:val="false"/>
                <w:i w:val="false"/>
                <w:iCs w:val="false"/>
                <w:sz w:val="20"/>
                <w:szCs w:val="20"/>
                <w:vertAlign w:val="superscript"/>
              </w:rPr>
              <w:t xml:space="preserve">n</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111.13</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112.05</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113.88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113.26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113.38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107.89</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115.85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115.32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115.61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113.67</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105.12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113.81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113.24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113.21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111.35</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106.10</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114.52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114.37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112.35</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106.55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115.00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114.58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114.42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112.64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112.41</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114.01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112.83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113.41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113.16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108.35</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114.51</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113.94</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114.07</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112.72</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112.72.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0.261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0.301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0.301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0.521</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0.405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Yellowness rose between harvest and the first storage sampling and then held steady, and the most probable reason for the early rise is the same post-harvest curing that shifted the redness-greenness coordinate, as immature pigments are lost and the grain settles into its mature colour. Once curing was complete the value stopped moving, which agrees with Yanxia et al. (2018), who found no significant change in the yellowness of milled rice during ambient storage. This stability matters, because progressive yellowing is normally taken as evidence that grain is deteriorating. Its absence indicates that the conditions used here did not permit the extensive browning reactions and lipid oxidation that discolour badly managed grain. Genkawa et al. (2008) attributed yellowing to high moisture and high temperature rather than to the passage of time, and Wang et al. (2025) found the yellowing rate of newly harvested rice to depend on how it was dried. The varietal differences were small, which is expected, since polishing removes most of the coloured bran and what remains differs little between these landraces.</w:t>
      </w:r>
    </w:p>
    <w:p>
      <w:pPr>
        <w:pStyle w:val="Heading2"/>
        <w:spacing w:after="130" w:before="260"/>
      </w:pPr>
      <w:r>
        <w:rPr>
          <w:rFonts w:ascii="Times New Roman" w:cs="Times New Roman" w:eastAsia="Times New Roman" w:hAnsi="Times New Roman"/>
          <w:b/>
          <w:bCs/>
          <w:color w:val="000000"/>
          <w:sz w:val="23"/>
          <w:szCs w:val="23"/>
        </w:rPr>
        <w:t xml:space="preserve">4.5.4 Total Colour Difference (ΔE)</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the total colour difference, and the effect of location was highly significant. The highest value of 42.29 was recorded at Birbhum/Howrah. Purba Bardhaman came next with 41.87 and Nadia gave the lowest value of 39.69. All three locations fell into separate letter groups. Each location differed from the other two. The gap between the best and the poorest location was 2.60.</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Radhunipagal recorded the highest value of 41.42, followed by Gobindabhog with 41.31 and Kalojira with 41.12. Radhunipagal and Gobindabhog carried a common letter. These two were on par with each other. Radhunipagal exceeded Kalojira by 0.30.</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the total colour difference. The effect was highly significant. Taken in order of sampling date, the values were 27.22 in fresh paddy, 46.08 at 4 months, 45.71 at 8 months and 46.12 at 12 months. Over the full year the value increased by 69.4%. The highest value came from 12 months and the lowest from fresh paddy.</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Radhunipagal at Purba Bardhaman with 45.56. The poorest was Radhunipagal at Nadia with 38.76. The ranking of the landraces did not stay the same across locations. At Nadia the order was Gobindabhog, Kalojira and Radhunipagal. At Purba Bardhaman the order was Radhunipagal, Gobindabhog and Kalojira. At Birbhum/Howrah the order was Kalojira, Gobindabhog and Radhunipagal.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highly significant. The highest mean was 47.55 for Purba Bardhaman at 12 months. The lowest was 22.41 for Nadia at fresh paddy. Between fresh paddy and 12 months of storage the change was +103.8% at Nadia, +86.4% at Purba Bardhaman, +33.7% at Birbhum/Howrah. Grain from Birbhum/Howrah changed the most and grain from Nadia the least. The spread was 70.1 percentage points. The rate of change during storage was therefore not the same at all three locations.</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highly significant. The highest mean was 46.81 for Radhunipagal at 4 months. The lowest was 26.08 for Radhunipagal at fresh paddy. Over the twelve months the change was +71.2% in Gobindabhog, +77.2% in Radhunipagal, +60.7% in Kalojira. Kalojira moved the furthest and Radhunipagal the least. The three landraces did not lose or gain at the same rate during storage.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highly significant. Out of the thirty six treatment combinations the highest value of 49.74 was recorded by Radhunipagal grown at Purba Bardhaman and sampled at 8 months. The lowest value of 18.82 came from Radhunipagal grown at Nadia and sampled at fresh paddy. The spread between these two cells was 30.92.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22. Effect of location, variety and storage period on Total Colour Difference (ΔE)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24.63</w:t>
            </w:r>
            <w:r>
              <w:rPr>
                <w:rFonts w:ascii="Times New Roman" w:cs="Times New Roman" w:eastAsia="Times New Roman" w:hAnsi="Times New Roman"/>
                <w:b w:val="false"/>
                <w:bCs w:val="false"/>
                <w:i w:val="false"/>
                <w:iCs w:val="false"/>
                <w:sz w:val="20"/>
                <w:szCs w:val="20"/>
                <w:vertAlign w:val="superscript"/>
              </w:rPr>
              <w:t xml:space="preserve">r</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44.43</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46.57</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46.11</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40.43</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18.82</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47.54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44.10</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44.58</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38.76</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23.78</w:t>
            </w:r>
            <w:r>
              <w:rPr>
                <w:rFonts w:ascii="Times New Roman" w:cs="Times New Roman" w:eastAsia="Times New Roman" w:hAnsi="Times New Roman"/>
                <w:b w:val="false"/>
                <w:bCs w:val="false"/>
                <w:i w:val="false"/>
                <w:iCs w:val="false"/>
                <w:sz w:val="20"/>
                <w:szCs w:val="20"/>
                <w:vertAlign w:val="superscript"/>
              </w:rPr>
              <w:t xml:space="preserve">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43.54</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45.84</w:t>
            </w:r>
            <w:r>
              <w:rPr>
                <w:rFonts w:ascii="Times New Roman" w:cs="Times New Roman" w:eastAsia="Times New Roman" w:hAnsi="Times New Roman"/>
                <w:b w:val="false"/>
                <w:bCs w:val="false"/>
                <w:i w:val="false"/>
                <w:iCs w:val="false"/>
                <w:sz w:val="20"/>
                <w:szCs w:val="20"/>
                <w:vertAlign w:val="superscript"/>
              </w:rPr>
              <w:t xml:space="preserve">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46.33</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39.87</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20.58</w:t>
            </w:r>
            <w:r>
              <w:rPr>
                <w:rFonts w:ascii="Times New Roman" w:cs="Times New Roman" w:eastAsia="Times New Roman" w:hAnsi="Times New Roman"/>
                <w:b w:val="false"/>
                <w:bCs w:val="false"/>
                <w:i w:val="false"/>
                <w:iCs w:val="false"/>
                <w:sz w:val="20"/>
                <w:szCs w:val="20"/>
                <w:vertAlign w:val="superscript"/>
              </w:rPr>
              <w:t xml:space="preserve">u</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46.76</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45.97</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47.12</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40.11</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36.99</w:t>
            </w:r>
            <w:r>
              <w:rPr>
                <w:rFonts w:ascii="Times New Roman" w:cs="Times New Roman" w:eastAsia="Times New Roman" w:hAnsi="Times New Roman"/>
                <w:b w:val="false"/>
                <w:bCs w:val="false"/>
                <w:i w:val="false"/>
                <w:iCs w:val="false"/>
                <w:sz w:val="20"/>
                <w:szCs w:val="20"/>
                <w:vertAlign w:val="superscript"/>
              </w:rPr>
              <w:t xml:space="preserve">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46.81</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49.74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48.70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45.56</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18.96</w:t>
            </w:r>
            <w:r>
              <w:rPr>
                <w:rFonts w:ascii="Times New Roman" w:cs="Times New Roman" w:eastAsia="Times New Roman" w:hAnsi="Times New Roman"/>
                <w:b w:val="false"/>
                <w:bCs w:val="false"/>
                <w:i w:val="false"/>
                <w:iCs w:val="false"/>
                <w:sz w:val="20"/>
                <w:szCs w:val="20"/>
                <w:vertAlign w:val="superscript"/>
              </w:rPr>
              <w:t xml:space="preserve">v</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48.36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45.61</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46.83</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39.94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35.89</w:t>
            </w:r>
            <w:r>
              <w:rPr>
                <w:rFonts w:ascii="Times New Roman" w:cs="Times New Roman" w:eastAsia="Times New Roman" w:hAnsi="Times New Roman"/>
                <w:b w:val="false"/>
                <w:bCs w:val="false"/>
                <w:i w:val="false"/>
                <w:iCs w:val="false"/>
                <w:sz w:val="20"/>
                <w:szCs w:val="20"/>
                <w:vertAlign w:val="superscript"/>
              </w:rPr>
              <w:t xml:space="preserve">q</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47.44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44.64</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45.62</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43.40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22.43</w:t>
            </w:r>
            <w:r>
              <w:rPr>
                <w:rFonts w:ascii="Times New Roman" w:cs="Times New Roman" w:eastAsia="Times New Roman" w:hAnsi="Times New Roman"/>
                <w:b w:val="false"/>
                <w:bCs w:val="false"/>
                <w:i w:val="false"/>
                <w:iCs w:val="false"/>
                <w:sz w:val="20"/>
                <w:szCs w:val="20"/>
                <w:vertAlign w:val="superscript"/>
              </w:rPr>
              <w:t xml:space="preserve">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46.07</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45.92</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45.32</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39.94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42.92</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43.75</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43.03</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44.47</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43.54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22.41</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45.17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45.50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45.67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39.69</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25.51</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47.31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47.11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47.55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41.87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33.75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45.75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44.53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45.14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42.29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27.03</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46.21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45.73</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46.28</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41.31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26.08</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46.81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46.59</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46.20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41.42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28.55</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45.22</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44.83</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45.88</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41.12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27.22</w:t>
            </w:r>
            <w:r>
              <w:rPr>
                <w:rFonts w:ascii="Times New Roman" w:cs="Times New Roman" w:eastAsia="Times New Roman" w:hAnsi="Times New Roman"/>
                <w:b/>
                <w:bCs/>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46.08</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45.71</w:t>
            </w:r>
            <w:r>
              <w:rPr>
                <w:rFonts w:ascii="Times New Roman" w:cs="Times New Roman" w:eastAsia="Times New Roman" w:hAnsi="Times New Roman"/>
                <w:b/>
                <w:bCs/>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46.12</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41.28</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41.28.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0.263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0.303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0.303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1.115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 L × V: **; L × S: **; V × S: **;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The total colour difference is a composite of the three colour coordinates, so its behaviour follows arithmetically from theirs and it adds no independent information. The large increase between fresh and stored grain is driven almost entirely by the rise in yellowness and the movement away from green that accompany post-harvest curing. The more informative observation is the plateau that followed: once the initial transition was complete, overall colour held steady for the remainder of the year, which agrees with the stability of the individual coordinates reported by Yanxia et al. (2018). For the trade this means that stored aromatic rice is unlikely to be rejected on colour within a year, provided moisture is controlled. The differences between growing places most probably reflect how far each lot began from the reference colour rather than any difference in the rate of curing. A single composite index of this kind is a convenient basis for objective grading (Kumaresh et al., 2020).</w:t>
      </w:r>
    </w:p>
    <w:p>
      <w:r>
        <w:br w:type="page"/>
      </w:r>
    </w:p>
    <w:p>
      <w:pPr>
        <w:pStyle w:val="Heading1"/>
        <w:spacing w:after="130" w:before="260"/>
      </w:pPr>
      <w:r>
        <w:rPr>
          <w:rFonts w:ascii="Times New Roman" w:cs="Times New Roman" w:eastAsia="Times New Roman" w:hAnsi="Times New Roman"/>
          <w:b/>
          <w:bCs/>
          <w:color w:val="000000"/>
          <w:sz w:val="24"/>
          <w:szCs w:val="24"/>
        </w:rPr>
        <w:t xml:space="preserve">4.6 Grain minerals</w:t>
      </w:r>
    </w:p>
    <w:p>
      <w:pPr>
        <w:spacing w:after="140" w:line="300"/>
        <w:jc w:val="both"/>
      </w:pPr>
      <w:r>
        <w:rPr>
          <w:rFonts w:ascii="Times New Roman" w:cs="Times New Roman" w:eastAsia="Times New Roman" w:hAnsi="Times New Roman"/>
          <w:b w:val="false"/>
          <w:bCs w:val="false"/>
          <w:i w:val="false"/>
          <w:iCs w:val="false"/>
          <w:sz w:val="22"/>
          <w:szCs w:val="22"/>
        </w:rPr>
        <w:t xml:space="preserve">The main effect means for all parameters in this section are brought together in Table 23. The individual parameters, with their interaction means, standard errors and critical differences, follow.</w:t>
      </w:r>
    </w:p>
    <w:p>
      <w:pPr>
        <w:spacing w:after="90" w:before="200"/>
        <w:jc w:val="left"/>
      </w:pPr>
      <w:r>
        <w:rPr>
          <w:rFonts w:ascii="Times New Roman" w:cs="Times New Roman" w:eastAsia="Times New Roman" w:hAnsi="Times New Roman"/>
          <w:b/>
          <w:bCs/>
          <w:sz w:val="19"/>
          <w:szCs w:val="19"/>
        </w:rPr>
        <w:t xml:space="preserve">Table 23. Main effect means of location, variety and storage period for the grain minerals of three aromatic rice landraces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690"/>
        <w:gridCol w:w="690"/>
        <w:gridCol w:w="690"/>
        <w:gridCol w:w="690"/>
        <w:gridCol w:w="690"/>
        <w:gridCol w:w="690"/>
        <w:gridCol w:w="690"/>
        <w:gridCol w:w="690"/>
        <w:gridCol w:w="690"/>
        <w:gridCol w:w="690"/>
      </w:tblGrid>
      <w:tr>
        <w:trPr>
          <w:tblHeader/>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Parameter</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Copper (mg/kg)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0.037</w:t>
            </w:r>
            <w:r>
              <w:rPr>
                <w:rFonts w:ascii="Times New Roman" w:cs="Times New Roman" w:eastAsia="Times New Roman" w:hAnsi="Times New Roman"/>
                <w:b w:val="false"/>
                <w:bCs w:val="false"/>
                <w:i w:val="false"/>
                <w:iCs w:val="false"/>
                <w:sz w:val="20"/>
                <w:szCs w:val="20"/>
                <w:vertAlign w:val="superscript"/>
              </w:rPr>
              <w:t xml:space="preserve">a</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Iron (mg/kg)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0.292</w:t>
            </w:r>
            <w:r>
              <w:rPr>
                <w:rFonts w:ascii="Times New Roman" w:cs="Times New Roman" w:eastAsia="Times New Roman" w:hAnsi="Times New Roman"/>
                <w:b w:val="false"/>
                <w:bCs w:val="false"/>
                <w:i w:val="false"/>
                <w:iCs w:val="false"/>
                <w:sz w:val="20"/>
                <w:szCs w:val="20"/>
                <w:vertAlign w:val="superscript"/>
              </w:rPr>
              <w:t xml:space="preserve">a</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Zinc (mg/kg)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0.530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0.524</w:t>
            </w:r>
            <w:r>
              <w:rPr>
                <w:rFonts w:ascii="Times New Roman" w:cs="Times New Roman" w:eastAsia="Times New Roman" w:hAnsi="Times New Roman"/>
                <w:b w:val="false"/>
                <w:bCs w:val="false"/>
                <w:i w:val="false"/>
                <w:iCs w:val="false"/>
                <w:sz w:val="20"/>
                <w:szCs w:val="20"/>
                <w:vertAlign w:val="superscript"/>
              </w:rPr>
              <w:t xml:space="preserve">b</w:t>
            </w:r>
          </w:p>
        </w:tc>
      </w:tr>
      <w:tr>
        <w:trPr>
          <w:cantSplit/>
        </w:trPr>
        <w:tc>
          <w:tcPr>
            <w:tcW w:type="dxa" w:w="212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Manganese (mg/kg)</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69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w:t>
            </w:r>
          </w:p>
        </w:tc>
      </w:tr>
    </w:tbl>
    <w:p>
      <w:pPr>
        <w:spacing w:after="190" w:before="70"/>
        <w:jc w:val="left"/>
      </w:pPr>
      <w:r>
        <w:rPr>
          <w:rFonts w:ascii="Times New Roman" w:cs="Times New Roman" w:eastAsia="Times New Roman" w:hAnsi="Times New Roman"/>
          <w:i/>
          <w:iCs/>
          <w:sz w:val="17"/>
          <w:szCs w:val="17"/>
        </w:rPr>
        <w:t xml:space="preserve">Means followed by a common letter within a factor and row are not significantly different at P = 0.05 (LSD). L1, L2 and L3 denote Nadia, Purba Bardhaman and Birbhum/Howrah; V1, V2 and V3 denote Gobindabhog, Radhunipagal and Kalojira; S1 to S4 denote storage for zero, four, eight and twelve months. Standard errors and critical differences for each parameter are given with its individual table.</w:t>
      </w:r>
    </w:p>
    <w:p>
      <w:pPr>
        <w:pStyle w:val="Heading2"/>
        <w:spacing w:after="130" w:before="260"/>
      </w:pPr>
      <w:r>
        <w:rPr>
          <w:rFonts w:ascii="Times New Roman" w:cs="Times New Roman" w:eastAsia="Times New Roman" w:hAnsi="Times New Roman"/>
          <w:b/>
          <w:bCs/>
          <w:color w:val="000000"/>
          <w:sz w:val="23"/>
          <w:szCs w:val="23"/>
        </w:rPr>
        <w:t xml:space="preserve">4.6.1 Copper (mg/kg)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copper, and the effect of location was highly significant. The highest value of 0.051 mg/kg was recorded at Nadia. Purba Bardhaman came next with 0.035 mg/kg and Birbhum/Howrah gave the lowest value of 0.025 mg/kg. All three locations fell into separate letter groups. Each location differed from the other two. The gap between the best and the poorest location was 0.026 mg/kg.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Kalojira recorded the highest value of 0.039 mg/kg, followed by Gobindabhog with 0.038 mg/kg and Radhunipagal with 0.034 mg/kg. Each landrace occupied its own letter group. Kalojira exceeded Radhunipagal by 0.004 mg/kg.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copper. The effect was not significant. Taken in order of sampling date, the values were 0.037 mg/kg in fresh paddy, 0.037 mg/kg at 4 months, 0.037 mg/kg at 8 months and 0.037 mg/kg at 12 months. Over the full year the value fell by 0.7%. The highest value came from fresh paddy and the lowest from 4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Radhunipagal at Nadia with 0.059 mg/kg. The poorest was Radhunipagal at Birbhum/Howrah with 0.018 mg/kg. The ranking of the landraces did not stay the same across locations. At Nadia the order was Radhunipagal, Gobindabhog and Kalojira. At Purba Bardhaman the order was Kalojira, Gobindabhog and Radhunipagal. At Birbhum/Howrah the order was Kalojira, Gobindabhog and Radhunipagal.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not significant. The highest mean was 0.052 mg/kg for Nadia at fresh paddy. The lowest was 0.024 mg/kg for Birbhum/Howrah at fresh paddy. Between fresh paddy and 12 months of storage the change was -3.3% at Nadia, -0.4% at Purba Bardhaman, +4.5%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not significant. The highest mean was 0.040 mg/kg for Kalojira at 8 months. The lowest was 0.033 mg/kg for Radhunipagal at 8 months. Over the twelve months the change was -0.6% in Gobindabhog, -0.3% in Radhunipagal, -1.2%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not significant. Out of the thirty six treatment combinations the highest value of 0.060 mg/kg was recorded by Radhunipagal grown at Nadia and sampled at 4 months. The lowest value of 0.018 mg/kg came from Radhunipagal grown at Birbhum/Howrah and sampled at 8 months. This interaction was not significant. These two extreme cells should not be read as real differences on their own. The main effects give the safer picture.</w:t>
      </w:r>
    </w:p>
    <w:p>
      <w:pPr>
        <w:spacing w:after="90" w:before="200"/>
        <w:jc w:val="left"/>
      </w:pPr>
      <w:r>
        <w:rPr>
          <w:rFonts w:ascii="Times New Roman" w:cs="Times New Roman" w:eastAsia="Times New Roman" w:hAnsi="Times New Roman"/>
          <w:b/>
          <w:bCs/>
          <w:sz w:val="19"/>
          <w:szCs w:val="19"/>
        </w:rPr>
        <w:t xml:space="preserve">Table 24. Effect of location, variety and storage period on Copper (mg/kg)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0.052</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0.053</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0.052</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0.042</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0.040</w:t>
            </w:r>
            <w:r>
              <w:rPr>
                <w:rFonts w:ascii="Times New Roman" w:cs="Times New Roman" w:eastAsia="Times New Roman" w:hAnsi="Times New Roman"/>
                <w:b w:val="false"/>
                <w:bCs w:val="false"/>
                <w:i w:val="false"/>
                <w:iCs w:val="false"/>
                <w:sz w:val="20"/>
                <w:szCs w:val="20"/>
                <w:vertAlign w:val="superscript"/>
              </w:rPr>
              <w:t xml:space="preserve">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0.041</w:t>
            </w:r>
            <w:r>
              <w:rPr>
                <w:rFonts w:ascii="Times New Roman" w:cs="Times New Roman" w:eastAsia="Times New Roman" w:hAnsi="Times New Roman"/>
                <w:b w:val="false"/>
                <w:bCs w:val="false"/>
                <w:i w:val="false"/>
                <w:iCs w:val="false"/>
                <w:sz w:val="20"/>
                <w:szCs w:val="20"/>
                <w:vertAlign w:val="superscript"/>
              </w:rPr>
              <w:t xml:space="preserve">defg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0.039</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0.037</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0.039</w:t>
            </w:r>
            <w:r>
              <w:rPr>
                <w:rFonts w:ascii="Times New Roman" w:cs="Times New Roman" w:eastAsia="Times New Roman" w:hAnsi="Times New Roman"/>
                <w:b w:val="false"/>
                <w:bCs w:val="false"/>
                <w:i w:val="false"/>
                <w:iCs w:val="false"/>
                <w:sz w:val="20"/>
                <w:szCs w:val="20"/>
                <w:vertAlign w:val="superscript"/>
              </w:rPr>
              <w:t xml:space="preserve">fgh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0.024</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0.026</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0.042</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0.041</w:t>
            </w:r>
            <w:r>
              <w:rPr>
                <w:rFonts w:ascii="Times New Roman" w:cs="Times New Roman" w:eastAsia="Times New Roman" w:hAnsi="Times New Roman"/>
                <w:b w:val="false"/>
                <w:bCs w:val="false"/>
                <w:i w:val="false"/>
                <w:iCs w:val="false"/>
                <w:sz w:val="20"/>
                <w:szCs w:val="20"/>
                <w:vertAlign w:val="superscript"/>
              </w:rPr>
              <w:t xml:space="preserve">defg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0.042</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0.041</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0.021</w:t>
            </w:r>
            <w:r>
              <w:rPr>
                <w:rFonts w:ascii="Times New Roman" w:cs="Times New Roman" w:eastAsia="Times New Roman" w:hAnsi="Times New Roman"/>
                <w:b w:val="false"/>
                <w:bCs w:val="false"/>
                <w:i w:val="false"/>
                <w:iCs w:val="false"/>
                <w:sz w:val="20"/>
                <w:szCs w:val="20"/>
                <w:vertAlign w:val="superscript"/>
              </w:rPr>
              <w:t xml:space="preserve">mn</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0.024</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0.023</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0.022</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0.018</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0.019</w:t>
            </w:r>
            <w:r>
              <w:rPr>
                <w:rFonts w:ascii="Times New Roman" w:cs="Times New Roman" w:eastAsia="Times New Roman" w:hAnsi="Times New Roman"/>
                <w:b w:val="false"/>
                <w:bCs w:val="false"/>
                <w:i w:val="false"/>
                <w:iCs w:val="false"/>
                <w:sz w:val="20"/>
                <w:szCs w:val="20"/>
                <w:vertAlign w:val="superscript"/>
              </w:rPr>
              <w:t xml:space="preserve">no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0.018</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0.018</w:t>
            </w:r>
            <w:r>
              <w:rPr>
                <w:rFonts w:ascii="Times New Roman" w:cs="Times New Roman" w:eastAsia="Times New Roman" w:hAnsi="Times New Roman"/>
                <w:b w:val="false"/>
                <w:bCs w:val="false"/>
                <w:i w:val="false"/>
                <w:iCs w:val="false"/>
                <w:sz w:val="20"/>
                <w:szCs w:val="20"/>
                <w:vertAlign w:val="superscript"/>
              </w:rPr>
              <w:t xml:space="preserve">o</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0.018</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0.033</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0.024</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0.025</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0.034</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0.039</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0.039</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0.037</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0.037</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0.037</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0.037</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0.037</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0.037.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0.0003</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5.849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NS; L × V: **;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Copper concentration was unaffected by storage, which is exactly what theory predicts, since mineral elements are neither synthesised nor lost from intact grain held under ambient conditions. This result is useful as an internal check: it indicates that the analytical procedure was sound and that the changes recorded for other traits are real effects rather than laboratory drift. Grain mineral concentration is settled during the growing season by root uptake and translocation to the developing panicle, so the differences between places are most probably due to the copper status of the three soils and to the chemical conditions governing its availability to the plant. That the landrace ranking changed from one place to another suggests that the three differ in how efficiently they take up copper from different soils, and no single landrace can therefore be recommended as the best accumulator without naming the soil. Li et al. (2018) similarly found grain composition to respond jointly to genotype and to the conditions of the growing area.</w:t>
      </w:r>
    </w:p>
    <w:p>
      <w:pPr>
        <w:pStyle w:val="Heading2"/>
        <w:spacing w:after="130" w:before="260"/>
      </w:pPr>
      <w:r>
        <w:rPr>
          <w:rFonts w:ascii="Times New Roman" w:cs="Times New Roman" w:eastAsia="Times New Roman" w:hAnsi="Times New Roman"/>
          <w:b/>
          <w:bCs/>
          <w:color w:val="000000"/>
          <w:sz w:val="23"/>
          <w:szCs w:val="23"/>
        </w:rPr>
        <w:t xml:space="preserve">4.6.2 Iron (mg/kg)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iron, and the effect of location was highly significant. The highest value of 0.481 mg/kg was recorded at Birbhum/Howrah. Nadia came next with 0.227 mg/kg and Purba Bardhaman gave the lowest value of 0.171 mg/kg. All three locations fell into separate letter groups. Each location differed from the other two. The gap between the best and the poorest location was 0.309 mg/kg.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Gobindabhog recorded the highest value of 0.525 mg/kg, followed by Radhunipagal with 0.224 mg/kg and Kalojira with 0.130 mg/kg. Each landrace occupied its own letter group. Gobindabhog exceeded Kalojira by 0.395 mg/kg.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iron. The effect was not significant. Taken in order of sampling date, the values were 0.293 mg/kg in fresh paddy, 0.293 mg/kg at 4 months, 0.294 mg/kg at 8 months and 0.292 mg/kg at 12 months. Over the full year the value fell by 0.5%. The highest value came from 8 months and the lowest from 12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Gobindabhog at Birbhum/Howrah with 1.338 mg/kg. The poorest was Radhunipagal at Birbhum/Howrah with 0.049 mg/kg. The ranking of the landraces did not stay the same across locations. At Nadia the order was Radhunipagal, Kalojira and Gobindabhog. At Purba Bardhaman the order was Radhunipagal, Gobindabhog and Kalojira. At Birbhum/Howrah the order was Gobindabhog, Kalojira and Radhunipagal.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not significant. The highest mean was 0.482 mg/kg for Birbhum/Howrah at 4 months. The lowest was 0.169 mg/kg for Purba Bardhaman at 12 months. Between fresh paddy and 12 months of storage the change was -1.2% at Nadia, -1.8% at Purba Bardhaman, +0.4%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not significant. The highest mean was 0.527 mg/kg for Gobindabhog at 8 months. The lowest was 0.126 mg/kg for Kalojira at 12 months. Over the twelve months the change was +0.0% in Gobindabhog, +0.8% in Radhunipagal, -4.6%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not significant. Out of the thirty six treatment combinations the highest value of 1.341 mg/kg was recorded by Gobindabhog grown at Birbhum/Howrah and sampled at 4 months. The lowest value of 0.048 mg/kg came from Radhunipagal grown at Birbhum/Howrah and sampled at 8 months. This interaction was not significant. These two extreme cells should not be read as real differences on their own. The main effects give the safer picture.</w:t>
      </w:r>
    </w:p>
    <w:p>
      <w:pPr>
        <w:spacing w:after="90" w:before="200"/>
        <w:jc w:val="left"/>
      </w:pPr>
      <w:r>
        <w:rPr>
          <w:rFonts w:ascii="Times New Roman" w:cs="Times New Roman" w:eastAsia="Times New Roman" w:hAnsi="Times New Roman"/>
          <w:b/>
          <w:bCs/>
          <w:sz w:val="19"/>
          <w:szCs w:val="19"/>
        </w:rPr>
        <w:t xml:space="preserve">Table 25. Effect of location, variety and storage period on Iron (mg/kg)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0.066</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0.068</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0.070</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0.068</w:t>
            </w:r>
            <w:r>
              <w:rPr>
                <w:rFonts w:ascii="Times New Roman" w:cs="Times New Roman" w:eastAsia="Times New Roman" w:hAnsi="Times New Roman"/>
                <w:b w:val="false"/>
                <w:bCs w:val="false"/>
                <w:i w:val="false"/>
                <w:iCs w:val="false"/>
                <w:sz w:val="20"/>
                <w:szCs w:val="20"/>
                <w:vertAlign w:val="superscript"/>
              </w:rPr>
              <w:t xml:space="preserve">jkl</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0.068</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0.190</w:t>
            </w:r>
            <w:r>
              <w:rPr>
                <w:rFonts w:ascii="Times New Roman" w:cs="Times New Roman" w:eastAsia="Times New Roman" w:hAnsi="Times New Roman"/>
                <w:b w:val="false"/>
                <w:bCs w:val="false"/>
                <w:i w:val="false"/>
                <w:iCs w:val="false"/>
                <w:sz w:val="20"/>
                <w:szCs w:val="20"/>
                <w:vertAlign w:val="superscript"/>
              </w:rPr>
              <w:t xml:space="preserve">cde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0.182</w:t>
            </w:r>
            <w:r>
              <w:rPr>
                <w:rFonts w:ascii="Times New Roman" w:cs="Times New Roman" w:eastAsia="Times New Roman" w:hAnsi="Times New Roman"/>
                <w:b w:val="false"/>
                <w:bCs w:val="false"/>
                <w:i w:val="false"/>
                <w:iCs w:val="false"/>
                <w:sz w:val="20"/>
                <w:szCs w:val="20"/>
                <w:vertAlign w:val="superscript"/>
              </w:rPr>
              <w:t xml:space="preserve">def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0.178</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0.187</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0.170</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0.169</w:t>
            </w:r>
            <w:r>
              <w:rPr>
                <w:rFonts w:ascii="Times New Roman" w:cs="Times New Roman" w:eastAsia="Times New Roman" w:hAnsi="Times New Roman"/>
                <w:b w:val="false"/>
                <w:bCs w:val="false"/>
                <w:i w:val="false"/>
                <w:iCs w:val="false"/>
                <w:sz w:val="20"/>
                <w:szCs w:val="20"/>
                <w:vertAlign w:val="superscript"/>
              </w:rPr>
              <w:t xml:space="preserv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0.177</w:t>
            </w:r>
            <w:r>
              <w:rPr>
                <w:rFonts w:ascii="Times New Roman" w:cs="Times New Roman" w:eastAsia="Times New Roman" w:hAnsi="Times New Roman"/>
                <w:b w:val="false"/>
                <w:bCs w:val="false"/>
                <w:i w:val="false"/>
                <w:iCs w:val="false"/>
                <w:sz w:val="20"/>
                <w:szCs w:val="20"/>
                <w:vertAlign w:val="superscript"/>
              </w:rPr>
              <w:t xml:space="preserve">efg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0.164</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0.170</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0.195</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0.195</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0.151</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0.146</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0.147</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0.145</w:t>
            </w:r>
            <w:r>
              <w:rPr>
                <w:rFonts w:ascii="Times New Roman" w:cs="Times New Roman" w:eastAsia="Times New Roman" w:hAnsi="Times New Roman"/>
                <w:b w:val="false"/>
                <w:bCs w:val="false"/>
                <w:i w:val="false"/>
                <w:iCs w:val="false"/>
                <w:sz w:val="20"/>
                <w:szCs w:val="20"/>
                <w:vertAlign w:val="superscript"/>
              </w:rPr>
              <w:t xml:space="preserve">i</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0.147</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1.341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1.340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1.338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0.049</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0.050</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0.049</w:t>
            </w:r>
            <w:r>
              <w:rPr>
                <w:rFonts w:ascii="Times New Roman" w:cs="Times New Roman" w:eastAsia="Times New Roman" w:hAnsi="Times New Roman"/>
                <w:b w:val="false"/>
                <w:bCs w:val="false"/>
                <w:i w:val="false"/>
                <w:iCs w:val="false"/>
                <w:sz w:val="20"/>
                <w:szCs w:val="20"/>
                <w:vertAlign w:val="superscript"/>
              </w:rPr>
              <w:t xml:space="preserve">i</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0.056</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0.057</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0.054</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0.056</w:t>
            </w:r>
            <w:r>
              <w:rPr>
                <w:rFonts w:ascii="Times New Roman" w:cs="Times New Roman" w:eastAsia="Times New Roman" w:hAnsi="Times New Roman"/>
                <w:b w:val="false"/>
                <w:bCs w:val="false"/>
                <w:i w:val="false"/>
                <w:iCs w:val="false"/>
                <w:sz w:val="20"/>
                <w:szCs w:val="20"/>
                <w:vertAlign w:val="superscript"/>
              </w:rPr>
              <w:t xml:space="preserve">jklm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0.056</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0.169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0.171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0.479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0.481</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0.525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0.224</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0.130</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0.293</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0.293</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0.294</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0.292</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0.293</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0.293.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0.0039</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0.0067</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0.0135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4.031</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NS; L × V: **;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Iron deficiency is among the most widespread nutritional problems in India and rice is a poor source of the element, so the wide varietal differences recorded here are of practical interest and identify the leading landrace as a candidate for work aimed at raising grain iron (Perera et al., 2018). As expected for a mineral, storage had no effect. That stability should be read alongside the fall in phytic acid over the same period, because phytate is the main barrier to the absorption of non-haem iron; as the ratio of phytate to iron improves, aged grain should deliver more usable iron even though its total iron is unchanged (Fukushima et al., 2020). The differences between growing places most probably reflect the contrasting soils of the state, since iron is more available in lateritic soils than in alluvial ones. The reversal of the landrace ranking between places is a caution against judging grain iron from a single location, and is consistent with the strong influence of growing area on grain composition reported by Li et al. (2018).</w:t>
      </w:r>
    </w:p>
    <w:p>
      <w:pPr>
        <w:pStyle w:val="Heading2"/>
        <w:spacing w:after="130" w:before="260"/>
      </w:pPr>
      <w:r>
        <w:rPr>
          <w:rFonts w:ascii="Times New Roman" w:cs="Times New Roman" w:eastAsia="Times New Roman" w:hAnsi="Times New Roman"/>
          <w:b/>
          <w:bCs/>
          <w:color w:val="000000"/>
          <w:sz w:val="23"/>
          <w:szCs w:val="23"/>
        </w:rPr>
        <w:t xml:space="preserve">4.6.3 Zinc (mg/kg)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zinc, and the effect of location was highly significant. The highest value of 0.748 mg/kg was recorded at Nadia. Purba Bardhaman came next with 0.438 mg/kg and Birbhum/Howrah gave the lowest value of 0.397 mg/kg. All three locations fell into separate letter groups. Each location differed from the other two. The gap between the best and the poorest location was 0.351 mg/kg.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Radhunipagal recorded the highest value of 0.708 mg/kg, followed by Kalojira with 0.486 mg/kg and Gobindabhog with 0.388 mg/kg. Each landrace occupied its own letter group. Radhunipagal exceeded Gobindabhog by 0.320 mg/kg.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zinc. The effect was not significant. Taken in order of sampling date, the values were 0.530 mg/kg in fresh paddy, 0.528 mg/kg at 4 months, 0.528 mg/kg at 8 months and 0.524 mg/kg at 12 months. Over the full year the value fell by 1.1%. The highest value came from fresh paddy and the lowest from 12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Radhunipagal at Nadia with 1.375 mg/kg. The poorest was Gobindabhog at Birbhum/Howrah with 0.343 mg/kg. The ranking of the landraces did not stay the same across locations. At Nadia the order was Radhunipagal, Kalojira and Gobindabhog. At Purba Bardhaman the order was Kalojira, Gobindabhog and Radhunipagal. At Birbhum/Howrah the order was Kalojira, Radhunipagal and Gobindabhog.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not significant. The highest mean was 0.753 mg/kg for Nadia at fresh paddy. The lowest was 0.395 mg/kg for Birbhum/Howrah at 12 months. Between fresh paddy and 12 months of storage the change was -1.9% at Nadia, -0.4% at Purba Bardhaman, -0.6%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not significant. The highest mean was 0.712 mg/kg for Radhunipagal at fresh paddy. The lowest was 0.383 mg/kg for Gobindabhog at 12 months. Over the twelve months the change was -2.0% in Gobindabhog, -0.5% in Radhunipagal, -1.3%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significant. Out of the thirty six treatment combinations the highest value of 1.382 mg/kg was recorded by Radhunipagal grown at Nadia and sampled at fresh paddy. The lowest value of 0.333 mg/kg came from Gobindabhog grown at Birbhum/Howrah and sampled at 12 months. The spread between these two cells was 1.049 mg/kg. This is much wider than the spread of any single factor on its own. Location, landrace and storage period acted together. The best result can only be obtained by fixing all three at the right level.</w:t>
      </w:r>
    </w:p>
    <w:p>
      <w:pPr>
        <w:spacing w:after="90" w:before="200"/>
        <w:jc w:val="left"/>
      </w:pPr>
      <w:r>
        <w:rPr>
          <w:rFonts w:ascii="Times New Roman" w:cs="Times New Roman" w:eastAsia="Times New Roman" w:hAnsi="Times New Roman"/>
          <w:b/>
          <w:bCs/>
          <w:sz w:val="19"/>
          <w:szCs w:val="19"/>
        </w:rPr>
        <w:t xml:space="preserve">Table 26. Effect of location, variety and storage period on Zinc (mg/kg)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0.408</w:t>
            </w:r>
            <w:r>
              <w:rPr>
                <w:rFonts w:ascii="Times New Roman" w:cs="Times New Roman" w:eastAsia="Times New Roman" w:hAnsi="Times New Roman"/>
                <w:b w:val="false"/>
                <w:bCs w:val="false"/>
                <w:i w:val="false"/>
                <w:iCs w:val="false"/>
                <w:sz w:val="20"/>
                <w:szCs w:val="20"/>
                <w:vertAlign w:val="superscript"/>
              </w:rPr>
              <w:t xml:space="preserve">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0.414</w:t>
            </w:r>
            <w:r>
              <w:rPr>
                <w:rFonts w:ascii="Times New Roman" w:cs="Times New Roman" w:eastAsia="Times New Roman" w:hAnsi="Times New Roman"/>
                <w:b w:val="false"/>
                <w:bCs w:val="false"/>
                <w:i w:val="false"/>
                <w:iCs w:val="false"/>
                <w:sz w:val="20"/>
                <w:szCs w:val="20"/>
                <w:vertAlign w:val="superscript"/>
              </w:rPr>
              <w:t xml:space="preserve">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0.409</w:t>
            </w:r>
            <w:r>
              <w:rPr>
                <w:rFonts w:ascii="Times New Roman" w:cs="Times New Roman" w:eastAsia="Times New Roman" w:hAnsi="Times New Roman"/>
                <w:b w:val="false"/>
                <w:bCs w:val="false"/>
                <w:i w:val="false"/>
                <w:iCs w:val="false"/>
                <w:sz w:val="20"/>
                <w:szCs w:val="20"/>
                <w:vertAlign w:val="superscript"/>
              </w:rPr>
              <w:t xml:space="preserve">ghi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0.400</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0.408</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1.369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1.380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1.369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1.375</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0.469</w:t>
            </w:r>
            <w:r>
              <w:rPr>
                <w:rFonts w:ascii="Times New Roman" w:cs="Times New Roman" w:eastAsia="Times New Roman" w:hAnsi="Times New Roman"/>
                <w:b w:val="false"/>
                <w:bCs w:val="false"/>
                <w:i w:val="false"/>
                <w:iCs w:val="false"/>
                <w:sz w:val="20"/>
                <w:szCs w:val="20"/>
                <w:vertAlign w:val="superscript"/>
              </w:rPr>
              <w:t xml:space="preserve">de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0.471</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0.454</w:t>
            </w:r>
            <w:r>
              <w:rPr>
                <w:rFonts w:ascii="Times New Roman" w:cs="Times New Roman" w:eastAsia="Times New Roman" w:hAnsi="Times New Roman"/>
                <w:b w:val="false"/>
                <w:bCs w:val="false"/>
                <w:i w:val="false"/>
                <w:iCs w:val="false"/>
                <w:sz w:val="20"/>
                <w:szCs w:val="20"/>
                <w:vertAlign w:val="superscript"/>
              </w:rPr>
              <w:t xml:space="preserve">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0.448</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0.461</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0.419</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0.418</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0.407</w:t>
            </w:r>
            <w:r>
              <w:rPr>
                <w:rFonts w:ascii="Times New Roman" w:cs="Times New Roman" w:eastAsia="Times New Roman" w:hAnsi="Times New Roman"/>
                <w:b w:val="false"/>
                <w:bCs w:val="false"/>
                <w:i w:val="false"/>
                <w:iCs w:val="false"/>
                <w:sz w:val="20"/>
                <w:szCs w:val="20"/>
                <w:vertAlign w:val="superscript"/>
              </w:rPr>
              <w:t xml:space="preserve">ghij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0.414</w:t>
            </w:r>
            <w:r>
              <w:rPr>
                <w:rFonts w:ascii="Times New Roman" w:cs="Times New Roman" w:eastAsia="Times New Roman" w:hAnsi="Times New Roman"/>
                <w:b w:val="false"/>
                <w:bCs w:val="false"/>
                <w:i w:val="false"/>
                <w:iCs w:val="false"/>
                <w:sz w:val="20"/>
                <w:szCs w:val="20"/>
                <w:vertAlign w:val="superscript"/>
              </w:rPr>
              <w:t xml:space="preserve">gh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0.415</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0.399</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0.401</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0.393</w:t>
            </w:r>
            <w:r>
              <w:rPr>
                <w:rFonts w:ascii="Times New Roman" w:cs="Times New Roman" w:eastAsia="Times New Roman" w:hAnsi="Times New Roman"/>
                <w:b w:val="false"/>
                <w:bCs w:val="false"/>
                <w:i w:val="false"/>
                <w:iCs w:val="false"/>
                <w:sz w:val="20"/>
                <w:szCs w:val="20"/>
                <w:vertAlign w:val="superscript"/>
              </w:rPr>
              <w:t xml:space="preserve">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0.399</w:t>
            </w:r>
            <w:r>
              <w:rPr>
                <w:rFonts w:ascii="Times New Roman" w:cs="Times New Roman" w:eastAsia="Times New Roman" w:hAnsi="Times New Roman"/>
                <w:b w:val="false"/>
                <w:bCs w:val="false"/>
                <w:i w:val="false"/>
                <w:iCs w:val="false"/>
                <w:sz w:val="20"/>
                <w:szCs w:val="20"/>
                <w:vertAlign w:val="superscript"/>
              </w:rPr>
              <w:t xml:space="preserve">ij</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0.398</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0.501</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0.512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0.501</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0.501</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0.343</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0.340</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0.355</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0.333</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0.343</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0.354</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0.351</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0.349</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0.356</w:t>
            </w:r>
            <w:r>
              <w:rPr>
                <w:rFonts w:ascii="Times New Roman" w:cs="Times New Roman" w:eastAsia="Times New Roman" w:hAnsi="Times New Roman"/>
                <w:b w:val="false"/>
                <w:bCs w:val="false"/>
                <w:i w:val="false"/>
                <w:iCs w:val="false"/>
                <w:sz w:val="20"/>
                <w:szCs w:val="20"/>
                <w:vertAlign w:val="superscript"/>
              </w:rPr>
              <w:t xml:space="preserve">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0.352</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0.497</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0.496</w:t>
            </w:r>
            <w:r>
              <w:rPr>
                <w:rFonts w:ascii="Times New Roman" w:cs="Times New Roman" w:eastAsia="Times New Roman" w:hAnsi="Times New Roman"/>
                <w:b w:val="false"/>
                <w:bCs w:val="false"/>
                <w:i w:val="false"/>
                <w:iCs w:val="false"/>
                <w:sz w:val="20"/>
                <w:szCs w:val="20"/>
                <w:vertAlign w:val="superscript"/>
              </w:rPr>
              <w:t xml:space="preserve">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0.495</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0.753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0.751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0.748</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0.739</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0.748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0.440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0.438</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0.396</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0.399</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0.395</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0.397</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0.388</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0.712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0.708</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0.486</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0.530</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0.528</w:t>
            </w:r>
            <w:r>
              <w:rPr>
                <w:rFonts w:ascii="Times New Roman" w:cs="Times New Roman" w:eastAsia="Times New Roman" w:hAnsi="Times New Roman"/>
                <w:b/>
                <w:bCs/>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0.528</w:t>
            </w:r>
            <w:r>
              <w:rPr>
                <w:rFonts w:ascii="Times New Roman" w:cs="Times New Roman" w:eastAsia="Times New Roman" w:hAnsi="Times New Roman"/>
                <w:b/>
                <w:bCs/>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0.524</w:t>
            </w:r>
            <w:r>
              <w:rPr>
                <w:rFonts w:ascii="Times New Roman" w:cs="Times New Roman" w:eastAsia="Times New Roman" w:hAnsi="Times New Roman"/>
                <w:b/>
                <w:bCs/>
                <w:i w:val="false"/>
                <w:iCs w:val="false"/>
                <w:sz w:val="20"/>
                <w:szCs w:val="20"/>
                <w:vertAlign w:val="superscript"/>
              </w:rPr>
              <w:t xml:space="preserve">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0.528</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0.528.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0.0019</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0.0052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0.0078</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0.0090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0.0032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0.0090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0.0056</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0.0156</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2.594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NS; L × V: **; L × S: NS; V × S: NS; L × V × S: *.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Zinc, like iron, is often short in diets built around rice, and again the grain proved a modest source. Storage had no effect, as expected for a mineral, and the marginal statistical separation between sampling dates reflects the low experimental error rather than any real change in the grain. The varietal ranking ran opposite to that for iron, which most probably means the two elements are taken up and deposited by at least partly independent routes within the plant; no single landrace among the three combines superiority for both, so a breeder wanting to raise them together would have to recombine them. The differences between growing places are most probably a soil chemistry effect, since zinc becomes less available to rice in soils that are alkaline, high in phosphorus or kept flooded for long periods, and the place that gave the most phytic acid, itself the phosphorus store of the seed, gave the least zinc. As with iron, the fall in phytate during storage should improve the share of zinc that the body can absorb (Perera et al., 2018; Fukushima et al., 2020).</w:t>
      </w:r>
    </w:p>
    <w:p>
      <w:pPr>
        <w:pStyle w:val="Heading2"/>
        <w:spacing w:after="130" w:before="260"/>
      </w:pPr>
      <w:r>
        <w:rPr>
          <w:rFonts w:ascii="Times New Roman" w:cs="Times New Roman" w:eastAsia="Times New Roman" w:hAnsi="Times New Roman"/>
          <w:b/>
          <w:bCs/>
          <w:color w:val="000000"/>
          <w:sz w:val="23"/>
          <w:szCs w:val="23"/>
        </w:rPr>
        <w:t xml:space="preserve">4.6.4 Manganese (mg/kg)</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locations gave different values of manganese, and the effect of location was highly significant. The highest value of 0.133 mg/kg was recorded at Birbhum/Howrah. Purba Bardhaman came next with 0.132 mg/kg and Nadia gave the lowest value of 0.093 mg/kg. Birbhum/Howrah and Purba Bardhaman shared the same letter group. The difference between these two locations was too small to be real. The gap between the best and the poorest location was 0.040 mg/kg.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landraces also behaved differently. The varietal effect was highly significant. Radhunipagal recorded the highest value of 0.120 mg/kg, followed by Gobindabhog with 0.120 mg/kg and Kalojira with 0.117 mg/kg. Radhunipagal and Gobindabhog carried a common letter. These two were on par with each other. Radhunipagal exceeded Kalojira by 0.003 mg/kg.</w:t>
      </w:r>
    </w:p>
    <w:p>
      <w:pPr>
        <w:spacing w:after="70" w:before="150"/>
      </w:pPr>
      <w:r>
        <w:rPr>
          <w:rFonts w:ascii="Times New Roman" w:cs="Times New Roman" w:eastAsia="Times New Roman" w:hAnsi="Times New Roman"/>
          <w:b/>
          <w:bCs/>
          <w:i/>
          <w:iCs/>
          <w:sz w:val="22"/>
          <w:szCs w:val="22"/>
        </w:rPr>
        <w:t xml:space="preserve">(c) Effect of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Storage changed manganese. The effect was not significant. Taken in order of sampling date, the values were 0.119 mg/kg in fresh paddy, 0.119 mg/kg at 4 months, 0.119 mg/kg at 8 months and 0.120 mg/kg at 12 months. Over the full year the value increased by 0.5%. The highest value came from 12 months and the lowest from 4 months.</w:t>
      </w:r>
    </w:p>
    <w:p>
      <w:pPr>
        <w:spacing w:after="70" w:before="150"/>
      </w:pPr>
      <w:r>
        <w:rPr>
          <w:rFonts w:ascii="Times New Roman" w:cs="Times New Roman" w:eastAsia="Times New Roman" w:hAnsi="Times New Roman"/>
          <w:b/>
          <w:bCs/>
          <w:i/>
          <w:iCs/>
          <w:sz w:val="22"/>
          <w:szCs w:val="22"/>
        </w:rPr>
        <w:t xml:space="preserve">(d)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highly significant. The best combination was Gobindabhog at Purba Bardhaman with 0.143 mg/kg. The poorest was Radhunipagal at Nadia with 0.088 mg/kg. The ranking of the landraces did not stay the same across locations. At Nadia the order was Kalojira, Gobindabhog and Radhunipagal. At Purba Bardhaman the order was Gobindabhog, Radhunipagal and Kalojira. At Birbhum/Howrah the order was Kalojira, Radhunipagal and Gobindabhog. A change of rank like this shows that the landraces did not all respond to the three growing environments in the same way.</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storage interaction was not significant. The highest mean was 0.133 mg/kg for Birbhum/Howrah at 12 months. The lowest was 0.092 mg/kg for Nadia at 8 months. Between fresh paddy and 12 months of storage the change was +0.4% at Nadia, +0.8% at Purba Bardhaman, +0.3% at Birbhum/Howrah. The three locations changed by very similar values. Storage acted on the grain in much the same way wherever it was grown.</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variety and storage interaction was not significant. The highest mean was 0.121 mg/kg for Radhunipagal at fresh paddy. The lowest was 0.117 mg/kg for Kalojira at 8 months. Over the twelve months the change was +0.7% in Gobindabhog, -0.4% in Radhunipagal, +1.2% in Kalojira. All three landraces moved by nearly the same value. Storage affected them alike.</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factor interaction was not significant. Out of the thirty six treatment combinations the highest value of 0.146 mg/kg was recorded by Gobindabhog grown at Purba Bardhaman and sampled at 8 months. The lowest value of 0.087 mg/kg came from Radhunipagal grown at Nadia and sampled at 8 months. This interaction was not significant. These two extreme cells should not be read as real differences on their own. The main effects give the safer picture.</w:t>
      </w:r>
    </w:p>
    <w:p>
      <w:pPr>
        <w:spacing w:after="90" w:before="200"/>
        <w:jc w:val="left"/>
      </w:pPr>
      <w:r>
        <w:rPr>
          <w:rFonts w:ascii="Times New Roman" w:cs="Times New Roman" w:eastAsia="Times New Roman" w:hAnsi="Times New Roman"/>
          <w:b/>
          <w:bCs/>
          <w:sz w:val="19"/>
          <w:szCs w:val="19"/>
        </w:rPr>
        <w:t xml:space="preserve">Table 27. Effect of location, variety and storage period on Manganese (mg/kg) of aromatic rice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180"/>
        <w:gridCol w:w="1180"/>
        <w:gridCol w:w="1180"/>
        <w:gridCol w:w="1180"/>
        <w:gridCol w:w="2000"/>
      </w:tblGrid>
      <w:tr>
        <w:trPr>
          <w:tblHeader/>
        </w:trP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Treatment</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S1 (0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S2 (4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S3 (8 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S4 (12 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 ×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jk</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0.092</w:t>
            </w:r>
            <w:r>
              <w:rPr>
                <w:rFonts w:ascii="Times New Roman" w:cs="Times New Roman" w:eastAsia="Times New Roman" w:hAnsi="Times New Roman"/>
                <w:b w:val="false"/>
                <w:bCs w:val="false"/>
                <w:i w:val="false"/>
                <w:iCs w:val="false"/>
                <w:sz w:val="20"/>
                <w:szCs w:val="20"/>
                <w:vertAlign w:val="superscript"/>
              </w:rPr>
              <w:t xml:space="preserve">kl</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0.091</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ijk</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0.092</w:t>
            </w:r>
            <w:r>
              <w:rPr>
                <w:rFonts w:ascii="Times New Roman" w:cs="Times New Roman" w:eastAsia="Times New Roman" w:hAnsi="Times New Roman"/>
                <w:b w:val="false"/>
                <w:bCs w:val="false"/>
                <w:i w:val="false"/>
                <w:iCs w:val="false"/>
                <w:sz w:val="20"/>
                <w:szCs w:val="20"/>
                <w:vertAlign w:val="superscript"/>
              </w:rPr>
              <w:t xml:space="preserve">g</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0.090</w:t>
            </w:r>
            <w:r>
              <w:rPr>
                <w:rFonts w:ascii="Times New Roman" w:cs="Times New Roman" w:eastAsia="Times New Roman" w:hAnsi="Times New Roman"/>
                <w:b w:val="false"/>
                <w:bCs w:val="false"/>
                <w:i w:val="false"/>
                <w:iCs w:val="false"/>
                <w:sz w:val="20"/>
                <w:szCs w:val="20"/>
                <w:vertAlign w:val="superscript"/>
              </w:rPr>
              <w:t xml:space="preserve">klm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0.088</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0.087</w:t>
            </w:r>
            <w:r>
              <w:rPr>
                <w:rFonts w:ascii="Times New Roman" w:cs="Times New Roman" w:eastAsia="Times New Roman" w:hAnsi="Times New Roman"/>
                <w:b w:val="false"/>
                <w:bCs w:val="false"/>
                <w:i w:val="false"/>
                <w:iCs w:val="false"/>
                <w:sz w:val="20"/>
                <w:szCs w:val="20"/>
                <w:vertAlign w:val="superscript"/>
              </w:rPr>
              <w:t xml:space="preserve">m</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0.088</w:t>
            </w:r>
            <w:r>
              <w:rPr>
                <w:rFonts w:ascii="Times New Roman" w:cs="Times New Roman" w:eastAsia="Times New Roman" w:hAnsi="Times New Roman"/>
                <w:b w:val="false"/>
                <w:bCs w:val="false"/>
                <w:i w:val="false"/>
                <w:iCs w:val="false"/>
                <w:sz w:val="20"/>
                <w:szCs w:val="20"/>
                <w:vertAlign w:val="superscript"/>
              </w:rPr>
              <w:t xml:space="preserve">lm</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0.088</w:t>
            </w:r>
            <w:r>
              <w:rPr>
                <w:rFonts w:ascii="Times New Roman" w:cs="Times New Roman" w:eastAsia="Times New Roman" w:hAnsi="Times New Roman"/>
                <w:b w:val="false"/>
                <w:bCs w:val="false"/>
                <w:i w:val="false"/>
                <w:iCs w:val="false"/>
                <w:sz w:val="20"/>
                <w:szCs w:val="20"/>
                <w:vertAlign w:val="superscript"/>
              </w:rPr>
              <w:t xml:space="preserve">h</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0.097</w:t>
            </w:r>
            <w:r>
              <w:rPr>
                <w:rFonts w:ascii="Times New Roman" w:cs="Times New Roman" w:eastAsia="Times New Roman" w:hAnsi="Times New Roman"/>
                <w:b w:val="false"/>
                <w:bCs w:val="false"/>
                <w:i w:val="false"/>
                <w:iCs w:val="false"/>
                <w:sz w:val="20"/>
                <w:szCs w:val="20"/>
                <w:vertAlign w:val="superscript"/>
              </w:rPr>
              <w:t xml:space="preserve">hi</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0.099</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0.097</w:t>
            </w:r>
            <w:r>
              <w:rPr>
                <w:rFonts w:ascii="Times New Roman" w:cs="Times New Roman" w:eastAsia="Times New Roman" w:hAnsi="Times New Roman"/>
                <w:b w:val="false"/>
                <w:bCs w:val="false"/>
                <w:i w:val="false"/>
                <w:iCs w:val="false"/>
                <w:sz w:val="20"/>
                <w:szCs w:val="20"/>
                <w:vertAlign w:val="superscript"/>
              </w:rPr>
              <w:t xml:space="preserve">hij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0.099</w:t>
            </w:r>
            <w:r>
              <w:rPr>
                <w:rFonts w:ascii="Times New Roman" w:cs="Times New Roman" w:eastAsia="Times New Roman" w:hAnsi="Times New Roman"/>
                <w:b w:val="false"/>
                <w:bCs w:val="false"/>
                <w:i w:val="false"/>
                <w:iCs w:val="false"/>
                <w:sz w:val="20"/>
                <w:szCs w:val="20"/>
                <w:vertAlign w:val="superscript"/>
              </w:rPr>
              <w:t xml:space="preserve">h</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0.098</w:t>
            </w:r>
            <w:r>
              <w:rPr>
                <w:rFonts w:ascii="Times New Roman" w:cs="Times New Roman" w:eastAsia="Times New Roman" w:hAnsi="Times New Roman"/>
                <w:b w:val="false"/>
                <w:bCs w:val="false"/>
                <w:i w:val="false"/>
                <w:iCs w:val="false"/>
                <w:sz w:val="20"/>
                <w:szCs w:val="20"/>
                <w:vertAlign w:val="superscript"/>
              </w:rPr>
              <w:t xml:space="preserve">f</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0.142</w:t>
            </w:r>
            <w:r>
              <w:rPr>
                <w:rFonts w:ascii="Times New Roman" w:cs="Times New Roman" w:eastAsia="Times New Roman" w:hAnsi="Times New Roman"/>
                <w:b w:val="false"/>
                <w:bCs w:val="false"/>
                <w:i w:val="false"/>
                <w:iCs w:val="false"/>
                <w:sz w:val="20"/>
                <w:szCs w:val="20"/>
                <w:vertAlign w:val="superscript"/>
              </w:rPr>
              <w:t xml:space="preserve">abcd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0.144</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0.139</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0.113</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0.112</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0.113</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0.113</w:t>
            </w:r>
            <w:r>
              <w:rPr>
                <w:rFonts w:ascii="Times New Roman" w:cs="Times New Roman" w:eastAsia="Times New Roman" w:hAnsi="Times New Roman"/>
                <w:b w:val="false"/>
                <w:bCs w:val="false"/>
                <w:i w:val="false"/>
                <w:iCs w:val="false"/>
                <w:sz w:val="20"/>
                <w:szCs w:val="20"/>
                <w:vertAlign w:val="superscript"/>
              </w:rPr>
              <w:t xml:space="preserve">g</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0.113</w:t>
            </w:r>
            <w:r>
              <w:rPr>
                <w:rFonts w:ascii="Times New Roman" w:cs="Times New Roman" w:eastAsia="Times New Roman" w:hAnsi="Times New Roman"/>
                <w:b w:val="false"/>
                <w:bCs w:val="false"/>
                <w:i w:val="false"/>
                <w:iCs w:val="false"/>
                <w:sz w:val="20"/>
                <w:szCs w:val="20"/>
                <w:vertAlign w:val="superscript"/>
              </w:rPr>
              <w:t xml:space="preserve">e</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0.125</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0.124</w:t>
            </w:r>
            <w:r>
              <w:rPr>
                <w:rFonts w:ascii="Times New Roman" w:cs="Times New Roman" w:eastAsia="Times New Roman" w:hAnsi="Times New Roman"/>
                <w:b w:val="false"/>
                <w:bCs w:val="false"/>
                <w:i w:val="false"/>
                <w:iCs w:val="false"/>
                <w:sz w:val="20"/>
                <w:szCs w:val="20"/>
                <w:vertAlign w:val="superscript"/>
              </w:rPr>
              <w:t xml:space="preserve">f</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0.124</w:t>
            </w:r>
            <w:r>
              <w:rPr>
                <w:rFonts w:ascii="Times New Roman" w:cs="Times New Roman" w:eastAsia="Times New Roman" w:hAnsi="Times New Roman"/>
                <w:b w:val="false"/>
                <w:bCs w:val="false"/>
                <w:i w:val="false"/>
                <w:iCs w:val="false"/>
                <w:sz w:val="20"/>
                <w:szCs w:val="20"/>
                <w:vertAlign w:val="superscript"/>
              </w:rPr>
              <w:t xml:space="preserve">d</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0.131</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e</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0.132</w:t>
            </w:r>
            <w:r>
              <w:rPr>
                <w:rFonts w:ascii="Times New Roman" w:cs="Times New Roman" w:eastAsia="Times New Roman" w:hAnsi="Times New Roman"/>
                <w:b w:val="false"/>
                <w:bCs w:val="false"/>
                <w:i w:val="false"/>
                <w:iCs w:val="false"/>
                <w:sz w:val="20"/>
                <w:szCs w:val="20"/>
                <w:vertAlign w:val="superscript"/>
              </w:rPr>
              <w:t xml:space="preserve">c</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 × 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0.141</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0.140</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0.143</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0.141</w:t>
            </w:r>
            <w:r>
              <w:rPr>
                <w:rFonts w:ascii="Times New Roman" w:cs="Times New Roman" w:eastAsia="Times New Roman" w:hAnsi="Times New Roman"/>
                <w:b w:val="false"/>
                <w:bCs w:val="false"/>
                <w:i w:val="false"/>
                <w:iCs w:val="false"/>
                <w:sz w:val="20"/>
                <w:szCs w:val="20"/>
                <w:vertAlign w:val="superscript"/>
              </w:rPr>
              <w:t xml:space="preserve">ab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(Location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(L)</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L1</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0.092</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0.093</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L2</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0.131</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0.132</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0.132</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L3</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0.132</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(Variety × Storage)</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Mean (V)</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RP</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0.119</w:t>
            </w:r>
            <w:r>
              <w:rPr>
                <w:rFonts w:ascii="Times New Roman" w:cs="Times New Roman" w:eastAsia="Times New Roman" w:hAnsi="Times New Roman"/>
                <w:b w:val="false"/>
                <w:bCs w:val="false"/>
                <w:i w:val="false"/>
                <w:iCs w:val="false"/>
                <w:sz w:val="20"/>
                <w:szCs w:val="20"/>
                <w:vertAlign w:val="superscript"/>
              </w:rPr>
              <w:t xml:space="preserve">abc</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ab</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0.120</w:t>
            </w:r>
            <w:r>
              <w:rPr>
                <w:rFonts w:ascii="Times New Roman" w:cs="Times New Roman" w:eastAsia="Times New Roman" w:hAnsi="Times New Roman"/>
                <w:b w:val="false"/>
                <w:bCs w:val="false"/>
                <w:i w:val="false"/>
                <w:iCs w:val="false"/>
                <w:sz w:val="20"/>
                <w:szCs w:val="20"/>
                <w:vertAlign w:val="superscript"/>
              </w:rPr>
              <w:t xml:space="preserve">a</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KJ</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0.117</w:t>
            </w:r>
            <w:r>
              <w:rPr>
                <w:rFonts w:ascii="Times New Roman" w:cs="Times New Roman" w:eastAsia="Times New Roman" w:hAnsi="Times New Roman"/>
                <w:b w:val="false"/>
                <w:bCs w:val="false"/>
                <w:i w:val="false"/>
                <w:iCs w:val="false"/>
                <w:sz w:val="20"/>
                <w:szCs w:val="20"/>
                <w:vertAlign w:val="superscript"/>
              </w:rPr>
              <w:t xml:space="preserve">cd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0.117</w:t>
            </w:r>
            <w:r>
              <w:rPr>
                <w:rFonts w:ascii="Times New Roman" w:cs="Times New Roman" w:eastAsia="Times New Roman" w:hAnsi="Times New Roman"/>
                <w:b w:val="false"/>
                <w:bCs w:val="false"/>
                <w:i w:val="false"/>
                <w:iCs w:val="false"/>
                <w:sz w:val="20"/>
                <w:szCs w:val="20"/>
                <w:vertAlign w:val="superscript"/>
              </w:rPr>
              <w:t xml:space="preserve">d</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0.118</w:t>
            </w:r>
            <w:r>
              <w:rPr>
                <w:rFonts w:ascii="Times New Roman" w:cs="Times New Roman" w:eastAsia="Times New Roman" w:hAnsi="Times New Roman"/>
                <w:b w:val="false"/>
                <w:bCs w:val="false"/>
                <w:i w:val="false"/>
                <w:iCs w:val="false"/>
                <w:sz w:val="20"/>
                <w:szCs w:val="20"/>
                <w:vertAlign w:val="superscript"/>
              </w:rPr>
              <w:t xml:space="preserve">bcd</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0.117</w:t>
            </w:r>
            <w:r>
              <w:rPr>
                <w:rFonts w:ascii="Times New Roman" w:cs="Times New Roman" w:eastAsia="Times New Roman" w:hAnsi="Times New Roman"/>
                <w:b w:val="false"/>
                <w:bCs w:val="false"/>
                <w:i w:val="false"/>
                <w:iCs w:val="false"/>
                <w:sz w:val="20"/>
                <w:szCs w:val="20"/>
                <w:vertAlign w:val="superscript"/>
              </w:rPr>
              <w:t xml:space="preserve">b</w:t>
            </w:r>
          </w:p>
        </w:tc>
      </w:tr>
      <w:tr>
        <w:tc>
          <w:tcPr>
            <w:tcW w:type="dxa" w:w="230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Mean (S)</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0.119</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0.119</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0.119</w:t>
            </w:r>
            <w:r>
              <w:rPr>
                <w:rFonts w:ascii="Times New Roman" w:cs="Times New Roman" w:eastAsia="Times New Roman" w:hAnsi="Times New Roman"/>
                <w:b/>
                <w:bCs/>
                <w:i w:val="false"/>
                <w:iCs w:val="false"/>
                <w:sz w:val="20"/>
                <w:szCs w:val="20"/>
                <w:vertAlign w:val="superscript"/>
              </w:rPr>
              <w:t xml:space="preserve">a</w:t>
            </w:r>
          </w:p>
        </w:tc>
        <w:tc>
          <w:tcPr>
            <w:tcW w:type="dxa" w:w="118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0.120</w:t>
            </w:r>
            <w:r>
              <w:rPr>
                <w:rFonts w:ascii="Times New Roman" w:cs="Times New Roman" w:eastAsia="Times New Roman" w:hAnsi="Times New Roman"/>
                <w:b/>
                <w:bCs/>
                <w:i w:val="false"/>
                <w:iCs w:val="false"/>
                <w:sz w:val="20"/>
                <w:szCs w:val="20"/>
                <w:vertAlign w:val="superscript"/>
              </w:rPr>
              <w:t xml:space="preserve">a</w:t>
            </w:r>
          </w:p>
        </w:tc>
        <w:tc>
          <w:tcPr>
            <w:tcW w:type="dxa" w:w="2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0.119</w:t>
            </w:r>
          </w:p>
        </w:tc>
      </w:tr>
    </w:tbl>
    <w:p>
      <w:pPr>
        <w:spacing w:after="190" w:before="70"/>
        <w:jc w:val="left"/>
      </w:pPr>
      <w:r>
        <w:rPr>
          <w:rFonts w:ascii="Times New Roman" w:cs="Times New Roman" w:eastAsia="Times New Roman" w:hAnsi="Times New Roman"/>
          <w:i/>
          <w:iCs/>
          <w:sz w:val="17"/>
          <w:szCs w:val="17"/>
        </w:rPr>
        <w:t xml:space="preserve">Means followed by a common letter are not significantly different at P = 0.05 (LSD). Grand mean = 0.119.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Source of variation</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(P = 0.05)</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Location (L)</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Variety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0.0012</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Storage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0.0008</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0.0023</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 × V × S</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0.0040</w:t>
            </w:r>
          </w:p>
        </w:tc>
      </w:tr>
      <w:tr>
        <w:tc>
          <w:tcPr>
            <w:tcW w:type="dxa" w:w="301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bCs/>
                <w:i w:val="false"/>
                <w:iCs w:val="false"/>
                <w:sz w:val="20"/>
                <w:szCs w:val="20"/>
              </w:rPr>
              <w:t xml:space="preserve">CV (%)</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2.952</w:t>
            </w:r>
          </w:p>
        </w:tc>
        <w:tc>
          <w:tcPr>
            <w:tcW w:type="dxa" w:w="3008"/>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
            </w:r>
          </w:p>
        </w:tc>
      </w:tr>
    </w:tbl>
    <w:p>
      <w:pPr>
        <w:spacing w:after="190" w:before="70"/>
        <w:jc w:val="left"/>
      </w:pPr>
      <w:r>
        <w:rPr>
          <w:rFonts w:ascii="Times New Roman" w:cs="Times New Roman" w:eastAsia="Times New Roman" w:hAnsi="Times New Roman"/>
          <w:i/>
          <w:iCs/>
          <w:sz w:val="17"/>
          <w:szCs w:val="17"/>
        </w:rPr>
        <w:t xml:space="preserve">Significance of main effects and interactions: L: **; V: **; S: NS; L × V: **; L × S: NS; V × S: NS; L × V × S: NS. (** significant at P = 0.01; * significant at P = 0.05; NS = not significant.)</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Manganese behaved as the other minerals did, being unaffected by storage and settled entirely by the growing season. The varietal range was narrow, which most probably means genetic control over manganese uptake is weaker in these landraces than it is for iron or zinc, where the differences ran to several fold. Soil therefore mattered far more than seed for this element. The differences between places are most probably governed by soil reaction and redox status, because manganese availability rises sharply as a flooded soil becomes reduced and short of oxygen; differences in how long the fields were kept submerged are the most likely explanation. The interaction between place and landrace, while significant, involved very small absolute differences and has little practical importance, although it does confirm that soil conditions rather than the landrace decide the manganese content of the grain (Li et al., 2018).</w:t>
      </w:r>
    </w:p>
    <w:p>
      <w:r>
        <w:br w:type="page"/>
      </w:r>
    </w:p>
    <w:p>
      <w:pPr>
        <w:pStyle w:val="Heading1"/>
        <w:spacing w:after="130" w:before="260"/>
      </w:pPr>
      <w:r>
        <w:rPr>
          <w:rFonts w:ascii="Times New Roman" w:cs="Times New Roman" w:eastAsia="Times New Roman" w:hAnsi="Times New Roman"/>
          <w:b/>
          <w:bCs/>
          <w:color w:val="000000"/>
          <w:sz w:val="24"/>
          <w:szCs w:val="24"/>
        </w:rPr>
        <w:t xml:space="preserve">4.7 Amino acid profile of freshly harvested grain</w:t>
      </w:r>
    </w:p>
    <w:p>
      <w:pPr>
        <w:spacing w:after="140" w:line="300"/>
        <w:jc w:val="both"/>
      </w:pPr>
      <w:r>
        <w:rPr>
          <w:rFonts w:ascii="Times New Roman" w:cs="Times New Roman" w:eastAsia="Times New Roman" w:hAnsi="Times New Roman"/>
          <w:b w:val="false"/>
          <w:bCs w:val="false"/>
          <w:i w:val="false"/>
          <w:iCs w:val="false"/>
          <w:sz w:val="22"/>
          <w:szCs w:val="22"/>
        </w:rPr>
        <w:t xml:space="preserve">The amino acid profile was worked out on freshly harvested grain only. The samples drawn at 4, 8 and 12 months were not tested for these parameters. The results below therefore describe how location and variety affected the amino acids of fresh grain. Nothing is said about the effect of storage, because that effect was not measured. All fifteen amino acids are presented together in Table 24, and the SEm and CD figures given there apply to the varietal means.</w:t>
      </w:r>
    </w:p>
    <w:p>
      <w:pPr>
        <w:spacing w:after="60" w:before="60"/>
      </w:pPr>
      <w:r>
        <w:rPr>
          <w:rFonts w:ascii="Times New Roman" w:cs="Times New Roman" w:eastAsia="Times New Roman" w:hAnsi="Times New Roman"/>
          <w:b/>
          <w:bCs/>
          <w:i/>
          <w:iCs/>
          <w:sz w:val="22"/>
          <w:szCs w:val="22"/>
        </w:rPr>
        <w:t xml:space="preserve">Results</w:t>
      </w:r>
    </w:p>
    <w:p>
      <w:pPr>
        <w:spacing w:after="70" w:before="150"/>
      </w:pPr>
      <w:r>
        <w:rPr>
          <w:rFonts w:ascii="Times New Roman" w:cs="Times New Roman" w:eastAsia="Times New Roman" w:hAnsi="Times New Roman"/>
          <w:b/>
          <w:bCs/>
          <w:i/>
          <w:iCs/>
          <w:sz w:val="22"/>
          <w:szCs w:val="22"/>
        </w:rPr>
        <w:t xml:space="preserve">(a)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effect of location was not significant for fourteen of the fifteen amino acids. Proline was the only exception. For every other amino acid the three locations differed by less than 0.0025 mg/100 mg, which is far too little to matter. Proline reached 0.3000 mg/100 mg at Purba Bardhaman, 0.2967 mg/100 mg at Nadia and 0.2954 mg/100 mg at Birbhum/Howrah. Phenylalanine showed the widest spread of the non-significant traits at 0.0023 mg/100 mg.</w:t>
      </w:r>
    </w:p>
    <w:p>
      <w:pPr>
        <w:spacing w:after="70" w:before="150"/>
      </w:pPr>
      <w:r>
        <w:rPr>
          <w:rFonts w:ascii="Times New Roman" w:cs="Times New Roman" w:eastAsia="Times New Roman" w:hAnsi="Times New Roman"/>
          <w:b/>
          <w:bCs/>
          <w:i/>
          <w:iCs/>
          <w:sz w:val="22"/>
          <w:szCs w:val="22"/>
        </w:rPr>
        <w:t xml:space="preserve">(b)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The varietal effect was highly significant for every one of the fifteen amino acids. Gobindabhog held the most of thirteen amino acids, with Radhunipagal second and Kalojira last. Glutamic acid was the most plentiful amino acid in all three landraces, at 1.4690 mg/100 mg in Gobindabhog, 1.1983 mg/100 mg in Radhunipagal and 1.1141 mg/100 mg in Kalojira. Threonine was the least plentiful, at 0.2770, 0.1898 and 0.1368 mg/100 mg respectively.</w:t>
      </w:r>
    </w:p>
    <w:p>
      <w:pPr>
        <w:spacing w:after="140" w:line="300"/>
        <w:jc w:val="both"/>
      </w:pPr>
      <w:r>
        <w:rPr>
          <w:rFonts w:ascii="Times New Roman" w:cs="Times New Roman" w:eastAsia="Times New Roman" w:hAnsi="Times New Roman"/>
          <w:b w:val="false"/>
          <w:bCs w:val="false"/>
          <w:i w:val="false"/>
          <w:iCs w:val="false"/>
          <w:sz w:val="22"/>
          <w:szCs w:val="22"/>
        </w:rPr>
        <w:t xml:space="preserve">There were two exceptions to the general order. Kalojira held much the most cysteine at 1.6729 mg/100 mg against 0.9240 mg/100 mg in Gobindabhog, and it came second for tyrosine. Cysteine and tyrosine were barely detectable in Radhunipagal, at 0.0017 and 0.0014 mg/100 mg, which are figures at the very bottom of what the method can measure.</w:t>
      </w:r>
    </w:p>
    <w:p>
      <w:pPr>
        <w:spacing w:after="140" w:line="300"/>
        <w:jc w:val="both"/>
      </w:pPr>
      <w:r>
        <w:rPr>
          <w:rFonts w:ascii="Times New Roman" w:cs="Times New Roman" w:eastAsia="Times New Roman" w:hAnsi="Times New Roman"/>
          <w:b w:val="false"/>
          <w:bCs w:val="false"/>
          <w:i w:val="false"/>
          <w:iCs w:val="false"/>
          <w:sz w:val="22"/>
          <w:szCs w:val="22"/>
        </w:rPr>
        <w:t xml:space="preserve">The size of the varietal gap differed a great deal between amino acids. Glutamic acid varied least, with Gobindabhog exceeding Kalojira by 32%. Alanine varied most among the ordinary amino acids, at 141%. Summed over all fifteen amino acids, Gobindabhog held 7.6407 mg/100 mg, Kalojira 5.4210 mg/100 mg and Radhunipagal 4.0672 mg/100 mg.</w:t>
      </w:r>
    </w:p>
    <w:p>
      <w:pPr>
        <w:spacing w:after="70" w:before="150"/>
      </w:pPr>
      <w:r>
        <w:rPr>
          <w:rFonts w:ascii="Times New Roman" w:cs="Times New Roman" w:eastAsia="Times New Roman" w:hAnsi="Times New Roman"/>
          <w:b/>
          <w:bCs/>
          <w:i/>
          <w:iCs/>
          <w:sz w:val="22"/>
          <w:szCs w:val="22"/>
        </w:rPr>
        <w:t xml:space="preserve">(c)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location and variety interaction was not significant for thirteen of the fifteen amino acids. Tyrosine and isoleucine were the two exceptions, and for both the ranking of the landraces stayed the same at all three locations. The interaction therefore reflects a change in the width of the gaps and not in their direction. Storage was not assayed for these parameters, so no interaction involving storage period is reported.</w:t>
      </w:r>
    </w:p>
    <w:p>
      <w:pPr>
        <w:spacing w:after="90" w:before="200"/>
        <w:jc w:val="left"/>
      </w:pPr>
      <w:r>
        <w:rPr>
          <w:rFonts w:ascii="Times New Roman" w:cs="Times New Roman" w:eastAsia="Times New Roman" w:hAnsi="Times New Roman"/>
          <w:b/>
          <w:bCs/>
          <w:sz w:val="19"/>
          <w:szCs w:val="19"/>
        </w:rPr>
        <w:t xml:space="preserve">Table 28. Effect of location and variety on the amino acid composition (mg/100 mg) of freshly harvested grain of three aromatic rice landraces (pooled over two years, 2022-23 and 2023-24)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66"/>
        <w:gridCol w:w="870"/>
        <w:gridCol w:w="870"/>
        <w:gridCol w:w="870"/>
        <w:gridCol w:w="870"/>
        <w:gridCol w:w="870"/>
        <w:gridCol w:w="870"/>
        <w:gridCol w:w="870"/>
        <w:gridCol w:w="870"/>
      </w:tblGrid>
      <w:tr>
        <w:trPr>
          <w:tblHeader/>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Amino acid</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L3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V3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SEm±</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bCs/>
                <w:i w:val="false"/>
                <w:iCs w:val="false"/>
                <w:sz w:val="20"/>
                <w:szCs w:val="20"/>
              </w:rPr>
              <w:t xml:space="preserve">CD 0.05</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Histidine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0.1098</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0.1088</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0.1087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0.1438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0.1075</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0.0760</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Serine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0.3889</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0.3897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0.3905</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0.5544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0.3432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0.2715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Arginine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0.3100</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0.3110</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0.3113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0.4205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0.3102</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0.2016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Glycine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0.4098</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0.4092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0.4086</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0.5587</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0.3886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0.2804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Aspartic acid</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0.5464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0.5466</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0.5469</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0.6690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0.5183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0.4526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Glutamic acid</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1.2610</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1.2600</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1.2604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1.4690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1.1983</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1.1141</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Threonine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0.2012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0.2013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0.2012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0.2770</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0.1898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0.1368</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Alanine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0.4493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0.4512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0.4501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0.6596</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0.4171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0.2739</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0.0007</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Proline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0.2967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0.3000</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0.2954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0.4311</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0.2674</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0.1935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Cysteine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0.8666</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0.8664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0.8657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0.9240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0.0017</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1.6729</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Tyrosine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0.2807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0.2821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0.2819</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0.5965</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0.0014</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0.2467</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Valine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0.3448</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0.3456</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0.3459</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0.4772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0.3316</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0.2276</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0.0005</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Isoleucine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0.2104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0.2113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0.2111</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0.2874</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0.2108</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0.1345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0.0004</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Leucine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0.4069</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0.4057</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0.4062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0.5502</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0.4060</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0.2625</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r>
        <w:trPr>
          <w:cantSplit/>
        </w:trPr>
        <w:tc>
          <w:tcPr>
            <w:tcW w:type="dxa" w:w="2066"/>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left"/>
            </w:pPr>
            <w:r>
              <w:rPr>
                <w:rFonts w:ascii="Times New Roman" w:cs="Times New Roman" w:eastAsia="Times New Roman" w:hAnsi="Times New Roman"/>
                <w:b w:val="false"/>
                <w:bCs w:val="false"/>
                <w:i w:val="false"/>
                <w:iCs w:val="false"/>
                <w:sz w:val="20"/>
                <w:szCs w:val="20"/>
              </w:rPr>
              <w:t xml:space="preserve">Phenylalanine</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0.2404</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0.2403</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0.2426</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0.3598</w:t>
            </w:r>
            <w:r>
              <w:rPr>
                <w:rFonts w:ascii="Times New Roman" w:cs="Times New Roman" w:eastAsia="Times New Roman" w:hAnsi="Times New Roman"/>
                <w:b w:val="false"/>
                <w:bCs w:val="false"/>
                <w:i w:val="false"/>
                <w:iCs w:val="false"/>
                <w:sz w:val="20"/>
                <w:szCs w:val="20"/>
                <w:vertAlign w:val="superscript"/>
              </w:rPr>
              <w:t xml:space="preserve">a</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0.2301</w:t>
            </w:r>
            <w:r>
              <w:rPr>
                <w:rFonts w:ascii="Times New Roman" w:cs="Times New Roman" w:eastAsia="Times New Roman" w:hAnsi="Times New Roman"/>
                <w:b w:val="false"/>
                <w:bCs w:val="false"/>
                <w:i w:val="false"/>
                <w:iCs w:val="false"/>
                <w:sz w:val="20"/>
                <w:szCs w:val="20"/>
                <w:vertAlign w:val="superscript"/>
              </w:rPr>
              <w:t xml:space="preserve">b</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0.1333</w:t>
            </w:r>
            <w:r>
              <w:rPr>
                <w:rFonts w:ascii="Times New Roman" w:cs="Times New Roman" w:eastAsia="Times New Roman" w:hAnsi="Times New Roman"/>
                <w:b w:val="false"/>
                <w:bCs w:val="false"/>
                <w:i w:val="false"/>
                <w:iCs w:val="false"/>
                <w:sz w:val="20"/>
                <w:szCs w:val="20"/>
                <w:vertAlign w:val="superscript"/>
              </w:rPr>
              <w:t xml:space="preserve">c</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0.0002</w:t>
            </w:r>
          </w:p>
        </w:tc>
        <w:tc>
          <w:tcPr>
            <w:tcW w:type="dxa" w:w="87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spacing w:after="0" w:line="240"/>
              <w:jc w:val="center"/>
            </w:pPr>
            <w:r>
              <w:rPr>
                <w:rFonts w:ascii="Times New Roman" w:cs="Times New Roman" w:eastAsia="Times New Roman" w:hAnsi="Times New Roman"/>
                <w:b w:val="false"/>
                <w:bCs w:val="false"/>
                <w:i w:val="false"/>
                <w:iCs w:val="false"/>
                <w:sz w:val="20"/>
                <w:szCs w:val="20"/>
              </w:rPr>
              <w:t xml:space="preserve">0.0006</w:t>
            </w:r>
          </w:p>
        </w:tc>
      </w:tr>
    </w:tbl>
    <w:p>
      <w:pPr>
        <w:spacing w:after="190" w:before="70"/>
        <w:jc w:val="left"/>
      </w:pPr>
      <w:r>
        <w:rPr>
          <w:rFonts w:ascii="Times New Roman" w:cs="Times New Roman" w:eastAsia="Times New Roman" w:hAnsi="Times New Roman"/>
          <w:i/>
          <w:iCs/>
          <w:sz w:val="17"/>
          <w:szCs w:val="17"/>
        </w:rPr>
        <w:t xml:space="preserve">Amino acids were assayed on freshly harvested grain (S1) only. Varietal means followed by a common letter within a row are not significantly different at P = 0.05 (LSD). SEm and CD apply to the varietal means. The effect of location was not significant except for proline; the location x variety interaction was not significant except for tyrosine and isoleucine.</w:t>
      </w:r>
    </w:p>
    <w:p>
      <w:pPr>
        <w:spacing w:after="80" w:before="140"/>
      </w:pPr>
      <w:r>
        <w:rPr>
          <w:rFonts w:ascii="Times New Roman" w:cs="Times New Roman" w:eastAsia="Times New Roman" w:hAnsi="Times New Roman"/>
          <w:b/>
          <w:bCs/>
          <w:i/>
          <w:iCs/>
          <w:sz w:val="22"/>
          <w:szCs w:val="22"/>
        </w:rPr>
        <w:t xml:space="preserve">Discussion</w:t>
      </w:r>
    </w:p>
    <w:p>
      <w:pPr>
        <w:spacing w:after="140" w:line="300"/>
        <w:jc w:val="both"/>
      </w:pPr>
      <w:r>
        <w:rPr>
          <w:rFonts w:ascii="Times New Roman" w:cs="Times New Roman" w:eastAsia="Times New Roman" w:hAnsi="Times New Roman"/>
          <w:b w:val="false"/>
          <w:bCs w:val="false"/>
          <w:i w:val="false"/>
          <w:iCs w:val="false"/>
          <w:sz w:val="22"/>
          <w:szCs w:val="22"/>
        </w:rPr>
        <w:t xml:space="preserve">Three features of these results call for explanation. The first is that the growing place changed only proline while the landrace changed every amino acid. The most probable reason is that amino acid composition is set by the proportions in which the grain lays down its storage protein fractions, and those proportions are under genetic control, whereas soil and weather govern how much protein accumulates rather than what it is made of. The present data are consistent with this, since the growing place mattered for soluble protein but not for the amino acids built into it, and Devi et al. (2024) reached the same conclusion for maize. Because glutelin dominates the protein of milled rice (Jayaprakash et al., 2022), the amino acids of that fraction vary least between landraces while those belonging to the smaller prolamin fraction vary most, which is the pattern obtained here. The second feature is the unusually high cysteine of the pigmented landrace. Cysteine is concentrated in the globulin fraction (Jayaprakash et al., 2022), which is a bran and embryo protein, and the same landrace also led for ash and for fat in this study; all three point to a proportionately thicker bran and therefore a larger globulin share as the most probable cause. The near absence of cysteine and tyrosine in one landrace is more likely a failure of detection than a true absence and should be confirmed against the raw chromatograms. The third feature is that proline ran opposite to aroma. Free proline in the developing grain is consumed in making 2-acetyl-1-pyrroline (Luo et al., 2020; Renuka et al., 2022; Imran et al., 2023), so the most fragrant landrace probably diverts proline into the aroma pathway instead of binding it into storage protein, which would leave it lowest in the bound form measured here. The remaining results were as expected. All the essential amino acids were present, supporting the long-held view that rice protein is of good quality despite its low lysine (Mahadevamma and Tharanathan, 2007); threonine was among the least plentiful, as in other cereals (Devi et al., 2024); the branched chain amino acids followed the order reported by Sui et al. (2023); and much of the aspartic acid, glutamic acid and glycine sits in the germ and outer layers (Kamjijam et al., 2020), so the degree of milling will also shape the final profile.</w:t>
      </w:r>
    </w:p>
    <w:p>
      <w:r>
        <w:br w:type="page"/>
      </w:r>
    </w:p>
    <w:p>
      <w:r>
        <w:br w:type="page"/>
      </w:r>
    </w:p>
    <w:p>
      <w:pPr>
        <w:pStyle w:val="Heading1"/>
        <w:spacing w:after="130" w:before="260"/>
      </w:pPr>
      <w:r>
        <w:rPr>
          <w:rFonts w:ascii="Times New Roman" w:cs="Times New Roman" w:eastAsia="Times New Roman" w:hAnsi="Times New Roman"/>
          <w:b/>
          <w:bCs/>
          <w:color w:val="000000"/>
          <w:sz w:val="24"/>
          <w:szCs w:val="24"/>
        </w:rPr>
        <w:t xml:space="preserve">4.8 Correlation, principal component and cluster analysis</w:t>
      </w:r>
    </w:p>
    <w:p>
      <w:pPr>
        <w:spacing w:after="140" w:line="300"/>
        <w:jc w:val="both"/>
      </w:pPr>
      <w:r>
        <w:rPr>
          <w:rFonts w:ascii="Times New Roman" w:cs="Times New Roman" w:eastAsia="Times New Roman" w:hAnsi="Times New Roman"/>
          <w:b w:val="false"/>
          <w:bCs w:val="false"/>
          <w:i w:val="false"/>
          <w:iCs w:val="false"/>
          <w:sz w:val="22"/>
          <w:szCs w:val="22"/>
        </w:rPr>
        <w:t xml:space="preserve">The analysis of variance in the earlier sections treats each parameter on its own. It cannot say how the traits move together. It also cannot say which treatments are alike overall. Three further analyses were therefore carried out. These were correlation analysis, principal component analysis and hierarchical cluster analysis. The same combination has been used on rice quality data by Abdelsalam et al. (2025), who found the three methods to support one another.</w:t>
      </w:r>
    </w:p>
    <w:p>
      <w:pPr>
        <w:spacing w:after="140" w:line="300"/>
        <w:jc w:val="both"/>
      </w:pPr>
      <w:r>
        <w:rPr>
          <w:rFonts w:ascii="Times New Roman" w:cs="Times New Roman" w:eastAsia="Times New Roman" w:hAnsi="Times New Roman"/>
          <w:b w:val="false"/>
          <w:bCs w:val="false"/>
          <w:i w:val="false"/>
          <w:iCs w:val="false"/>
          <w:sz w:val="22"/>
          <w:szCs w:val="22"/>
        </w:rPr>
        <w:t xml:space="preserve">All three used the thirty six location by variety by storage treatment means, pooled over the two years, for the twenty three parameters in which storage was assayed. The fifteen amino acids were left out because they were measured only in fresh grain. It should be kept in mind that these analyses use treatment means and not individual replicate values. The coefficients therefore describe how the treatment means move together.</w:t>
      </w:r>
    </w:p>
    <w:p>
      <w:pPr>
        <w:pStyle w:val="Heading2"/>
        <w:spacing w:after="130" w:before="260"/>
      </w:pPr>
      <w:r>
        <w:rPr>
          <w:rFonts w:ascii="Times New Roman" w:cs="Times New Roman" w:eastAsia="Times New Roman" w:hAnsi="Times New Roman"/>
          <w:b/>
          <w:bCs/>
          <w:color w:val="000000"/>
          <w:sz w:val="23"/>
          <w:szCs w:val="23"/>
        </w:rPr>
        <w:t xml:space="preserve">4.8.1 Correlation among quality parameters</w:t>
      </w:r>
    </w:p>
    <w:p>
      <w:pPr>
        <w:spacing w:after="140" w:line="300"/>
        <w:jc w:val="both"/>
      </w:pPr>
      <w:r>
        <w:rPr>
          <w:rFonts w:ascii="Times New Roman" w:cs="Times New Roman" w:eastAsia="Times New Roman" w:hAnsi="Times New Roman"/>
          <w:b w:val="false"/>
          <w:bCs w:val="false"/>
          <w:i w:val="false"/>
          <w:iCs w:val="false"/>
          <w:sz w:val="22"/>
          <w:szCs w:val="22"/>
        </w:rPr>
        <w:t xml:space="preserve">Correlation measures whether two traits rise and fall together. A positive value means they move in the same direction. A negative value means one rises as the other falls. A value near zero means they move independently. Coefficients were worked out for all 253 pairs. With 36 pairs of values, a coefficient of 0.329 or larger is significant at the 5% level. Eighty seven pairs cleared that mark. The full matrix is shown in Figure 1.</w:t>
      </w:r>
    </w:p>
    <w:p>
      <w:pPr>
        <w:spacing w:after="140" w:line="300"/>
        <w:jc w:val="both"/>
      </w:pPr>
      <w:r>
        <w:rPr>
          <w:rFonts w:ascii="Times New Roman" w:cs="Times New Roman" w:eastAsia="Times New Roman" w:hAnsi="Times New Roman"/>
          <w:b w:val="false"/>
          <w:bCs w:val="false"/>
          <w:i w:val="false"/>
          <w:iCs w:val="false"/>
          <w:sz w:val="22"/>
          <w:szCs w:val="22"/>
        </w:rPr>
        <w:t xml:space="preserve">Total phenol and total flavonoid were almost perfectly linked. The reason is simple. Flavonoids are one family within the phenolic group. The two assays therefore measure much of the same material twice. A laboratory short of time could measure either one alone and lose very little.</w:t>
      </w:r>
    </w:p>
    <w:p>
      <w:pPr>
        <w:spacing w:after="140" w:line="300"/>
        <w:jc w:val="both"/>
      </w:pPr>
      <w:r>
        <w:rPr>
          <w:rFonts w:ascii="Times New Roman" w:cs="Times New Roman" w:eastAsia="Times New Roman" w:hAnsi="Times New Roman"/>
          <w:b w:val="false"/>
          <w:bCs w:val="false"/>
          <w:i w:val="false"/>
          <w:iCs w:val="false"/>
          <w:sz w:val="22"/>
          <w:szCs w:val="22"/>
        </w:rPr>
        <w:t xml:space="preserve">Total phenol, total flavonoid and antioxidant capacity formed a tight block. This is expected. Phenolic compounds do most of the radical scavenging in rice grain. Shao et al. (2014) and Zhang et al. (2010) showed these compounds to be concentrated in the bran and embryo of pigmented rice. Any landrace rich in one will therefore be rich in all three.</w:t>
      </w:r>
    </w:p>
    <w:p>
      <w:pPr>
        <w:spacing w:after="140" w:line="300"/>
        <w:jc w:val="both"/>
      </w:pPr>
      <w:r>
        <w:rPr>
          <w:rFonts w:ascii="Times New Roman" w:cs="Times New Roman" w:eastAsia="Times New Roman" w:hAnsi="Times New Roman"/>
          <w:b w:val="false"/>
          <w:bCs w:val="false"/>
          <w:i w:val="false"/>
          <w:iCs w:val="false"/>
          <w:sz w:val="22"/>
          <w:szCs w:val="22"/>
        </w:rPr>
        <w:t xml:space="preserve">Aroma was strongly linked to fat. This is one of the more useful findings of the correlation work. Both fell during storage and they fell together, treatment by treatment. The probable reason is that the two losses share a cause. Rice lipid is broken down and oxidised in store, and the small carbonyl compounds formed give old grain its stale smell. These work against whatever fragrance is left. Zhou et al. (2002) described the same coupling between lipid breakdown and flavour change. Aroma was also linked to antioxidant capacity and to phenol, so the whole group of desirable traits rises and falls as one.</w:t>
      </w:r>
    </w:p>
    <w:p>
      <w:pPr>
        <w:spacing w:after="140" w:line="300"/>
        <w:jc w:val="both"/>
      </w:pPr>
      <w:r>
        <w:rPr>
          <w:rFonts w:ascii="Times New Roman" w:cs="Times New Roman" w:eastAsia="Times New Roman" w:hAnsi="Times New Roman"/>
          <w:b w:val="false"/>
          <w:bCs w:val="false"/>
          <w:i w:val="false"/>
          <w:iCs w:val="false"/>
          <w:sz w:val="22"/>
          <w:szCs w:val="22"/>
        </w:rPr>
        <w:t xml:space="preserve">The strongest negative link was between amylose and soluble protein. The probable reason is competition for space. Starch and protein are laid down in the same endosperm. A grain rich in one holds less of the other. Chattopadhyay et al. (2018) reported the same negative link in rice. Amylose was also negatively linked to antioxidant capacity and to fat. This is a storage effect rather than a compositional one, because amylose rose during storage while those two fell.</w:t>
      </w:r>
    </w:p>
    <w:p>
      <w:pPr>
        <w:spacing w:after="140" w:line="300"/>
        <w:jc w:val="both"/>
      </w:pPr>
      <w:r>
        <w:rPr>
          <w:rFonts w:ascii="Times New Roman" w:cs="Times New Roman" w:eastAsia="Times New Roman" w:hAnsi="Times New Roman"/>
          <w:b w:val="false"/>
          <w:bCs w:val="false"/>
          <w:i w:val="false"/>
          <w:iCs w:val="false"/>
          <w:sz w:val="22"/>
          <w:szCs w:val="22"/>
        </w:rPr>
        <w:t xml:space="preserve">Among the minerals, copper and zinc were positively linked while copper and manganese were negatively linked. The probable reason is that copper and zinc share part of their uptake route in the plant. Manganese behaves differently because its availability depends heavily on how flooded and how reduced the soil is.</w:t>
      </w:r>
    </w:p>
    <w:p>
      <w:pPr>
        <w:spacing w:after="140" w:line="300"/>
        <w:jc w:val="both"/>
      </w:pPr>
      <w:r>
        <w:rPr>
          <w:rFonts w:ascii="Times New Roman" w:cs="Times New Roman" w:eastAsia="Times New Roman" w:hAnsi="Times New Roman"/>
          <w:b w:val="false"/>
          <w:bCs w:val="false"/>
          <w:i w:val="false"/>
          <w:iCs w:val="false"/>
          <w:sz w:val="22"/>
          <w:szCs w:val="22"/>
        </w:rPr>
        <w:t xml:space="preserve">Two links matter for milling. Milling percentage and hulling were both linked to total starch. The reason is that a grain well filled with starch is denser and stands up better to polishing. Head rice recovery was linked to ash and negatively to phytic acid, which points to grain anatomy, since both of those reflect the share of bran and aleurone in the kernel.</w:t>
      </w:r>
    </w:p>
    <w:p>
      <w:pPr>
        <w:spacing w:after="140" w:line="300"/>
        <w:jc w:val="both"/>
      </w:pPr>
      <w:r>
        <w:rPr>
          <w:rFonts w:ascii="Times New Roman" w:cs="Times New Roman" w:eastAsia="Times New Roman" w:hAnsi="Times New Roman"/>
          <w:b w:val="false"/>
          <w:bCs w:val="false"/>
          <w:i w:val="false"/>
          <w:iCs w:val="false"/>
          <w:sz w:val="22"/>
          <w:szCs w:val="22"/>
        </w:rPr>
        <w:t xml:space="preserve">One practical message comes out of the whole matrix. Aroma, fat, phenol, flavonoid, antioxidant capacity and soluble protein form one tightly linked group. They decline together during storage. Amylose moves against them. A single well chosen measurement from within that group would therefore give a fair indication of the rest. In a screening programme this would save a great deal of laboratory work.</w:t>
      </w:r>
    </w:p>
    <w:p>
      <w:pPr>
        <w:spacing w:after="60" w:before="120"/>
        <w:jc w:val="center"/>
      </w:pPr>
      <w:r>
        <w:drawing>
          <wp:inline distT="0" distB="0" distL="0" distR="0">
            <wp:extent cx="44767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048125"/>
                    </a:xfrm>
                    <a:prstGeom prst="rect">
                      <a:avLst/>
                    </a:prstGeom>
                  </pic:spPr>
                </pic:pic>
              </a:graphicData>
            </a:graphic>
          </wp:inline>
        </w:drawing>
      </w:r>
    </w:p>
    <w:p>
      <w:pPr>
        <w:spacing w:after="220"/>
        <w:jc w:val="center"/>
      </w:pPr>
      <w:r>
        <w:rPr>
          <w:rFonts w:ascii="Times New Roman" w:cs="Times New Roman" w:eastAsia="Times New Roman" w:hAnsi="Times New Roman"/>
          <w:b/>
          <w:bCs/>
          <w:sz w:val="19"/>
          <w:szCs w:val="19"/>
        </w:rPr>
        <w:t xml:space="preserve">Figure 1. Correlation among the 23 quality parameters of aromatic rice</w:t>
      </w:r>
    </w:p>
    <w:p>
      <w:pPr>
        <w:pStyle w:val="Heading2"/>
        <w:spacing w:after="130" w:before="260"/>
      </w:pPr>
      <w:r>
        <w:rPr>
          <w:rFonts w:ascii="Times New Roman" w:cs="Times New Roman" w:eastAsia="Times New Roman" w:hAnsi="Times New Roman"/>
          <w:b/>
          <w:bCs/>
          <w:color w:val="000000"/>
          <w:sz w:val="23"/>
          <w:szCs w:val="23"/>
        </w:rPr>
        <w:t xml:space="preserve">4.8.2 Principal component analysis</w:t>
      </w:r>
    </w:p>
    <w:p>
      <w:pPr>
        <w:spacing w:after="140" w:line="300"/>
        <w:jc w:val="both"/>
      </w:pPr>
      <w:r>
        <w:rPr>
          <w:rFonts w:ascii="Times New Roman" w:cs="Times New Roman" w:eastAsia="Times New Roman" w:hAnsi="Times New Roman"/>
          <w:b w:val="false"/>
          <w:bCs w:val="false"/>
          <w:i w:val="false"/>
          <w:iCs w:val="false"/>
          <w:sz w:val="22"/>
          <w:szCs w:val="22"/>
        </w:rPr>
        <w:t xml:space="preserve">Principal component analysis takes many correlated traits and replaces them with a few new axes. Each axis is a weighted blend of the original traits. The first axis captures as much of the variation as possible, the second captures as much of what is left as possible, and so on. The value of the method is that a large table can be read as a picture. Abdelsalam et al. (2025) used it in the same way on rice quality data.</w:t>
      </w:r>
    </w:p>
    <w:p>
      <w:pPr>
        <w:spacing w:after="140" w:line="300"/>
        <w:jc w:val="both"/>
      </w:pPr>
      <w:r>
        <w:rPr>
          <w:rFonts w:ascii="Times New Roman" w:cs="Times New Roman" w:eastAsia="Times New Roman" w:hAnsi="Times New Roman"/>
          <w:b w:val="false"/>
          <w:bCs w:val="false"/>
          <w:i w:val="false"/>
          <w:iCs w:val="false"/>
          <w:sz w:val="22"/>
          <w:szCs w:val="22"/>
        </w:rPr>
        <w:t xml:space="preserve">Every parameter was first standardised to a mean of zero and a standard deviation of one. This step was necessary because the traits are measured in very different units. Without it, the traits with large numbers would have dominated the result simply because their numbers are large.</w:t>
      </w:r>
    </w:p>
    <w:p>
      <w:pPr>
        <w:spacing w:after="140" w:line="300"/>
        <w:jc w:val="both"/>
      </w:pPr>
      <w:r>
        <w:rPr>
          <w:rFonts w:ascii="Times New Roman" w:cs="Times New Roman" w:eastAsia="Times New Roman" w:hAnsi="Times New Roman"/>
          <w:b w:val="false"/>
          <w:bCs w:val="false"/>
          <w:i w:val="false"/>
          <w:iCs w:val="false"/>
          <w:sz w:val="22"/>
          <w:szCs w:val="22"/>
        </w:rPr>
        <w:t xml:space="preserve">Six components had an eigenvalue above one. Together they accounted for 83.82% of the variation. The first two accounted for just over half. The scree plot in Figure 2 shows a sharp drop after the second component, which is the usual sign that the first two carry most of the useful information.</w:t>
      </w:r>
    </w:p>
    <w:p>
      <w:pPr>
        <w:spacing w:after="140" w:line="300"/>
        <w:jc w:val="both"/>
      </w:pPr>
      <w:r>
        <w:rPr>
          <w:rFonts w:ascii="Times New Roman" w:cs="Times New Roman" w:eastAsia="Times New Roman" w:hAnsi="Times New Roman"/>
          <w:b w:val="false"/>
          <w:bCs w:val="false"/>
          <w:i w:val="false"/>
          <w:iCs w:val="false"/>
          <w:sz w:val="22"/>
          <w:szCs w:val="22"/>
        </w:rPr>
        <w:t xml:space="preserve">The first component is a storage axis. It loaded positively on aroma, antioxidant capacity, total phenol, fat, total flavonoid and soluble protein. It loaded negatively on amylose and total colour difference. The reason this axis appears at all is that storage moves many traits at once and in a consistent direction. Every trait that falls during storage loads positive and every trait that rises loads negative. Reading the biplot in Figure 3 from right to left is therefore the same as reading the storage period from fresh paddy to twelve months.</w:t>
      </w:r>
    </w:p>
    <w:p>
      <w:pPr>
        <w:spacing w:after="140" w:line="300"/>
        <w:jc w:val="both"/>
      </w:pPr>
      <w:r>
        <w:rPr>
          <w:rFonts w:ascii="Times New Roman" w:cs="Times New Roman" w:eastAsia="Times New Roman" w:hAnsi="Times New Roman"/>
          <w:b w:val="false"/>
          <w:bCs w:val="false"/>
          <w:i w:val="false"/>
          <w:iCs w:val="false"/>
          <w:sz w:val="22"/>
          <w:szCs w:val="22"/>
        </w:rPr>
        <w:t xml:space="preserve">The second component is mainly a varietal axis. It loaded positively on phytic acid, iron and lightness, and negatively on head rice recovery, ash and amylose. The probable reason is grain anatomy. Phytic acid and iron sit largely in the bran and embryo, while head rice recovery depends on how dense and glassy the endosperm is. Landraces differ in the balance between these tissues, so a single axis separates them.</w:t>
      </w:r>
    </w:p>
    <w:p>
      <w:pPr>
        <w:spacing w:after="140" w:line="300"/>
        <w:jc w:val="both"/>
      </w:pPr>
      <w:r>
        <w:rPr>
          <w:rFonts w:ascii="Times New Roman" w:cs="Times New Roman" w:eastAsia="Times New Roman" w:hAnsi="Times New Roman"/>
          <w:b w:val="false"/>
          <w:bCs w:val="false"/>
          <w:i w:val="false"/>
          <w:iCs w:val="false"/>
          <w:sz w:val="22"/>
          <w:szCs w:val="22"/>
        </w:rPr>
        <w:t xml:space="preserve">The third component separated the minerals from everything else. It loaded positively on zinc and copper and negatively on manganese. Storage had no effect on any mineral. This component is therefore picking up differences between places in soil mineral supply, which agrees with Li et al. (2018) on the influence of the growing area on grain composition.</w:t>
      </w:r>
    </w:p>
    <w:p>
      <w:pPr>
        <w:spacing w:after="140" w:line="300"/>
        <w:jc w:val="both"/>
      </w:pPr>
      <w:r>
        <w:rPr>
          <w:rFonts w:ascii="Times New Roman" w:cs="Times New Roman" w:eastAsia="Times New Roman" w:hAnsi="Times New Roman"/>
          <w:b w:val="false"/>
          <w:bCs w:val="false"/>
          <w:i w:val="false"/>
          <w:iCs w:val="false"/>
          <w:sz w:val="22"/>
          <w:szCs w:val="22"/>
        </w:rPr>
        <w:t xml:space="preserve">The biplot in Figure 3 makes the structure easy to read. The twelve points of the pigmented landrace sit together on one side, away from the rest. Within each landrace the four storage points run in order across the plot, and the length of that track shows how much the landrace changed. Arrows that point the same way belong to traits that rise and fall together. Arrows that point in opposite directions belong to traits that move against each other. Arrows at right angles belong to traits that are independent, which is why the phytic acid arrow sits across the aroma and phenolic group.</w:t>
      </w:r>
    </w:p>
    <w:p>
      <w:pPr>
        <w:spacing w:after="140" w:line="300"/>
        <w:jc w:val="both"/>
      </w:pPr>
      <w:r>
        <w:rPr>
          <w:rFonts w:ascii="Times New Roman" w:cs="Times New Roman" w:eastAsia="Times New Roman" w:hAnsi="Times New Roman"/>
          <w:b w:val="false"/>
          <w:bCs w:val="false"/>
          <w:i w:val="false"/>
          <w:iCs w:val="false"/>
          <w:sz w:val="22"/>
          <w:szCs w:val="22"/>
        </w:rPr>
        <w:t xml:space="preserve">The practical value is that twenty three measurements are reduced to two readable dimensions. A treatment can be placed on the plot and its whole quality profile read at a glance.</w:t>
      </w:r>
    </w:p>
    <w:p>
      <w:pPr>
        <w:spacing w:after="60" w:before="12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47900"/>
                    </a:xfrm>
                    <a:prstGeom prst="rect">
                      <a:avLst/>
                    </a:prstGeom>
                  </pic:spPr>
                </pic:pic>
              </a:graphicData>
            </a:graphic>
          </wp:inline>
        </w:drawing>
      </w:r>
    </w:p>
    <w:p>
      <w:pPr>
        <w:spacing w:after="220"/>
        <w:jc w:val="center"/>
      </w:pPr>
      <w:r>
        <w:rPr>
          <w:rFonts w:ascii="Times New Roman" w:cs="Times New Roman" w:eastAsia="Times New Roman" w:hAnsi="Times New Roman"/>
          <w:b/>
          <w:bCs/>
          <w:sz w:val="19"/>
          <w:szCs w:val="19"/>
        </w:rPr>
        <w:t xml:space="preserve">Figure 2. Scree plot of the principal component analysis</w:t>
      </w:r>
    </w:p>
    <w:p>
      <w:pPr>
        <w:spacing w:after="60" w:before="120"/>
        <w:jc w:val="center"/>
      </w:pPr>
      <w:r>
        <w:drawing>
          <wp:inline distT="0" distB="0" distL="0" distR="0">
            <wp:extent cx="40957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552825"/>
                    </a:xfrm>
                    <a:prstGeom prst="rect">
                      <a:avLst/>
                    </a:prstGeom>
                  </pic:spPr>
                </pic:pic>
              </a:graphicData>
            </a:graphic>
          </wp:inline>
        </w:drawing>
      </w:r>
    </w:p>
    <w:p>
      <w:pPr>
        <w:spacing w:after="220"/>
        <w:jc w:val="center"/>
      </w:pPr>
      <w:r>
        <w:rPr>
          <w:rFonts w:ascii="Times New Roman" w:cs="Times New Roman" w:eastAsia="Times New Roman" w:hAnsi="Times New Roman"/>
          <w:b/>
          <w:bCs/>
          <w:sz w:val="19"/>
          <w:szCs w:val="19"/>
        </w:rPr>
        <w:t xml:space="preserve">Figure 3. Principal component biplot of the 36 treatment combinations</w:t>
      </w:r>
    </w:p>
    <w:p>
      <w:pPr>
        <w:pStyle w:val="Heading2"/>
        <w:spacing w:after="130" w:before="260"/>
      </w:pPr>
      <w:r>
        <w:rPr>
          <w:rFonts w:ascii="Times New Roman" w:cs="Times New Roman" w:eastAsia="Times New Roman" w:hAnsi="Times New Roman"/>
          <w:b/>
          <w:bCs/>
          <w:color w:val="000000"/>
          <w:sz w:val="23"/>
          <w:szCs w:val="23"/>
        </w:rPr>
        <w:t xml:space="preserve">4.8.3 Hierarchical cluster analysis</w:t>
      </w:r>
    </w:p>
    <w:p>
      <w:pPr>
        <w:spacing w:after="140" w:line="300"/>
        <w:jc w:val="both"/>
      </w:pPr>
      <w:r>
        <w:rPr>
          <w:rFonts w:ascii="Times New Roman" w:cs="Times New Roman" w:eastAsia="Times New Roman" w:hAnsi="Times New Roman"/>
          <w:b w:val="false"/>
          <w:bCs w:val="false"/>
          <w:i w:val="false"/>
          <w:iCs w:val="false"/>
          <w:sz w:val="22"/>
          <w:szCs w:val="22"/>
        </w:rPr>
        <w:t xml:space="preserve">Cluster analysis groups treatments by how alike they are across all the traits at once. Ward's method was used on the standardised data. It joins the two most similar groups at each step and builds a tree, shown as the dendrogram in Figure 4. The height at which two branches join shows how different they are. The cophenetic correlation was 0.503, which is moderate, so the tree gives a fair but not perfect picture of the distances.</w:t>
      </w:r>
    </w:p>
    <w:p>
      <w:pPr>
        <w:spacing w:after="140" w:line="300"/>
        <w:jc w:val="both"/>
      </w:pPr>
      <w:r>
        <w:rPr>
          <w:rFonts w:ascii="Times New Roman" w:cs="Times New Roman" w:eastAsia="Times New Roman" w:hAnsi="Times New Roman"/>
          <w:b w:val="false"/>
          <w:bCs w:val="false"/>
          <w:i w:val="false"/>
          <w:iCs w:val="false"/>
          <w:sz w:val="22"/>
          <w:szCs w:val="22"/>
        </w:rPr>
        <w:t xml:space="preserve">Cutting the tree into four groups gave clusters of twelve, four, seven and thirteen treatments. The grouping followed the landrace far more closely than it followed either the place or the storage period.</w:t>
      </w:r>
    </w:p>
    <w:p>
      <w:pPr>
        <w:spacing w:after="140" w:line="300"/>
        <w:jc w:val="both"/>
      </w:pPr>
      <w:r>
        <w:rPr>
          <w:rFonts w:ascii="Times New Roman" w:cs="Times New Roman" w:eastAsia="Times New Roman" w:hAnsi="Times New Roman"/>
          <w:b w:val="false"/>
          <w:bCs w:val="false"/>
          <w:i w:val="false"/>
          <w:iCs w:val="false"/>
          <w:sz w:val="22"/>
          <w:szCs w:val="22"/>
        </w:rPr>
        <w:t xml:space="preserve">The first cluster held all twelve treatments of the pigmented landrace and nothing else. No treatment of that landrace fell outside it. This cluster led for aroma, phenol, antioxidant capacity, head rice recovery and hulling, and held the least phytic acid. The reason it separates so cleanly is that a pigmented husk and a thicker bran affect many traits at once, in the same direction. Zhang et al. (2010) and Shao et al. (2014) showed how much of the phenolic and antioxidant load of rice sits in those tissues.</w:t>
      </w:r>
    </w:p>
    <w:p>
      <w:pPr>
        <w:spacing w:after="140" w:line="300"/>
        <w:jc w:val="both"/>
      </w:pPr>
      <w:r>
        <w:rPr>
          <w:rFonts w:ascii="Times New Roman" w:cs="Times New Roman" w:eastAsia="Times New Roman" w:hAnsi="Times New Roman"/>
          <w:b w:val="false"/>
          <w:bCs w:val="false"/>
          <w:i w:val="false"/>
          <w:iCs w:val="false"/>
          <w:sz w:val="22"/>
          <w:szCs w:val="22"/>
        </w:rPr>
        <w:t xml:space="preserve">The second cluster held only four treatments, all of one landrace from one place. It stood apart on mineral content rather than on anything else, holding much the most zinc, ash and copper. The probable reason is soil. Zinc availability to rice depends strongly on soil reaction, phosphorus status and how long the field stays flooded. This cluster is the clearest confirmation of the location and variety interactions reported throughout this chapter.</w:t>
      </w:r>
    </w:p>
    <w:p>
      <w:pPr>
        <w:spacing w:after="140" w:line="300"/>
        <w:jc w:val="both"/>
      </w:pPr>
      <w:r>
        <w:rPr>
          <w:rFonts w:ascii="Times New Roman" w:cs="Times New Roman" w:eastAsia="Times New Roman" w:hAnsi="Times New Roman"/>
          <w:b w:val="false"/>
          <w:bCs w:val="false"/>
          <w:i w:val="false"/>
          <w:iCs w:val="false"/>
          <w:sz w:val="22"/>
          <w:szCs w:val="22"/>
        </w:rPr>
        <w:t xml:space="preserve">The third cluster held the middle and later storage samples of the two non-pigmented landraces, mostly from one place. This is the deteriorated group. It recorded the lowest aroma, phenol, antioxidant capacity and ash. It shows what happens when a landrace of only moderate quality is grown at the weakest place and then held for a long period.</w:t>
      </w:r>
    </w:p>
    <w:p>
      <w:pPr>
        <w:spacing w:after="140" w:line="300"/>
        <w:jc w:val="both"/>
      </w:pPr>
      <w:r>
        <w:rPr>
          <w:rFonts w:ascii="Times New Roman" w:cs="Times New Roman" w:eastAsia="Times New Roman" w:hAnsi="Times New Roman"/>
          <w:b w:val="false"/>
          <w:bCs w:val="false"/>
          <w:i w:val="false"/>
          <w:iCs w:val="false"/>
          <w:sz w:val="22"/>
          <w:szCs w:val="22"/>
        </w:rPr>
        <w:t xml:space="preserve">The fourth cluster held the fresh and early stored samples of the same two landraces. It led for phytic acid and iron and was moderate for most other traits.</w:t>
      </w:r>
    </w:p>
    <w:p>
      <w:pPr>
        <w:spacing w:after="140" w:line="300"/>
        <w:jc w:val="both"/>
      </w:pPr>
      <w:r>
        <w:rPr>
          <w:rFonts w:ascii="Times New Roman" w:cs="Times New Roman" w:eastAsia="Times New Roman" w:hAnsi="Times New Roman"/>
          <w:b w:val="false"/>
          <w:bCs w:val="false"/>
          <w:i w:val="false"/>
          <w:iCs w:val="false"/>
          <w:sz w:val="22"/>
          <w:szCs w:val="22"/>
        </w:rPr>
        <w:t xml:space="preserve">Three lessons follow. First, the landrace was the strongest single force shaping overall quality, because the pigmented landrace separated from the others before any other division appeared in the tree. Second, storage was the next strongest, because within the other two landraces the fresh samples separated from the late ones. Third, the growing place mattered least on the whole, but it was decisive in one case, where a single landrace at a single place broke away on its mineral content. Abdelsalam et al. (2025) similarly found clustering to separate rice cultivars mainly on genotype, with the environment acting on particular traits.</w:t>
      </w:r>
    </w:p>
    <w:p>
      <w:pPr>
        <w:spacing w:after="60" w:before="120"/>
        <w:jc w:val="center"/>
      </w:pPr>
      <w:r>
        <w:drawing>
          <wp:inline distT="0" distB="0" distL="0" distR="0">
            <wp:extent cx="4476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286000"/>
                    </a:xfrm>
                    <a:prstGeom prst="rect">
                      <a:avLst/>
                    </a:prstGeom>
                  </pic:spPr>
                </pic:pic>
              </a:graphicData>
            </a:graphic>
          </wp:inline>
        </w:drawing>
      </w:r>
    </w:p>
    <w:p>
      <w:pPr>
        <w:spacing w:after="220"/>
        <w:jc w:val="center"/>
      </w:pPr>
      <w:r>
        <w:rPr>
          <w:rFonts w:ascii="Times New Roman" w:cs="Times New Roman" w:eastAsia="Times New Roman" w:hAnsi="Times New Roman"/>
          <w:b/>
          <w:bCs/>
          <w:sz w:val="19"/>
          <w:szCs w:val="19"/>
        </w:rPr>
        <w:t xml:space="preserve">Figure 4. Dendrogram grouping the 36 treatment combinations</w:t>
      </w:r>
    </w:p>
    <w:p>
      <w:r>
        <w:br w:type="page"/>
      </w:r>
    </w:p>
    <w:p>
      <w:pPr>
        <w:pStyle w:val="Heading1"/>
        <w:spacing w:after="130" w:before="260"/>
      </w:pPr>
      <w:r>
        <w:rPr>
          <w:rFonts w:ascii="Times New Roman" w:cs="Times New Roman" w:eastAsia="Times New Roman" w:hAnsi="Times New Roman"/>
          <w:b/>
          <w:bCs/>
          <w:color w:val="000000"/>
          <w:sz w:val="24"/>
          <w:szCs w:val="24"/>
        </w:rPr>
        <w:t xml:space="preserve">4.9 Summary and conclusion</w:t>
      </w:r>
    </w:p>
    <w:p>
      <w:pPr>
        <w:spacing w:after="140" w:line="300"/>
        <w:jc w:val="both"/>
      </w:pPr>
      <w:r>
        <w:rPr>
          <w:rFonts w:ascii="Times New Roman" w:cs="Times New Roman" w:eastAsia="Times New Roman" w:hAnsi="Times New Roman"/>
          <w:b w:val="false"/>
          <w:bCs w:val="false"/>
          <w:i w:val="false"/>
          <w:iCs w:val="false"/>
          <w:sz w:val="22"/>
          <w:szCs w:val="22"/>
        </w:rPr>
        <w:t xml:space="preserve">This experiment set out to separate three influences on the grain quality of the traditional aromatic rices of West Bengal. These were the place of growing, the landrace, and the length of storage after harvest. Thirty-eight parameters were recorded. Three landraces from three locations were tested at four storage intervals, over two seasons. The location effect was significant for all twenty-three parameters in which storage was assayed, the varietal effect for all twenty-three, and the storage effect for nineteen. The location by variety interaction reached significance for twenty-one parameters and the three-factor interaction for fifteen. Quality in these landraces is therefore not the property of any single factor.</w:t>
      </w:r>
    </w:p>
    <w:p>
      <w:pPr>
        <w:pStyle w:val="Heading2"/>
        <w:spacing w:after="130" w:before="260"/>
      </w:pPr>
      <w:r>
        <w:rPr>
          <w:rFonts w:ascii="Times New Roman" w:cs="Times New Roman" w:eastAsia="Times New Roman" w:hAnsi="Times New Roman"/>
          <w:b/>
          <w:bCs/>
          <w:color w:val="000000"/>
          <w:sz w:val="23"/>
          <w:szCs w:val="23"/>
        </w:rPr>
        <w:t xml:space="preserve">4.9.1 Effect of location</w:t>
      </w:r>
    </w:p>
    <w:p>
      <w:pPr>
        <w:spacing w:after="140" w:line="300"/>
        <w:jc w:val="both"/>
      </w:pPr>
      <w:r>
        <w:rPr>
          <w:rFonts w:ascii="Times New Roman" w:cs="Times New Roman" w:eastAsia="Times New Roman" w:hAnsi="Times New Roman"/>
          <w:b w:val="false"/>
          <w:bCs w:val="false"/>
          <w:i w:val="false"/>
          <w:iCs w:val="false"/>
          <w:sz w:val="22"/>
          <w:szCs w:val="22"/>
        </w:rPr>
        <w:t xml:space="preserve">Birbhum and Howrah gave the best milling percentage, head rice recovery, total starch, total phenol, total flavonoid, antioxidant capacity, iron, manganese and aroma. Nadia gave the best hulling, soluble protein, fat, ash, moisture retention, copper and zinc, and the lowest phytic acid. Purba Bardhaman was the weakest location for most attributes that determine nutritional value, though it gave the highest amylose and the brightest grain. The growing environment appears to act by two routes. One is the weather during grain filling. The other is the mineral status of the soil. No single factor dominated.</w:t>
      </w:r>
    </w:p>
    <w:p>
      <w:pPr>
        <w:pStyle w:val="Heading2"/>
        <w:spacing w:after="130" w:before="260"/>
      </w:pPr>
      <w:r>
        <w:rPr>
          <w:rFonts w:ascii="Times New Roman" w:cs="Times New Roman" w:eastAsia="Times New Roman" w:hAnsi="Times New Roman"/>
          <w:b/>
          <w:bCs/>
          <w:color w:val="000000"/>
          <w:sz w:val="23"/>
          <w:szCs w:val="23"/>
        </w:rPr>
        <w:t xml:space="preserve">4.9.2 Effect of variety</w:t>
      </w:r>
    </w:p>
    <w:p>
      <w:pPr>
        <w:spacing w:after="140" w:line="300"/>
        <w:jc w:val="both"/>
      </w:pPr>
      <w:r>
        <w:rPr>
          <w:rFonts w:ascii="Times New Roman" w:cs="Times New Roman" w:eastAsia="Times New Roman" w:hAnsi="Times New Roman"/>
          <w:b w:val="false"/>
          <w:bCs w:val="false"/>
          <w:i w:val="false"/>
          <w:iCs w:val="false"/>
          <w:sz w:val="22"/>
          <w:szCs w:val="22"/>
        </w:rPr>
        <w:t xml:space="preserve">Kalojira emerged as the outstanding landrace. It led for hulling, milling, head rice recovery, total starch, amylose, fat, ash, aroma, total phenol, total flavonoid and antioxidant capacity, and it held the least phytic acid. Its small dense kernel, tight pigmented husk and proportionately thicker bran account for most of this advantage. Gobindabhog was superior for soluble protein, grain shape, iron and thirteen of the fifteen amino acids. It is therefore the better choice where protein quality or grain iron is the objective. Radhunipagal led only for zinc and was the poorest performer for the majority of milling and nutritional attributes.</w:t>
      </w:r>
    </w:p>
    <w:p>
      <w:pPr>
        <w:pStyle w:val="Heading2"/>
        <w:spacing w:after="130" w:before="260"/>
      </w:pPr>
      <w:r>
        <w:rPr>
          <w:rFonts w:ascii="Times New Roman" w:cs="Times New Roman" w:eastAsia="Times New Roman" w:hAnsi="Times New Roman"/>
          <w:b/>
          <w:bCs/>
          <w:color w:val="000000"/>
          <w:sz w:val="23"/>
          <w:szCs w:val="23"/>
        </w:rPr>
        <w:t xml:space="preserve">4.9.3 Effect of storage</w:t>
      </w:r>
    </w:p>
    <w:p>
      <w:pPr>
        <w:spacing w:after="140" w:line="300"/>
        <w:jc w:val="both"/>
      </w:pPr>
      <w:r>
        <w:rPr>
          <w:rFonts w:ascii="Times New Roman" w:cs="Times New Roman" w:eastAsia="Times New Roman" w:hAnsi="Times New Roman"/>
          <w:b w:val="false"/>
          <w:bCs w:val="false"/>
          <w:i w:val="false"/>
          <w:iCs w:val="false"/>
          <w:sz w:val="22"/>
          <w:szCs w:val="22"/>
        </w:rPr>
        <w:t xml:space="preserve">Storage pulled quality in two directions at once, and this is the central finding of the experiment. Milling behaviour improved as the grain aged, head rice recovery gaining 2.14 percentage points by eight months and milling percentage peaking at four months. Amylose rose by 12.8% over the year, shifting the highest landrace into the next cooking-quality class. Set against these gains, aroma fell by 31.7%, soluble protein by 41.4%, fat by 31.3%, total phenol by 52.4%, total flavonoid by 37.3% and antioxidant capacity by 62.7%.</w:t>
      </w:r>
    </w:p>
    <w:p>
      <w:pPr>
        <w:spacing w:after="140" w:line="300"/>
        <w:jc w:val="both"/>
      </w:pPr>
      <w:r>
        <w:rPr>
          <w:rFonts w:ascii="Times New Roman" w:cs="Times New Roman" w:eastAsia="Times New Roman" w:hAnsi="Times New Roman"/>
          <w:b w:val="false"/>
          <w:bCs w:val="false"/>
          <w:i w:val="false"/>
          <w:iCs w:val="false"/>
          <w:sz w:val="22"/>
          <w:szCs w:val="22"/>
        </w:rPr>
        <w:t xml:space="preserve">Two results run counter to the general decline and both are favourable. Grain concentrations of copper, iron, zinc and manganese did not change at all during storage, while phytic acid fell by 40.0%. Because phytic acid is what prevents the body from absorbing iron and zinc, the balance between them improved steadily. Aged grain should therefore release its minerals more readily than fresh grain even though it holds no more of them.</w:t>
      </w:r>
    </w:p>
    <w:p>
      <w:pPr>
        <w:pStyle w:val="Heading2"/>
        <w:spacing w:after="130" w:before="260"/>
      </w:pPr>
      <w:r>
        <w:rPr>
          <w:rFonts w:ascii="Times New Roman" w:cs="Times New Roman" w:eastAsia="Times New Roman" w:hAnsi="Times New Roman"/>
          <w:b/>
          <w:bCs/>
          <w:color w:val="000000"/>
          <w:sz w:val="23"/>
          <w:szCs w:val="23"/>
        </w:rPr>
        <w:t xml:space="preserve">4.9.4 Interaction effects</w:t>
      </w:r>
    </w:p>
    <w:p>
      <w:pPr>
        <w:spacing w:after="140" w:line="300"/>
        <w:jc w:val="both"/>
      </w:pPr>
      <w:r>
        <w:rPr>
          <w:rFonts w:ascii="Times New Roman" w:cs="Times New Roman" w:eastAsia="Times New Roman" w:hAnsi="Times New Roman"/>
          <w:b w:val="false"/>
          <w:bCs w:val="false"/>
          <w:i w:val="false"/>
          <w:iCs w:val="false"/>
          <w:sz w:val="22"/>
          <w:szCs w:val="22"/>
        </w:rPr>
        <w:t xml:space="preserve">The interactions add three lessons that the main effects alone would conceal. First, for the milling traits and for aroma the order of the landraces held at every location. The choice of landrace can therefore be made once for the whole of West Bengal. Second, for soluble protein, ash and all four minerals the order changed from location to location. No landrace can be recommended for these traits without naming the district. Third, for aroma, fat and amylose all three landraces changed at nearly the same rate during storage, which means a single storage rule will serve all of them.</w:t>
      </w:r>
    </w:p>
    <w:p>
      <w:pPr>
        <w:pStyle w:val="Heading2"/>
        <w:spacing w:after="130" w:before="260"/>
      </w:pPr>
      <w:r>
        <w:rPr>
          <w:rFonts w:ascii="Times New Roman" w:cs="Times New Roman" w:eastAsia="Times New Roman" w:hAnsi="Times New Roman"/>
          <w:b/>
          <w:bCs/>
          <w:color w:val="000000"/>
          <w:sz w:val="23"/>
          <w:szCs w:val="23"/>
        </w:rPr>
        <w:t xml:space="preserve">4.9.5 Multivariate analysis</w:t>
      </w:r>
    </w:p>
    <w:p>
      <w:pPr>
        <w:spacing w:after="140" w:line="300"/>
        <w:jc w:val="both"/>
      </w:pPr>
      <w:r>
        <w:rPr>
          <w:rFonts w:ascii="Times New Roman" w:cs="Times New Roman" w:eastAsia="Times New Roman" w:hAnsi="Times New Roman"/>
          <w:b w:val="false"/>
          <w:bCs w:val="false"/>
          <w:i w:val="false"/>
          <w:iCs w:val="false"/>
          <w:sz w:val="22"/>
          <w:szCs w:val="22"/>
        </w:rPr>
        <w:t xml:space="preserve">The three multivariate analyses agreed with one another and with the analysis of variance. Correlation showed one tightly linked group of desirable traits. These were aroma, fat, phenol, flavonoid, antioxidant capacity and soluble protein. They decline together, and amylose moves against them. Principal component analysis reduced twenty-three parameters to two readable dimensions. Together they accounted for just over half the variation. The first was a storage axis and the second a varietal axis. Cluster analysis separated all twelve Kalojira treatments into a single group. This happened before any other division appeared in the tree. The landrace is therefore the strongest single force shaping overall quality. Storage came next and location least, except in one striking case.</w:t>
      </w:r>
    </w:p>
    <w:p>
      <w:pPr>
        <w:pStyle w:val="Heading2"/>
        <w:spacing w:after="130" w:before="260"/>
      </w:pPr>
      <w:r>
        <w:rPr>
          <w:rFonts w:ascii="Times New Roman" w:cs="Times New Roman" w:eastAsia="Times New Roman" w:hAnsi="Times New Roman"/>
          <w:b/>
          <w:bCs/>
          <w:color w:val="000000"/>
          <w:sz w:val="23"/>
          <w:szCs w:val="23"/>
        </w:rPr>
        <w:t xml:space="preserve">4.9.6 Practical recommendations</w:t>
      </w:r>
    </w:p>
    <w:p>
      <w:pPr>
        <w:spacing w:after="140" w:line="300"/>
        <w:jc w:val="both"/>
      </w:pPr>
      <w:r>
        <w:rPr>
          <w:rFonts w:ascii="Times New Roman" w:cs="Times New Roman" w:eastAsia="Times New Roman" w:hAnsi="Times New Roman"/>
          <w:b w:val="false"/>
          <w:bCs w:val="false"/>
          <w:i w:val="false"/>
          <w:iCs w:val="false"/>
          <w:sz w:val="22"/>
          <w:szCs w:val="22"/>
        </w:rPr>
        <w:t xml:space="preserve">Four recommendations follow from these results. Kalojira should be preferred where aroma, phenolic content and milling outturn are the objectives, and Gobindabhog where protein quality or grain iron matters more. A storage period of four to eight months is the best compromise. Within that window most of the milling gain from ageing has been realised. The loss of aroma and bioactive compounds is still moderate. Aromatic rice held beyond eight months under ambient conditions loses much of the fragrance and antioxidant value for which it commands a premium. None of it can be recovered. Where longer holding is unavoidable, cool storage should be considered, since temperature rather than time governs the rate of these losses.</w:t>
      </w:r>
    </w:p>
    <w:p>
      <w:pPr>
        <w:pStyle w:val="Heading2"/>
        <w:spacing w:after="130" w:before="260"/>
      </w:pPr>
      <w:r>
        <w:rPr>
          <w:rFonts w:ascii="Times New Roman" w:cs="Times New Roman" w:eastAsia="Times New Roman" w:hAnsi="Times New Roman"/>
          <w:b/>
          <w:bCs/>
          <w:color w:val="000000"/>
          <w:sz w:val="23"/>
          <w:szCs w:val="23"/>
        </w:rPr>
        <w:t xml:space="preserve">4.9.7 Limitations</w:t>
      </w:r>
    </w:p>
    <w:p>
      <w:pPr>
        <w:spacing w:after="140" w:line="300"/>
        <w:jc w:val="both"/>
      </w:pPr>
      <w:r>
        <w:rPr>
          <w:rFonts w:ascii="Times New Roman" w:cs="Times New Roman" w:eastAsia="Times New Roman" w:hAnsi="Times New Roman"/>
          <w:b w:val="false"/>
          <w:bCs w:val="false"/>
          <w:i w:val="false"/>
          <w:iCs w:val="false"/>
          <w:sz w:val="22"/>
          <w:szCs w:val="22"/>
        </w:rPr>
        <w:t xml:space="preserve">Three limitations should be stated plainly. The amino acid profile was determined on freshly harvested grain alone, so no conclusion is drawn about the effect of storage on amino acids. The multivariate analyses were based on treatment means and not on individual replicate values. The coefficients therefore describe how the treatment means move together. They are not estimates of correlation among individual observations. Two observations lie far outside the rest of the data. Both should be verified against the raw records before the tables are finalised. The first is the length to breadth ratio of Radhunipagal at Purba Bardhaman at eight months, which fell below unity. The second is the near absence of cysteine and tyrosine in Radhunipagal, which is more likely a failure of detection than a true absence.</w:t>
      </w:r>
    </w:p>
    <w:p>
      <w:pPr>
        <w:pStyle w:val="Heading2"/>
        <w:spacing w:after="130" w:before="260"/>
      </w:pPr>
      <w:r>
        <w:rPr>
          <w:rFonts w:ascii="Times New Roman" w:cs="Times New Roman" w:eastAsia="Times New Roman" w:hAnsi="Times New Roman"/>
          <w:b/>
          <w:bCs/>
          <w:color w:val="000000"/>
          <w:sz w:val="23"/>
          <w:szCs w:val="23"/>
        </w:rPr>
        <w:t xml:space="preserve">4.9.8 Conclusion</w:t>
      </w:r>
    </w:p>
    <w:p>
      <w:pPr>
        <w:spacing w:after="140" w:line="300"/>
        <w:jc w:val="both"/>
      </w:pPr>
      <w:r>
        <w:rPr>
          <w:rFonts w:ascii="Times New Roman" w:cs="Times New Roman" w:eastAsia="Times New Roman" w:hAnsi="Times New Roman"/>
          <w:b w:val="false"/>
          <w:bCs w:val="false"/>
          <w:i w:val="false"/>
          <w:iCs w:val="false"/>
          <w:sz w:val="22"/>
          <w:szCs w:val="22"/>
        </w:rPr>
        <w:t xml:space="preserve">The quality of the traditional aromatic rices of West Bengal is governed jointly by the landrace, the growing location and the storage period. The three act together rather than independently. Among the landraces studied, Kalojira is the best all-round choice, combining superior milling outturn with the highest aroma and the greatest phenolic and antioxidant content. Storage improves milling behaviour and lowers phytic acid, but at the cost of severe and irreversible losses of aroma, extractable protein, lipid and antioxidant capacity. A holding period of four to eight months reconciles these opposing trends. One wider implication follows. The premium attaching to these landraces rests on the very attributes that are lost fastest in store. Whether it is realised therefore depends on the marketing chain, and not on the breeding programme alone.</w:t>
      </w:r>
    </w:p>
    <w:p>
      <w:r>
        <w:br w:type="page"/>
      </w:r>
    </w:p>
    <w:p>
      <w:pPr>
        <w:pStyle w:val="Heading1"/>
        <w:spacing w:after="130" w:before="260"/>
      </w:pPr>
      <w:r>
        <w:rPr>
          <w:rFonts w:ascii="Times New Roman" w:cs="Times New Roman" w:eastAsia="Times New Roman" w:hAnsi="Times New Roman"/>
          <w:b/>
          <w:bCs/>
          <w:color w:val="000000"/>
          <w:sz w:val="26"/>
          <w:szCs w:val="26"/>
        </w:rPr>
        <w:t xml:space="preserve">REFERENCES</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Abdelsalam, K. M. H., Shaalan, A. M., AbouEl-Soud, G. M., El-Dalil, M. A. E., Marei, A. M., Abd El-Moneim, D., El-Banna, A. A. A., Lamlom, S. F. and Abdelghany, A. M. (2025). Comprehensive quality profiling and multivariate analysis of rice (Oryza sativa L.) cultivars: integrating physical, cooking, nutritional, and micronutrient characteristics for enhanced varietal selection. BMC Plant Biology, 25: 492.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Bhattacharjee, P., Singhal, R. S. and Kulkarni, P. R. (2002). Basmati rice: A review. International Journal of Food Science and Technology, 37(1): 1-12.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Buttery, R. G., Ling, L. C., Juliano, B. O. and Turnbaugh, J. G. (1983). Cooked rice aroma and 2-acetyl-1-pyrroline. Journal of Agricultural and Food Chemistry, 31(4): 823-826.</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Chattopadhyay, K., Sharma, S. G., Bagchi, T. B., Molla, K. A., Sarkar, S., Marndi, B. C., Sarkar, A., Dash, S. K. and Singh, O. N. (2018). Development of recombinant high-yielding lines with improved protein content in rice (Oryza sativa L.). The Journal of Agricultural Science, 156(2): 1-17.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Chrastil, J. and Zarins, Z. M. (1992). Influence of storage on peptide subunit composition of rice oryzenin. Journal of Agricultural and Food Chemistry, 40(6): 927-930.</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Das, M. N. and Giri, N. C. (1986). Design and Analysis of Experiments. New Age International, New Delhi, 488p.</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Devi, V., Sethi, M., Kaur, C., Singh, V., Kumar, R. and Chaudhary, D. P. (2024). Temporal profile of amino acids and protein fractions in the developing kernel of maize germplasm. Scientific Reports, 14: 27161.</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Duangkhamchan, W., Huangsaeng, K., Kondo, N. and Jaisut, D. (2024). Enhancing paddy rice preservation in small-scale barns: comparative analysis of hot air-drying techniques and ventilation impact on quality and energy efficiency. Foods, 13(5): 672.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Fukushima, A., Uchino, G., Akabane, T., Aiseki, A., Perera, I. and Hirotsu, N. (2020). Phytic acid in brown rice can be reduced by increasing soaking temperature. Foods, 10(1): 23.</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Genkawa, T., Uchino, T. and Inoue, A. (2008). Development of a low-moisture-content storage system for brown rice: storability at decreased moisture contents. Biosystems Engineering, 99(4): 515-522.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Imran, M., Shafiq, S., Ashraf, U., Qi, J., Mo, Z. and Tang, X. (2023). Biosynthesis of 2-acetyl-1-pyrroline in fragrant rice: recent insights into agro-management, environmental factors, and functional genomics. Journal of Agricultural and Food Chemistry, 71(10): 4201-4215.</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IRRI. (2016). Milling By-products. International Rice Research Institute, Manila, Philippines.</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Itani, T., Tamaki, M., Hayata, Y., Fushimi, T. and Hashizume, K. (2004). Variation of 2-acetyl-1-pyrroline concentration in aromatic rice grains collected in the same region in Japan and factors affecting its concentration. Plant Production Science, 7(2): 178-183.</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Jayaprakash, G., Bains, A., Chawla, P., Fogarasi, M. and Fogarasi, S. (2022). A narrative review on rice proteins: current scenario and food industrial application. Polymers, 14(15): 3003.</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Juliano, B. O. (1992). Structure, chemistry and function of the rice grain and its fractions. Cereal Foods World, 37(10): 772-779.</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Kamjijam, B., Bednarz, H., Suwannaporn, P., Jom, K. N. and Niehaus, K. (2020). Localization of amino acids in germinated rice grain: gamma-aminobutyric acid and essential amino acids production approach. Journal of Cereal Science, 93: 102958.</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Kaul, A. K. (1970). Early generation testing for quality characteristics. II. Rice. Indian Journal of Genetics and Plant Breeding, 30: 237-243.</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Kim, A. N., Kim, O. W. and Kim, H. (2023). A study about factors influencing rice palatability based on changes in sensory and physicochemical properties under different postharvest conditions. Current Research in Food Science, 7: 100625.</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Kumaresh, P., Chowdhury, S., Dutta, S. K., Chakraborty, S., Chakraborty, M., Pandit, G. K., Dutta, S., Paul, P. K., Choudhury, A., Majumder, B., Sahana, N. and Mandal, S. (2020). Analysis of rhizome colour content, bioactive compound profiling and ex-situ conservation of turmeric genotypes (Curcuma longa L.) from the sub-Himalayan terai region of India. Industrial Crops and Products, 150: 112401.</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Li, X., Wu, L., Geng, X., Xia, X., Wang, X., Xu, Z. and Xu, Q. (2018). Deciphering the environmental impacts on rice quality for different rice cultivated areas. Rice, 11: 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Luo, H., Zhang, T., Zheng, A., He, L., Lai, R., Liu, J., Xing, P. and Tang, X. (2020). Exogenous proline induces regulation in 2-acetyl-1-pyrroline (2-AP) biosynthesis and quality characters in fragrant rice (Oryza sativa L.). Scientific Reports, 10: 13971.</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Mahadevamma, S. and Tharanathan, R. N. (2007). Processed rice starch characteristics and morphology. European Food Research and Technology, 225: 603-612.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Mahendra, A., Shukla, V. K., Shukla, S. S. and Gour, S. (2019). Grain quality assessment of scented and non-scented rice varieties under organic nutrient management. International Journal of Current Microbiology and Applied Sciences, 8(9): 775-782.</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Müller, A., Nunes, M. T., Maldaner, V., Coradi, P. C., Moraes, R. S. de, Martens, S., Leal, A. F., Pereira, V. F. and Marin, C. K. (2022). Rice drying, storage and processing: effects of post-harvest operations on grain quality. Rice Science, 29(1): 16-30.</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Mutters, R. G. and Thompson, J. F. (2009). Rice Quality Handbook. University of California Agriculture and Natural Resources Publication, Oakland, California, 141p.</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Pachauri, V., Singh, M. K., Singh, A. K., Singh, S., Shakeel, N. A., Singh, V. P. and Singh, N. K. (2010). Origin and genetic diversity of aromatic rice varieties, molecular breeding and chemical and genetic basis of rice aroma. Journal of Plant Biochemistry and Biotechnology, 19(2): 127-143.</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Patra, P. S., Saha, R., Ahmed, A. S., Kanjilal, B., Debnath, M. K., Paramanik, B., Hoque, A., Kundu, A., Adhikary, P., Biswas, A., Dey, P. and Biswas, A. (2024). Enhancing aromatic rice production through agronomic and nutritional management for improved yield and quality. Scientific Reports, 14: 15555.</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Perera, I., Seneweera, S. and Hirotsu, N. (2018). Manipulating the phytic acid content of rice grain toward improving micronutrient bioavailability. Rice, 11: 4.</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Renuka, N., Barvkar, V. T., Ansari, Z., Zhao, C., Wang, C., Zhang, Y. and Nadaf, A. B. (2022). Co-functioning of 2AP precursor amino acids enhances 2-acetyl-1-pyrroline under salt stress in aromatic rice (Oryza sativa L.) cultivars. Scientific Reports, 12: 3911.</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Shao, Y., Xu, F., Sun, X., Bao, J. and Beta, T. (2014). Identification and quantification of phenolic acids and anthocyanins as antioxidants in bran, embryo and endosperm of white, red and black rice kernels (Oryza sativa L.). Journal of Cereal Science, 59(2): 211-218.</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Singh, R. K., Singh, U. S., Khush, G. S., Rohilla, R., Singh, J. P., Singh, G. and Singh, K. S. (2000). Small and medium grained aromatic rice of India. In: Aromatic Rices (Eds. Singh, R. K., Singh, U. S. and Khush, G. S.). Oxford and IBH Publishing, New Delhi. pp.155-177.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Sui, Y., Che, Y., Zhong, Y. and He, L. (2023). Genome-wide association studies using 3VmrMLM model provide new insights into branched-chain amino acid contents in rice grains. Plants, 12(16): 2970.</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Tsado, E. K., Gana, A. S., Yusuf, S. T., Daniya, E. and Musa, A. (2015). Effect of the storage period of paddy rice on grain fissures and breakages of milled rice. IOSR Journal of Environmental Science, Toxicology and Food Technology, 9: 08-17.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Verma, D. and Srivastav, P. P. (2017). Proximate composition, mineral content and fatty acids analyses of aromatic and non-aromatic Indian rice. Rice Science, 24(1): 21-31.</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Wang, Y., Wu, W., Xu, J., Gao, M., Wu, Z., Wang, R. and Liu, H. (2025). Changes in quality and safety indexes during rice harvest and discussion on drying technology. Foods, 14(7): 1225.</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Widjaja, R., Craske, J. D. and Wootton, M. (1996). Changes in volatile components of paddy, brown and white fragrant rice during storage. Journal of the Science of Food and Agriculture, 71(2): 218-224.</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Wongpornchai, S., Dumri, K., Jongkaewwattana, S. and Siri, B. (2004). Effects of drying methods and storage time on the aroma and milling quality of rice (Oryza sativa L.) cv. Khao Dawk Mali 105. Food Chemistry, 87(3): 407-414.</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Yanxia, A. N., Zhou, X. and Yurong, Z. (2018). Changes in physicochemical, cooking and sensory characteristics of rice shifted from low-temperature storage. Grain and Oil Science and Technology, 1(1): 8-14.</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Yoshihashi, T., Huong, N. T. T. and Inatomi, H. (2002). Precursors of 2-acetyl-1-pyrroline, a potent flavour compound of an aromatic rice variety. Journal of Agricultural and Food Chemistry, 50(7): 2001-2004.</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Yoshihashi, T., Nguyen, T. T. H., Surojanametakul, V., Tungtrakul, P. and Varanyanond, W. (2005). Effect of storage conditions on 2-acetyl-1-pyrroline content in aromatic rice variety, Khao Dawk Mali 105. Journal of Food Science, 70(1): S34-S37.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Zhang, M. W., Zhang, R. F., Zhang, F. X. and Liu, R. H. (2010). Phenolic profiles and antioxidant activity of black rice bran of different commercially available varieties. Journal of Agricultural and Food Chemistry, 58(13): 7580-7587.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Zhou, Z., Robards, K., Helliwell, S. and Blanchard, C. (2002). Ageing of stored rice: changes in chemical and physical attributes. Journal of Cereal Science, 35(1): 65-78.</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Zhou, Z., Robards, K., Helliwell, S. and Blanchard, C. (2004). The distribution of phenolic acids in rice. Food Chemistry, 87(3): 401-406.</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Zhou, Z., Wang, X., Si, X., Blanchard, C. and Strappe, P. (2015). The ageing mechanism of stored rice: a concept model from the past to the present. Journal of Stored Products Research, 64: 80-87.</w:t>
      </w:r>
    </w:p>
    <w:p>
      <w:pPr>
        <w:spacing w:after="130" w:line="280"/>
        <w:ind w:left="720" w:hanging="720"/>
        <w:jc w:val="both"/>
      </w:pPr>
      <w:r>
        <w:rPr>
          <w:rFonts w:ascii="Times New Roman" w:cs="Times New Roman" w:eastAsia="Times New Roman" w:hAnsi="Times New Roman"/>
          <w:b w:val="false"/>
          <w:bCs w:val="false"/>
          <w:i w:val="false"/>
          <w:iCs w:val="false"/>
          <w:sz w:val="21"/>
          <w:szCs w:val="21"/>
        </w:rPr>
        <w:t xml:space="preserve">Zia-Ur-Rehman. (2004). Storage effects on the nutritional quality of commonly consumed cereals. Food Chemistry, 95: 53-57.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dc0e6f3780183cbc0618bef7e6fccbe9872ac79.png"/><Relationship Id="rId9" Type="http://schemas.openxmlformats.org/officeDocument/2006/relationships/image" Target="media/9995707ee3031ab7b599a797b27005b6d9e23444.png"/><Relationship Id="rId10" Type="http://schemas.openxmlformats.org/officeDocument/2006/relationships/image" Target="media/62ef92c5d6e127f94cbc60784393ffd2b522c4ac.png"/><Relationship Id="rId11" Type="http://schemas.openxmlformats.org/officeDocument/2006/relationships/image" Target="media/85b40e13059b59d181757907c15d24e96086d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2026-09-01T07:58:49.616Z</dcterms:created>
  <dcterms:modified xsi:type="dcterms:W3CDTF">2026-09-01T07:58:49.617Z</dcterms:modified>
</cp:coreProperties>
</file>

<file path=docProps/custom.xml><?xml version="1.0" encoding="utf-8"?>
<Properties xmlns="http://schemas.openxmlformats.org/officeDocument/2006/custom-properties" xmlns:vt="http://schemas.openxmlformats.org/officeDocument/2006/docPropsVTypes"/>
</file>