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80" w:line="360" w:lineRule="auto"/>
        <w:jc w:val="left"/>
      </w:pPr>
      <w:r>
        <w:rPr>
          <w:rFonts w:ascii="Times New Roman" w:hAnsi="Times New Roman"/>
          <w:b/>
          <w:sz w:val="28"/>
        </w:rPr>
        <w:t xml:space="preserve">Summary</w:t>
      </w:r>
    </w:p>
    <w:p>
      <w:pPr>
        <w:spacing w:after="200" w:line="360" w:lineRule="auto"/>
        <w:ind w:firstLine="567"/>
        <w:jc w:val="both"/>
      </w:pPr>
      <w:r>
        <w:rPr>
          <w:rFonts w:ascii="Times New Roman" w:hAnsi="Times New Roman"/>
          <w:sz w:val="24"/>
        </w:rPr>
        <w:t xml:space="preserve">The investigation was undertaken to establish how the district of production, the length of post-harvest storage and the method of processing govern the quality of the traditional aromatic rice landraces of West Bengal, and to identify the cultivar and product combinations best suited to each end use. In Experiment I the place of growing affected nearly every character determined. Nadia returned the highest hulling (77.02%), soluble protein, fat, copper and zinc; Birbhum and Howrah the highest milling percentage, head rice recovery, total phenol, total flavonoid, antioxidant capacity, iron and phytic acid; and Purba Bardhaman proved the weakest location for most of the characters determining nutritional value. Kalojira emerged as the superior all-round landrace, leading for hulling, milling, head rice recovery, total starch, amylose, fat, ash, aroma, total phenol, total flavonoid and antioxidant capacity, while Gobindabhog was superior for soluble protein, grain shape, iron and thirteen of the fifteen amino acids, and Radhunipagal ranked highest for zinc alone. Storage displaced quality in two directions simultaneously: head rice recovery gained 2.13 percentage points up to eight months and amylose rose by 12.8% over the year, whereas aroma declined by 31.7%, soluble protein by 41.4%, fat by 31.3%, total phenol by 52.4%, total flavonoid by 37.3% and antioxidant capacity by 62.7%.</w:t>
      </w:r>
    </w:p>
    <w:p>
      <w:pPr>
        <w:spacing w:after="200" w:line="360" w:lineRule="auto"/>
        <w:ind w:firstLine="567"/>
        <w:jc w:val="both"/>
      </w:pPr>
      <w:r>
        <w:rPr>
          <w:rFonts w:ascii="Times New Roman" w:hAnsi="Times New Roman"/>
          <w:sz w:val="24"/>
        </w:rPr>
        <w:t xml:space="preserve">Copper, iron, zinc and manganese registered no change during storage while phytic acid declined by 40.0%, so that the phytate to mineral ratio improved with ageing and aged grain should release its micronutrients more readily than fresh grain despite containing no greater quantity of them; a holding period of four to eight months accordingly represents the best compromise for these landraces. In Experiment II the cultivars differed significantly for nearly every attribute in all seven products, whereas year and the year by cultivar interaction were significant for far fewer, so that the choice of cultivar governs product quality. On the composite quality score index the superior cultivar was Kalojira for table rice (64.5), Radhunipagal for khichdi (69.1), Kataribhog for pulao (70.1), Gobindabhog for payash (77.9) and for popped rice (64.5), Radhatilak for puffed rice (62.9) and Harinakhuri for flattened rice (65.8), the non-aromatic control ranking at or near the bottom in every product. In Experiment III variety, fortification and their interaction were all significant for most characters, fortification proving the stronger factor; beet extract raised phenol, flavonoid, antioxidant activity, calcium and anthocyanin, while carrot extract supplied beta-carotene and gave the highest resistant starch with the lowest predicted glycaemic index, 58.46 in RCI against 75.08 in KBI.</w:t>
      </w:r>
    </w:p>
    <w:p>
      <w:pPr>
        <w:spacing w:before="240" w:after="180" w:line="360" w:lineRule="auto"/>
        <w:jc w:val="left"/>
      </w:pPr>
      <w:r>
        <w:rPr>
          <w:rFonts w:ascii="Times New Roman" w:hAnsi="Times New Roman"/>
          <w:b/>
          <w:sz w:val="28"/>
        </w:rPr>
        <w:t xml:space="preserve">Conclusion</w:t>
      </w:r>
    </w:p>
    <w:p>
      <w:pPr>
        <w:spacing w:after="200" w:line="360" w:lineRule="auto"/>
        <w:ind w:firstLine="567"/>
        <w:jc w:val="both"/>
      </w:pPr>
      <w:r>
        <w:rPr>
          <w:rFonts w:ascii="Times New Roman" w:hAnsi="Times New Roman"/>
          <w:sz w:val="24"/>
        </w:rPr>
        <w:t xml:space="preserve">The quality of the traditional aromatic rice of West Bengal is not a fixed property of the landrace. It is determined jointly by the genotype, the district in which the crop is raised, the period for which the paddy is held and the preparation for which the grain is finally used, so that any recommendation naming only the cultivar is incomplete. The multivariate analyses concurred with the analysis of variance in identifying genotype as the strongest single determinant of grain quality, storage as the next, and location as the least influential overall, although decisive in particular instances of mineral composition. Among the three coloured-husk landraces of Experiment I, Kalojira grown at Nadia and used within eight months of harvest yields the best overall grain quality, while Gobindabhog is the appropriate choice where protein and amino acid quality outweigh aroma. The desirable attributes of these landraces, namely aroma, lipid, phenol, flavonoid, antioxidant capacity and soluble protein, constitute a single tightly associated complex that declines in concert during storage and cannot be recovered once lost. The premium these rices command therefore rests upon the very attributes most rapidly forfeited in store, and its realisation depends upon the marketing chain as much as upon the breeding programme.</w:t>
      </w:r>
    </w:p>
    <w:p>
      <w:pPr>
        <w:spacing w:after="200" w:line="360" w:lineRule="auto"/>
        <w:ind w:firstLine="567"/>
        <w:jc w:val="both"/>
      </w:pPr>
      <w:r>
        <w:rPr>
          <w:rFonts w:ascii="Times New Roman" w:hAnsi="Times New Roman"/>
          <w:sz w:val="24"/>
        </w:rPr>
        <w:t xml:space="preserve">For value addition the cultivar must be matched to the product. Gobindabhog for payash and popped rice, Kalojira for table rice and for fermented idli, Radhunipagal for khichdi, Kataribhog for pulao, Radhatilak for puffed rice and Harinakhuri for flattened rice give the best balance of nutritional, bioactive and sensory quality within their respective preparations, and in every product the aromatic landraces surpassed the non-aromatic control without any alteration in the method of preparation. Beetroot-fortified Kalojira idli is recommended as the superior overall combination, returning the highest total phenol, flavonoid, antioxidant activity, soluble protein, anthocyanin and overall acceptability; the carrot-fortified product is indicated where a provitamin A-rich preparation of low glycaemic response is required, and the beet-fortified Gobindabhog where a mineral-enriched product is required. Enrichment of idli with carrot or beetroot extract thus improves nutritional and sensory quality without recourse to any synthetic colour or additive, and offers a practical route to a functional fermented food built upon indigenous aromatic germplasm. The location-specific quality data generated here for four Geographical Indication protected landraces, Gobindabhog, Tulaipanji, Kalonunia and Radhunipagal, provide an objective basis for authentication, for the fixing of safe storage periods and for the market development of the traditional aromatic rice of West Bengal.</w:t>
      </w:r>
    </w:p>
    <w:sectPr>
      <w:pgSz w:w="11906" w:h="16838"/>
      <w:pgMar w:top="1440" w:right="1440" w:bottom="1440" w:left="1701" w:header="708" w:footer="708" w:gutter="0"/>
    </w:sectPr>
  </w:body>
</w:document>
</file>