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anbv.vercel.app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Work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Sept 2026 - Present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Cut optimize-skill context 24% with 7/7 evals; </w:t>
      </w:r>
      <w:hyperlink r:id="rId10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PR #1480</w:t>
        </w:r>
      </w:hyperlink>
      <w:r>
        <w:rPr>
          <w:rFonts w:ascii="Calibri" w:cs="Calibri" w:eastAsia="Calibri" w:hAnsi="Calibri"/>
          <w:sz w:val="18"/>
          <w:szCs w:val="18"/>
        </w:rPr>
        <w:t xml:space="preserve">: Cut good-first-issue-author routing metadata 38% (273 to 168 tokens) while preserving safeguards.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pStyle w:val="ListParagraph"/>
        <w:numPr>
          <w:ilvl w:val="0"/>
          <w:numId w:val="2"/>
        </w:numPr>
        <w:spacing w:after="12"/>
      </w:pPr>
      <w:hyperlink r:id="rId9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OWASP cve-lite-cli PR #1240</w:t>
        </w:r>
      </w:hyperlink>
      <w:r>
        <w:rPr>
          <w:rFonts w:ascii="Calibri" w:cs="Calibri" w:eastAsia="Calibri" w:hAnsi="Calibri"/>
          <w:sz w:val="18"/>
          <w:szCs w:val="18"/>
        </w:rPr>
        <w:t xml:space="preserve">: Fixed OA008 semver diagnostics to distinguish below-range, above-range, and union-gap mismatches; added regression coverage and passed lint, build, and focused tests.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Node.js and Express.js REST endpoints and server-side integrations from specification through production, following the team's API conventions and code review standards.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anbv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Relationship Id="rId9" Type="http://schemas.openxmlformats.org/officeDocument/2006/relationships/hyperlink" Target="https://github.com/OWASP/cve-lite-cli/pull/1240" TargetMode="External"/><Relationship Id="rId10" Type="http://schemas.openxmlformats.org/officeDocument/2006/relationships/hyperlink" Target="https://github.com/apache/magpie/pull/148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