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portf-chi-two.vercel.app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finishing a B.Tech at NIT Jalandhar in 2026, with a habit of shipping backend systems that still hold up once real traffic hits them. Recent work includes a Razorpay backed payments platform that stayed correct across 200+ concurrent bids using webhook verified idempotent transactions, and a multitenant RAG pipeline that processed 500+ documents at over 90% extraction accuracy while cutting incorrect LLM responses by roughly 40% against a no retrieval baseline. Comfortable owning a feature from spec to production and genuinely interested in the parts of engineering that involve concurrency, API design, and systems that fail safely instead of silently.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Work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Contributions, GitHub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Sep 2026</w:t>
      </w:r>
    </w:p>
    <w:p>
      <w:pPr>
        <w:pStyle w:val="ListParagraph"/>
        <w:numPr>
          <w:ilvl w:val="0"/>
          <w:numId w:val="2"/>
        </w:numPr>
        <w:spacing w:after="12"/>
      </w:pPr>
      <w:hyperlink r:id="rId7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Apache Magpie PR #1379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Reduced the optimize-skill context footprint from 3,995 to 3,038 tokens while preserving seven optimization passes and safety gates; added two behavioral eval fixtures and kept the full suite at 7/7.</w:t>
      </w:r>
    </w:p>
    <w:p>
      <w:pPr>
        <w:pStyle w:val="ListParagraph"/>
        <w:numPr>
          <w:ilvl w:val="0"/>
          <w:numId w:val="2"/>
        </w:numPr>
        <w:spacing w:after="12"/>
      </w:pPr>
      <w:hyperlink r:id="rId8" w:history="1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Kestra PR #19805</w:t>
        </w:r>
      </w:hyperlink>
      <w:r>
        <w:rPr>
          <w:rFonts w:ascii="Calibri" w:cs="Calibri" w:eastAsia="Calibri" w:hAnsi="Calibri"/>
          <w:sz w:val="18"/>
          <w:szCs w:val="18"/>
        </w:rPr>
        <w:t xml:space="preserve">: Replaced 55 explicit any usages across 10 TypeScript and Vue store files with SDK, domain, and narrowed unknown types; passed application, design-system, and test type checks, lint, and 109 focused unit tests.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Shipped backend logic and REST API endpoints in Node.js and Express.js for new product features, taking each one from an initial spec through to production without needing much handholding.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Extended core site functionality through server side integrations that matched the team's existing REST API conventions and code review standards.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portf-chi-two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Relationship Id="rId7" Type="http://schemas.openxmlformats.org/officeDocument/2006/relationships/hyperlink" Target="https://github.com/apache/magpie/pull/1379" TargetMode="External"/><Relationship Id="rId8" Type="http://schemas.openxmlformats.org/officeDocument/2006/relationships/hyperlink" Target="https://github.com/kestra-io/kestra/pull/1980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