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DD20DE" w:rsidRDefault="00D66A17"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p w14:paraId="3DEB6D5A" w14:textId="6423F36C" w:rsidR="00D66A17" w:rsidRDefault="00292828"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r w:rsidRPr="00DD20DE">
        <w:rPr>
          <w:rFonts w:eastAsia="Calibri" w:cstheme="minorHAnsi"/>
          <w:kern w:val="0"/>
          <w:sz w:val="18"/>
          <w:szCs w:val="18"/>
          <w:lang w:val="es-ES"/>
          <w14:ligatures w14:val="none"/>
        </w:rPr>
        <w:t>HOJA</w:t>
      </w:r>
      <w:r w:rsidRPr="00DD20DE">
        <w:rPr>
          <w:rFonts w:eastAsia="Calibri" w:cstheme="minorHAnsi"/>
          <w:spacing w:val="-7"/>
          <w:kern w:val="0"/>
          <w:sz w:val="18"/>
          <w:szCs w:val="18"/>
          <w:lang w:val="es-ES"/>
          <w14:ligatures w14:val="none"/>
        </w:rPr>
        <w:t xml:space="preserve"> </w:t>
      </w:r>
      <w:r w:rsidRPr="00DD20DE">
        <w:rPr>
          <w:rFonts w:eastAsia="Calibri" w:cstheme="minorHAnsi"/>
          <w:kern w:val="0"/>
          <w:sz w:val="18"/>
          <w:szCs w:val="18"/>
          <w:lang w:val="es-ES"/>
          <w14:ligatures w14:val="none"/>
        </w:rPr>
        <w:t>METODOLÓGICA DEL INDICADOR</w:t>
      </w:r>
    </w:p>
    <w:p w14:paraId="3C7B9019" w14:textId="77777777" w:rsidR="00D8300E" w:rsidRPr="00DD20DE" w:rsidRDefault="00D8300E"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6238AE" w:rsidRPr="00DD20DE" w14:paraId="00C72F2D" w14:textId="77777777" w:rsidTr="00D66A17">
        <w:trPr>
          <w:trHeight w:val="20"/>
        </w:trPr>
        <w:tc>
          <w:tcPr>
            <w:tcW w:w="5000" w:type="pct"/>
            <w:gridSpan w:val="9"/>
            <w:shd w:val="clear" w:color="auto" w:fill="A6A6A6" w:themeFill="background1" w:themeFillShade="A6"/>
          </w:tcPr>
          <w:p w14:paraId="4A0A1B54"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IDENTIFICACIÓN</w:t>
            </w:r>
            <w:r w:rsidRPr="00DD20DE">
              <w:rPr>
                <w:rFonts w:eastAsia="Calibri" w:cstheme="minorHAnsi"/>
                <w:b/>
                <w:spacing w:val="-7"/>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INDICADOR</w:t>
            </w:r>
          </w:p>
        </w:tc>
      </w:tr>
      <w:tr w:rsidR="006238AE" w:rsidRPr="00DD20DE" w14:paraId="372DF032" w14:textId="77777777" w:rsidTr="00D66A17">
        <w:trPr>
          <w:trHeight w:val="20"/>
        </w:trPr>
        <w:tc>
          <w:tcPr>
            <w:tcW w:w="799" w:type="pct"/>
            <w:shd w:val="clear" w:color="auto" w:fill="D9D9D9"/>
            <w:vAlign w:val="center"/>
          </w:tcPr>
          <w:p w14:paraId="746973A9" w14:textId="77777777"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Nombre del indicador</w:t>
            </w:r>
          </w:p>
        </w:tc>
        <w:tc>
          <w:tcPr>
            <w:tcW w:w="4201" w:type="pct"/>
            <w:gridSpan w:val="8"/>
          </w:tcPr>
          <w:p w14:paraId="0C8721F2" w14:textId="11617432" w:rsidR="006238AE" w:rsidRPr="00DD20DE" w:rsidRDefault="00000000" w:rsidP="00EB6593">
            <w:pPr>
              <w:spacing w:line="199" w:lineRule="exact"/>
              <w:rPr>
                <w:rFonts w:eastAsia="Calibri" w:cstheme="minorHAnsi"/>
                <w:sz w:val="18"/>
                <w:szCs w:val="18"/>
                <w:lang w:val="es-ES"/>
              </w:rPr>
            </w:pPr>
            <w:sdt>
              <w:sdtPr>
                <w:rPr>
                  <w:rFonts w:eastAsia="Calibri" w:cstheme="minorHAnsi"/>
                  <w:sz w:val="18"/>
                  <w:szCs w:val="18"/>
                  <w:lang w:val="es-ES"/>
                </w:rPr>
                <w:alias w:val="Nombre del indicador"/>
                <w:tag w:val="Nombre del indicador"/>
                <w:id w:val="1388840838"/>
                <w:placeholder>
                  <w:docPart w:val="EC5C9935F7244C13A95294C6484BF31F"/>
                </w:placeholder>
              </w:sdtPr>
              <w:sdtEndPr>
                <w:rPr>
                  <w:b/>
                </w:rPr>
              </w:sdtEndPr>
              <w:sdtContent>
                <w:r w:rsidR="00D8377B" w:rsidRPr="00D8377B">
                  <w:rPr>
                    <w:rFonts w:eastAsia="Calibri" w:cstheme="minorHAnsi"/>
                    <w:sz w:val="18"/>
                    <w:szCs w:val="18"/>
                    <w:lang w:val="es-ES"/>
                  </w:rPr>
                  <w:t>VARIACIÓN DEL STOCK DE HIDROCARBUROS</w:t>
                </w:r>
              </w:sdtContent>
            </w:sdt>
          </w:p>
        </w:tc>
      </w:tr>
      <w:tr w:rsidR="006238AE" w:rsidRPr="00DD20DE" w14:paraId="36BB9646" w14:textId="77777777" w:rsidTr="00D66A17">
        <w:trPr>
          <w:trHeight w:val="20"/>
        </w:trPr>
        <w:tc>
          <w:tcPr>
            <w:tcW w:w="799" w:type="pct"/>
            <w:shd w:val="clear" w:color="auto" w:fill="D9D9D9"/>
            <w:vAlign w:val="center"/>
          </w:tcPr>
          <w:p w14:paraId="7864793D" w14:textId="0DFD11D6"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Contexto</w:t>
            </w:r>
          </w:p>
        </w:tc>
        <w:sdt>
          <w:sdtPr>
            <w:rPr>
              <w:rFonts w:eastAsia="Calibri" w:cstheme="minorHAnsi"/>
              <w:sz w:val="18"/>
              <w:szCs w:val="18"/>
              <w:lang w:val="es-ES"/>
            </w:rPr>
            <w:alias w:val="Contexto del indicador"/>
            <w:tag w:val="Contexto del indicador"/>
            <w:id w:val="-758361530"/>
            <w:placeholder>
              <w:docPart w:val="4694201BBDBD40378287A936038BB644"/>
            </w:placeholder>
          </w:sdtPr>
          <w:sdtEndPr>
            <w:rPr>
              <w:color w:val="FF0000"/>
            </w:rPr>
          </w:sdtEndPr>
          <w:sdtContent>
            <w:tc>
              <w:tcPr>
                <w:tcW w:w="4201" w:type="pct"/>
                <w:gridSpan w:val="8"/>
              </w:tcPr>
              <w:p w14:paraId="131B6BFB" w14:textId="77777777" w:rsidR="00B93874" w:rsidRPr="00B93874" w:rsidRDefault="00B93874" w:rsidP="00B93874">
                <w:pPr>
                  <w:spacing w:line="199" w:lineRule="exact"/>
                  <w:jc w:val="both"/>
                  <w:rPr>
                    <w:rFonts w:eastAsia="Calibri" w:cstheme="minorHAnsi"/>
                    <w:sz w:val="18"/>
                    <w:szCs w:val="18"/>
                    <w:lang w:val="es-ES"/>
                  </w:rPr>
                </w:pPr>
                <w:r w:rsidRPr="00B93874">
                  <w:rPr>
                    <w:rFonts w:eastAsia="Calibri" w:cstheme="minorHAnsi"/>
                    <w:b/>
                    <w:bCs/>
                    <w:sz w:val="18"/>
                    <w:szCs w:val="18"/>
                    <w:lang w:val="es-ES"/>
                  </w:rPr>
                  <w:t>Internacionales:</w:t>
                </w:r>
                <w:r w:rsidRPr="00B93874">
                  <w:rPr>
                    <w:rFonts w:eastAsia="Calibri" w:cstheme="minorHAnsi"/>
                    <w:sz w:val="18"/>
                    <w:szCs w:val="18"/>
                    <w:lang w:val="es-ES"/>
                  </w:rPr>
                  <w:t xml:space="preserve"> Acuerdo de París (2015) sobre cambio climático; Objetivo de Desarrollo Sostenible 12.2 (gestión sostenible y uso eficiente de los recursos naturales) y ODS 7 (Energía asequible y no contaminante); Estrategia Climática de Largo Plazo a 2050 – E2050; Contribuciones Nacionalmente Determinadas (NDC); Sistema de Contabilidad Ambiental y Económica de la ONU (SEEA).</w:t>
                </w:r>
              </w:p>
              <w:p w14:paraId="1E0A4218" w14:textId="77777777" w:rsidR="00B93874" w:rsidRPr="00B93874" w:rsidRDefault="00B93874" w:rsidP="00B93874">
                <w:pPr>
                  <w:spacing w:line="199" w:lineRule="exact"/>
                  <w:jc w:val="both"/>
                  <w:rPr>
                    <w:rFonts w:eastAsia="Calibri" w:cstheme="minorHAnsi"/>
                    <w:sz w:val="18"/>
                    <w:szCs w:val="18"/>
                    <w:lang w:val="es-ES"/>
                  </w:rPr>
                </w:pPr>
              </w:p>
              <w:p w14:paraId="418C1983" w14:textId="0A965841" w:rsidR="006238AE" w:rsidRPr="00DD20DE" w:rsidRDefault="00B93874" w:rsidP="00B93874">
                <w:pPr>
                  <w:spacing w:line="199" w:lineRule="exact"/>
                  <w:jc w:val="both"/>
                  <w:rPr>
                    <w:rFonts w:eastAsia="Calibri" w:cstheme="minorHAnsi"/>
                    <w:color w:val="FF0000"/>
                    <w:sz w:val="18"/>
                    <w:szCs w:val="18"/>
                    <w:lang w:val="es-ES"/>
                  </w:rPr>
                </w:pPr>
                <w:r w:rsidRPr="00B93874">
                  <w:rPr>
                    <w:rFonts w:eastAsia="Calibri" w:cstheme="minorHAnsi"/>
                    <w:b/>
                    <w:bCs/>
                    <w:sz w:val="18"/>
                    <w:szCs w:val="18"/>
                    <w:lang w:val="es-ES"/>
                  </w:rPr>
                  <w:t>Nacionales:</w:t>
                </w:r>
                <w:r w:rsidRPr="00B93874">
                  <w:rPr>
                    <w:rFonts w:eastAsia="Calibri" w:cstheme="minorHAnsi"/>
                    <w:sz w:val="18"/>
                    <w:szCs w:val="18"/>
                    <w:lang w:val="es-ES"/>
                  </w:rPr>
                  <w:t xml:space="preserve"> Constitución Política de Colombia, artículo 80 (desarrollo sostenible y aprovechamiento responsable de los recursos naturales); Ley 1931 de 2018 (gestión del cambio climático); Ley 2169 de 2021 (Ley de Acción Climática); Estrategia Colombiana de Desarrollo Bajo en Carbono (ECDBC); Documento CONPES 4075 de 2022 (Política para la Transición Energética Justa); Documento CONPES 3934 de 2018 (Política de Crecimiento Verde); Cuenta Satélite Ambiental del DANE – Cuenta de Activos de Recursos Minerales y Energéticos (CAE-ARME).</w:t>
                </w:r>
              </w:p>
            </w:tc>
          </w:sdtContent>
        </w:sdt>
      </w:tr>
      <w:tr w:rsidR="006238AE" w:rsidRPr="00DD20DE" w14:paraId="24976D91" w14:textId="77777777" w:rsidTr="00D66A17">
        <w:trPr>
          <w:trHeight w:val="20"/>
        </w:trPr>
        <w:tc>
          <w:tcPr>
            <w:tcW w:w="799" w:type="pct"/>
            <w:shd w:val="clear" w:color="auto" w:fill="D9D9D9"/>
            <w:vAlign w:val="center"/>
          </w:tcPr>
          <w:p w14:paraId="5580D38B"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Tema</w:t>
            </w:r>
            <w:r w:rsidRPr="00DD20DE">
              <w:rPr>
                <w:rFonts w:eastAsia="Calibri" w:cstheme="minorHAnsi"/>
                <w:b/>
                <w:i/>
                <w:iCs/>
                <w:spacing w:val="-1"/>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referencia</w:t>
            </w:r>
          </w:p>
        </w:tc>
        <w:sdt>
          <w:sdtPr>
            <w:rPr>
              <w:rFonts w:eastAsia="Calibri" w:cstheme="minorHAnsi"/>
              <w:sz w:val="18"/>
              <w:szCs w:val="18"/>
              <w:lang w:val="es-ES"/>
            </w:rPr>
            <w:alias w:val="Tema de referencia"/>
            <w:tag w:val="Tema de referencia"/>
            <w:id w:val="897559175"/>
            <w:placeholder>
              <w:docPart w:val="978B8118E7F14F1A88B0F1D8374F8A87"/>
            </w:placeholder>
          </w:sdtPr>
          <w:sdtEndPr>
            <w:rPr>
              <w:color w:val="FF0000"/>
            </w:rPr>
          </w:sdtEndPr>
          <w:sdtContent>
            <w:tc>
              <w:tcPr>
                <w:tcW w:w="4201" w:type="pct"/>
                <w:gridSpan w:val="8"/>
              </w:tcPr>
              <w:p w14:paraId="4A406CB6" w14:textId="7DDFB6F9" w:rsidR="006238AE" w:rsidRPr="00D8377B" w:rsidRDefault="00D8377B" w:rsidP="006238AE">
                <w:pPr>
                  <w:rPr>
                    <w:rFonts w:eastAsia="Calibri" w:cstheme="minorHAnsi"/>
                    <w:sz w:val="18"/>
                    <w:szCs w:val="18"/>
                    <w:lang w:val="es-ES"/>
                  </w:rPr>
                </w:pPr>
                <w:r w:rsidRPr="00D8377B">
                  <w:rPr>
                    <w:rFonts w:eastAsia="Calibri" w:cstheme="minorHAnsi"/>
                    <w:sz w:val="18"/>
                    <w:szCs w:val="18"/>
                    <w:lang w:val="es-ES"/>
                  </w:rPr>
                  <w:t>Stock de recursos energéticos – Reservas de hidrocarburos – Disponibilidad o agotamiento de hidrocarburos</w:t>
                </w:r>
              </w:p>
            </w:tc>
          </w:sdtContent>
        </w:sdt>
      </w:tr>
      <w:tr w:rsidR="006238AE" w:rsidRPr="00DD20DE" w14:paraId="1AF60F0A" w14:textId="77777777" w:rsidTr="00D66A17">
        <w:trPr>
          <w:trHeight w:val="20"/>
        </w:trPr>
        <w:tc>
          <w:tcPr>
            <w:tcW w:w="799" w:type="pct"/>
            <w:shd w:val="clear" w:color="auto" w:fill="D9D9D9"/>
            <w:vAlign w:val="center"/>
          </w:tcPr>
          <w:p w14:paraId="60531948"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Unidad</w:t>
            </w:r>
            <w:r w:rsidRPr="00DD20DE">
              <w:rPr>
                <w:rFonts w:eastAsia="Calibri" w:cstheme="minorHAnsi"/>
                <w:b/>
                <w:i/>
                <w:iCs/>
                <w:spacing w:val="-2"/>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medida</w:t>
            </w:r>
          </w:p>
        </w:tc>
        <w:sdt>
          <w:sdtPr>
            <w:rPr>
              <w:rFonts w:eastAsia="Calibri" w:cstheme="minorHAnsi"/>
              <w:sz w:val="18"/>
              <w:szCs w:val="18"/>
              <w:lang w:val="es-ES"/>
            </w:rPr>
            <w:alias w:val="Unidad de medida"/>
            <w:tag w:val="Unidad de medida"/>
            <w:id w:val="334807281"/>
            <w:placeholder>
              <w:docPart w:val="AC213C9474184BF1B005AB5ED35E2CC8"/>
            </w:placeholder>
          </w:sdtPr>
          <w:sdtEndPr>
            <w:rPr>
              <w:color w:val="FF0000"/>
            </w:rPr>
          </w:sdtEndPr>
          <w:sdtContent>
            <w:tc>
              <w:tcPr>
                <w:tcW w:w="4201" w:type="pct"/>
                <w:gridSpan w:val="8"/>
                <w:tcBorders>
                  <w:bottom w:val="single" w:sz="4" w:space="0" w:color="auto"/>
                </w:tcBorders>
              </w:tcPr>
              <w:p w14:paraId="6EFDD58A" w14:textId="4D7732B7" w:rsidR="006238AE" w:rsidRPr="00DD20DE" w:rsidRDefault="005117BB" w:rsidP="006238AE">
                <w:pPr>
                  <w:rPr>
                    <w:rFonts w:eastAsia="Calibri" w:cstheme="minorHAnsi"/>
                    <w:color w:val="FF0000"/>
                    <w:sz w:val="18"/>
                    <w:szCs w:val="18"/>
                    <w:lang w:val="es-ES"/>
                  </w:rPr>
                </w:pPr>
                <w:r>
                  <w:rPr>
                    <w:rFonts w:eastAsia="Calibri" w:cstheme="minorHAnsi"/>
                    <w:sz w:val="18"/>
                    <w:szCs w:val="18"/>
                    <w:lang w:val="es-ES"/>
                  </w:rPr>
                  <w:t>Variación porcentual</w:t>
                </w:r>
              </w:p>
            </w:tc>
          </w:sdtContent>
        </w:sdt>
      </w:tr>
      <w:tr w:rsidR="006238AE" w:rsidRPr="00DD20DE" w14:paraId="3909950E" w14:textId="77777777" w:rsidTr="00DD20DE">
        <w:trPr>
          <w:trHeight w:val="20"/>
        </w:trPr>
        <w:tc>
          <w:tcPr>
            <w:tcW w:w="799" w:type="pct"/>
            <w:vMerge w:val="restart"/>
            <w:tcBorders>
              <w:right w:val="single" w:sz="4" w:space="0" w:color="auto"/>
            </w:tcBorders>
            <w:shd w:val="clear" w:color="auto" w:fill="D9D9D9"/>
            <w:vAlign w:val="center"/>
          </w:tcPr>
          <w:p w14:paraId="6CABA881"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106C4DB5" w14:textId="265065B8"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232846216"/>
                <w14:checkbox>
                  <w14:checked w14:val="1"/>
                  <w14:checkedState w14:val="2612" w14:font="MS Gothic"/>
                  <w14:uncheckedState w14:val="2610" w14:font="MS Gothic"/>
                </w14:checkbox>
              </w:sdtPr>
              <w:sdtContent>
                <w:r w:rsidR="00AE2296">
                  <w:rPr>
                    <w:rFonts w:ascii="MS Gothic" w:eastAsia="MS Gothic" w:hAnsi="MS Gothic" w:cstheme="minorHAnsi" w:hint="eastAsia"/>
                    <w:spacing w:val="-2"/>
                    <w:sz w:val="18"/>
                    <w:szCs w:val="18"/>
                    <w:lang w:val="es-ES"/>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81986565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55145684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306157680"/>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14033962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166900454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197BEC1E" w14:textId="77777777" w:rsidTr="00D66A17">
        <w:trPr>
          <w:trHeight w:val="20"/>
        </w:trPr>
        <w:tc>
          <w:tcPr>
            <w:tcW w:w="799" w:type="pct"/>
            <w:vMerge/>
            <w:tcBorders>
              <w:right w:val="single" w:sz="4" w:space="0" w:color="auto"/>
            </w:tcBorders>
            <w:shd w:val="clear" w:color="auto" w:fill="D9D9D9"/>
            <w:vAlign w:val="center"/>
          </w:tcPr>
          <w:p w14:paraId="3FA815E0" w14:textId="77777777" w:rsidR="006238AE" w:rsidRPr="00DD20DE" w:rsidRDefault="006238AE" w:rsidP="00A108D7">
            <w:pPr>
              <w:ind w:left="55"/>
              <w:jc w:val="center"/>
              <w:rPr>
                <w:rFonts w:eastAsia="Calibri" w:cstheme="minorHAnsi"/>
                <w:b/>
                <w:i/>
                <w:iCs/>
                <w:spacing w:val="-2"/>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2E5BF969" w14:textId="70203D06"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sdt>
              <w:sdtPr>
                <w:rPr>
                  <w:rFonts w:eastAsia="Calibri" w:cstheme="minorHAnsi"/>
                  <w:sz w:val="18"/>
                  <w:szCs w:val="18"/>
                  <w:lang w:val="es-ES"/>
                </w:rPr>
                <w:alias w:val="Periodicidad"/>
                <w:tag w:val="Periodicidad"/>
                <w:id w:val="1365941222"/>
                <w:placeholder>
                  <w:docPart w:val="9021890809594A5FB1B561CC4AA10481"/>
                </w:placeholder>
                <w:showingPlcHdr/>
              </w:sdtPr>
              <w:sdtEndPr>
                <w:rPr>
                  <w:color w:val="FF0000"/>
                </w:rPr>
              </w:sdtEndPr>
              <w:sdtContent>
                <w:r w:rsidRPr="00DD20DE">
                  <w:rPr>
                    <w:rFonts w:eastAsia="Calibri" w:cstheme="minorHAnsi"/>
                    <w:color w:val="666666"/>
                    <w:sz w:val="18"/>
                    <w:szCs w:val="18"/>
                    <w:lang w:val="es-ES"/>
                  </w:rPr>
                  <w:t xml:space="preserve">Haga clic o pulse aquí para describir </w:t>
                </w:r>
                <w:r w:rsidR="00547C78" w:rsidRPr="00DD20DE">
                  <w:rPr>
                    <w:rFonts w:eastAsia="Calibri" w:cstheme="minorHAnsi"/>
                    <w:color w:val="666666"/>
                    <w:sz w:val="18"/>
                    <w:szCs w:val="18"/>
                    <w:lang w:val="es-ES"/>
                  </w:rPr>
                  <w:t xml:space="preserve">la periodicidad </w:t>
                </w:r>
                <w:r w:rsidRPr="00DD20DE">
                  <w:rPr>
                    <w:rFonts w:eastAsia="Calibri" w:cstheme="minorHAnsi"/>
                    <w:color w:val="666666"/>
                    <w:sz w:val="18"/>
                    <w:szCs w:val="18"/>
                    <w:lang w:val="es-ES"/>
                  </w:rPr>
                  <w:t>del indicador.</w:t>
                </w:r>
              </w:sdtContent>
            </w:sdt>
          </w:p>
        </w:tc>
      </w:tr>
      <w:tr w:rsidR="006238AE" w:rsidRPr="00DD20DE" w14:paraId="61639B38" w14:textId="77777777" w:rsidTr="00D66A17">
        <w:trPr>
          <w:trHeight w:val="20"/>
        </w:trPr>
        <w:tc>
          <w:tcPr>
            <w:tcW w:w="799" w:type="pct"/>
            <w:vMerge w:val="restart"/>
            <w:tcBorders>
              <w:right w:val="single" w:sz="4" w:space="0" w:color="auto"/>
            </w:tcBorders>
            <w:shd w:val="clear" w:color="auto" w:fill="D9D9D9"/>
            <w:vAlign w:val="center"/>
          </w:tcPr>
          <w:p w14:paraId="421DEC8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106CDC8" w14:textId="42D3BCA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Nacional </w:t>
            </w:r>
            <w:sdt>
              <w:sdtPr>
                <w:rPr>
                  <w:rFonts w:eastAsia="Calibri" w:cstheme="minorHAnsi"/>
                  <w:spacing w:val="-2"/>
                  <w:sz w:val="18"/>
                  <w:szCs w:val="18"/>
                  <w:lang w:val="es-ES"/>
                </w:rPr>
                <w:id w:val="444660290"/>
                <w14:checkbox>
                  <w14:checked w14:val="1"/>
                  <w14:checkedState w14:val="2612" w14:font="MS Gothic"/>
                  <w14:uncheckedState w14:val="2610" w14:font="MS Gothic"/>
                </w14:checkbox>
              </w:sdtPr>
              <w:sdtContent>
                <w:r w:rsidR="00AE2296">
                  <w:rPr>
                    <w:rFonts w:ascii="MS Gothic" w:eastAsia="MS Gothic" w:hAnsi="MS Gothic" w:cstheme="minorHAnsi" w:hint="eastAsia"/>
                    <w:spacing w:val="-2"/>
                    <w:sz w:val="18"/>
                    <w:szCs w:val="18"/>
                    <w:lang w:val="es-ES"/>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Departamental </w:t>
            </w:r>
            <w:sdt>
              <w:sdtPr>
                <w:rPr>
                  <w:rFonts w:eastAsia="Calibri" w:cstheme="minorHAnsi"/>
                  <w:spacing w:val="-2"/>
                  <w:sz w:val="18"/>
                  <w:szCs w:val="18"/>
                  <w:lang w:val="es-ES"/>
                </w:rPr>
                <w:id w:val="-7337024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Municipal </w:t>
            </w:r>
            <w:sdt>
              <w:sdtPr>
                <w:rPr>
                  <w:rFonts w:eastAsia="Calibri" w:cstheme="minorHAnsi"/>
                  <w:spacing w:val="-2"/>
                  <w:sz w:val="18"/>
                  <w:szCs w:val="18"/>
                  <w:lang w:val="es-ES"/>
                </w:rPr>
                <w:id w:val="-4236749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747000532"/>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5092A7BE" w14:textId="77777777" w:rsidTr="00D66A17">
        <w:trPr>
          <w:trHeight w:val="20"/>
        </w:trPr>
        <w:tc>
          <w:tcPr>
            <w:tcW w:w="799" w:type="pct"/>
            <w:vMerge/>
            <w:tcBorders>
              <w:right w:val="single" w:sz="4" w:space="0" w:color="auto"/>
            </w:tcBorders>
            <w:shd w:val="clear" w:color="auto" w:fill="D9D9D9"/>
            <w:vAlign w:val="center"/>
          </w:tcPr>
          <w:p w14:paraId="45468BD6" w14:textId="77777777" w:rsidR="006238AE" w:rsidRPr="00DD20DE" w:rsidRDefault="006238AE" w:rsidP="00A108D7">
            <w:pPr>
              <w:ind w:left="55"/>
              <w:jc w:val="center"/>
              <w:rPr>
                <w:rFonts w:eastAsia="Calibri" w:cstheme="minorHAnsi"/>
                <w:b/>
                <w:i/>
                <w:iCs/>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3E6F5813" w14:textId="16C549D9"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sdt>
              <w:sdtPr>
                <w:rPr>
                  <w:rFonts w:eastAsia="Calibri" w:cstheme="minorHAnsi"/>
                  <w:sz w:val="18"/>
                  <w:szCs w:val="18"/>
                  <w:lang w:val="es-ES"/>
                </w:rPr>
                <w:alias w:val="Cobertura geográfica"/>
                <w:tag w:val="Cobertura geográfica"/>
                <w:id w:val="954606236"/>
                <w:placeholder>
                  <w:docPart w:val="552CFB2EED32452E80CF132A7F485664"/>
                </w:placeholder>
                <w:showingPlcHdr/>
              </w:sdtPr>
              <w:sdtEndPr>
                <w:rPr>
                  <w:color w:val="FF0000"/>
                </w:rPr>
              </w:sdtEndPr>
              <w:sdtContent>
                <w:r w:rsidRPr="00DD20DE">
                  <w:rPr>
                    <w:rFonts w:eastAsia="Calibri" w:cstheme="minorHAnsi"/>
                    <w:color w:val="666666"/>
                    <w:sz w:val="18"/>
                    <w:szCs w:val="18"/>
                    <w:lang w:val="es-ES"/>
                  </w:rPr>
                  <w:t xml:space="preserve">Haga clic o pulse aquí para describir </w:t>
                </w:r>
                <w:r w:rsidR="00547C78" w:rsidRPr="00DD20DE">
                  <w:rPr>
                    <w:rFonts w:eastAsia="Calibri" w:cstheme="minorHAnsi"/>
                    <w:color w:val="666666"/>
                    <w:sz w:val="18"/>
                    <w:szCs w:val="18"/>
                    <w:lang w:val="es-ES"/>
                  </w:rPr>
                  <w:t xml:space="preserve">la cobertura geográfica </w:t>
                </w:r>
                <w:r w:rsidRPr="00DD20DE">
                  <w:rPr>
                    <w:rFonts w:eastAsia="Calibri" w:cstheme="minorHAnsi"/>
                    <w:color w:val="666666"/>
                    <w:sz w:val="18"/>
                    <w:szCs w:val="18"/>
                    <w:lang w:val="es-ES"/>
                  </w:rPr>
                  <w:t>del indicador.</w:t>
                </w:r>
              </w:sdtContent>
            </w:sdt>
          </w:p>
        </w:tc>
      </w:tr>
      <w:tr w:rsidR="006238AE" w:rsidRPr="00DD20DE" w14:paraId="1D1C7934" w14:textId="77777777" w:rsidTr="00D66A17">
        <w:trPr>
          <w:trHeight w:val="20"/>
        </w:trPr>
        <w:tc>
          <w:tcPr>
            <w:tcW w:w="799" w:type="pct"/>
            <w:tcBorders>
              <w:right w:val="single" w:sz="4" w:space="0" w:color="auto"/>
            </w:tcBorders>
            <w:shd w:val="clear" w:color="auto" w:fill="D9D9D9"/>
            <w:vAlign w:val="center"/>
          </w:tcPr>
          <w:p w14:paraId="253A11D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temporal</w:t>
            </w:r>
          </w:p>
        </w:tc>
        <w:sdt>
          <w:sdtPr>
            <w:rPr>
              <w:rFonts w:eastAsia="Calibri" w:cstheme="minorHAnsi"/>
              <w:sz w:val="18"/>
              <w:szCs w:val="18"/>
              <w:lang w:val="es-ES"/>
            </w:rPr>
            <w:alias w:val="Cobertura temporal"/>
            <w:tag w:val="Cobertura temporal"/>
            <w:id w:val="-822897086"/>
            <w:placeholder>
              <w:docPart w:val="30627D7362FD4523B6A090E45AD53B39"/>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3FCC566D" w14:textId="46417D25" w:rsidR="006238AE" w:rsidRPr="00DD20DE" w:rsidRDefault="00AE2296" w:rsidP="00EB6593">
                <w:pPr>
                  <w:rPr>
                    <w:rFonts w:eastAsia="Calibri" w:cstheme="minorHAnsi"/>
                    <w:sz w:val="18"/>
                    <w:szCs w:val="18"/>
                    <w:lang w:val="es-ES"/>
                  </w:rPr>
                </w:pPr>
                <w:r>
                  <w:rPr>
                    <w:rFonts w:eastAsia="Calibri" w:cstheme="minorHAnsi"/>
                    <w:sz w:val="18"/>
                    <w:szCs w:val="18"/>
                    <w:lang w:val="es-ES"/>
                  </w:rPr>
                  <w:t>2023</w:t>
                </w:r>
              </w:p>
            </w:tc>
          </w:sdtContent>
        </w:sdt>
      </w:tr>
      <w:tr w:rsidR="006238AE" w:rsidRPr="00DD20DE" w14:paraId="25B11AA6" w14:textId="77777777" w:rsidTr="00D66A17">
        <w:trPr>
          <w:trHeight w:val="20"/>
        </w:trPr>
        <w:tc>
          <w:tcPr>
            <w:tcW w:w="5000" w:type="pct"/>
            <w:gridSpan w:val="9"/>
            <w:shd w:val="clear" w:color="auto" w:fill="A6A6A6" w:themeFill="background1" w:themeFillShade="A6"/>
          </w:tcPr>
          <w:p w14:paraId="68627F0E"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DESCRIPCIÓN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8"/>
                <w:sz w:val="18"/>
                <w:szCs w:val="18"/>
                <w:lang w:val="es-ES"/>
              </w:rPr>
              <w:t xml:space="preserve"> </w:t>
            </w:r>
            <w:r w:rsidRPr="00DD20DE">
              <w:rPr>
                <w:rFonts w:eastAsia="Calibri" w:cstheme="minorHAnsi"/>
                <w:b/>
                <w:spacing w:val="-2"/>
                <w:sz w:val="18"/>
                <w:szCs w:val="18"/>
                <w:lang w:val="es-ES"/>
              </w:rPr>
              <w:t>INDICADOR</w:t>
            </w:r>
          </w:p>
        </w:tc>
      </w:tr>
      <w:tr w:rsidR="006238AE" w:rsidRPr="00DD20DE" w14:paraId="69E28E00" w14:textId="77777777" w:rsidTr="00D66A17">
        <w:trPr>
          <w:trHeight w:val="20"/>
        </w:trPr>
        <w:tc>
          <w:tcPr>
            <w:tcW w:w="799" w:type="pct"/>
            <w:shd w:val="clear" w:color="auto" w:fill="D9D9D9"/>
            <w:vAlign w:val="center"/>
          </w:tcPr>
          <w:p w14:paraId="16580EA0" w14:textId="77777777" w:rsidR="006238AE" w:rsidRPr="00DD20DE" w:rsidRDefault="006238AE" w:rsidP="00A108D7">
            <w:pPr>
              <w:jc w:val="center"/>
              <w:rPr>
                <w:rFonts w:eastAsia="Calibri" w:cstheme="minorHAnsi"/>
                <w:i/>
                <w:iCs/>
                <w:sz w:val="18"/>
                <w:szCs w:val="18"/>
                <w:lang w:val="es-ES"/>
              </w:rPr>
            </w:pPr>
            <w:r w:rsidRPr="00DD20DE">
              <w:rPr>
                <w:rFonts w:eastAsia="Calibri" w:cstheme="minorHAnsi"/>
                <w:b/>
                <w:i/>
                <w:iCs/>
                <w:sz w:val="18"/>
                <w:szCs w:val="18"/>
                <w:lang w:val="es-ES"/>
              </w:rPr>
              <w:t>Definición</w:t>
            </w:r>
          </w:p>
        </w:tc>
        <w:sdt>
          <w:sdtPr>
            <w:rPr>
              <w:rFonts w:eastAsia="Calibri" w:cstheme="minorHAnsi"/>
              <w:sz w:val="18"/>
              <w:szCs w:val="18"/>
              <w:lang w:val="es-ES"/>
            </w:rPr>
            <w:alias w:val="Definición"/>
            <w:tag w:val="Definición"/>
            <w:id w:val="-1129087722"/>
            <w:placeholder>
              <w:docPart w:val="3BE27AEC12FA4DFC9ED36A609EF70256"/>
            </w:placeholder>
          </w:sdtPr>
          <w:sdtEndPr>
            <w:rPr>
              <w:color w:val="FF0000"/>
            </w:rPr>
          </w:sdtEndPr>
          <w:sdtContent>
            <w:tc>
              <w:tcPr>
                <w:tcW w:w="4201" w:type="pct"/>
                <w:gridSpan w:val="8"/>
              </w:tcPr>
              <w:p w14:paraId="4B35CC11" w14:textId="5F05AB64" w:rsidR="006238AE" w:rsidRPr="00DD20DE" w:rsidRDefault="007B5292" w:rsidP="00EB6593">
                <w:pPr>
                  <w:jc w:val="both"/>
                  <w:rPr>
                    <w:rFonts w:eastAsia="Calibri" w:cstheme="minorHAnsi"/>
                    <w:b/>
                    <w:color w:val="FF0000"/>
                    <w:sz w:val="18"/>
                    <w:szCs w:val="18"/>
                    <w:lang w:val="es-ES"/>
                  </w:rPr>
                </w:pPr>
                <w:r w:rsidRPr="007B5292">
                  <w:rPr>
                    <w:rFonts w:eastAsia="Calibri" w:cstheme="minorHAnsi"/>
                    <w:sz w:val="18"/>
                    <w:szCs w:val="18"/>
                    <w:lang w:val="es-CO"/>
                  </w:rPr>
                  <w:t>La Variación del Stock de Hidrocarburos es la diferencia porcentual entre las reservas probadas de petróleo y gas natural al final e inicio de un período determinado. Permite identificar si el país está reponiendo sus recursos o reduciendo su capacidad de abastecimiento energético, siendo clave para la planificación y sostenibilidad del sector.</w:t>
                </w:r>
              </w:p>
            </w:tc>
          </w:sdtContent>
        </w:sdt>
      </w:tr>
      <w:tr w:rsidR="006238AE" w:rsidRPr="00DD20DE" w14:paraId="7B96AB00" w14:textId="77777777" w:rsidTr="00DD20DE">
        <w:trPr>
          <w:trHeight w:val="20"/>
        </w:trPr>
        <w:tc>
          <w:tcPr>
            <w:tcW w:w="799" w:type="pct"/>
            <w:vMerge w:val="restart"/>
            <w:shd w:val="clear" w:color="auto" w:fill="D9D9D9"/>
            <w:vAlign w:val="center"/>
          </w:tcPr>
          <w:p w14:paraId="336E906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Objetivo</w:t>
            </w:r>
            <w:r w:rsidRPr="00DD20DE">
              <w:rPr>
                <w:rFonts w:eastAsia="Calibri" w:cstheme="minorHAnsi"/>
                <w:b/>
                <w:i/>
                <w:iCs/>
                <w:sz w:val="18"/>
                <w:szCs w:val="18"/>
                <w:lang w:val="es-ES"/>
              </w:rPr>
              <w:t xml:space="preserve"> y atributo de la gobernanza abordado</w:t>
            </w:r>
          </w:p>
        </w:tc>
        <w:tc>
          <w:tcPr>
            <w:tcW w:w="724" w:type="pct"/>
            <w:vAlign w:val="center"/>
          </w:tcPr>
          <w:p w14:paraId="33A7C486" w14:textId="47D65B63"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Efectividad </w:t>
            </w:r>
            <w:sdt>
              <w:sdtPr>
                <w:rPr>
                  <w:rFonts w:eastAsia="Calibri" w:cstheme="minorHAnsi"/>
                  <w:bCs/>
                  <w:spacing w:val="-2"/>
                  <w:sz w:val="18"/>
                  <w:szCs w:val="18"/>
                  <w:lang w:val="es-ES"/>
                </w:rPr>
                <w:id w:val="2078627252"/>
                <w14:checkbox>
                  <w14:checked w14:val="1"/>
                  <w14:checkedState w14:val="2612" w14:font="MS Gothic"/>
                  <w14:uncheckedState w14:val="2610" w14:font="MS Gothic"/>
                </w14:checkbox>
              </w:sdtPr>
              <w:sdtContent>
                <w:r w:rsidR="007B5292">
                  <w:rPr>
                    <w:rFonts w:ascii="MS Gothic" w:eastAsia="MS Gothic" w:hAnsi="MS Gothic" w:cstheme="minorHAnsi" w:hint="eastAsia"/>
                    <w:bCs/>
                    <w:spacing w:val="-2"/>
                    <w:sz w:val="18"/>
                    <w:szCs w:val="18"/>
                    <w:lang w:val="es-ES"/>
                  </w:rPr>
                  <w:t>☒</w:t>
                </w:r>
              </w:sdtContent>
            </w:sdt>
          </w:p>
        </w:tc>
        <w:tc>
          <w:tcPr>
            <w:tcW w:w="3477" w:type="pct"/>
            <w:gridSpan w:val="7"/>
            <w:vAlign w:val="center"/>
          </w:tcPr>
          <w:p w14:paraId="462B061F" w14:textId="1F5FE31C"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Dirección </w:t>
            </w:r>
            <w:sdt>
              <w:sdtPr>
                <w:rPr>
                  <w:rFonts w:eastAsia="Calibri" w:cstheme="minorHAnsi"/>
                  <w:bCs/>
                  <w:spacing w:val="-2"/>
                  <w:sz w:val="18"/>
                  <w:szCs w:val="18"/>
                  <w:lang w:val="es-ES"/>
                </w:rPr>
                <w:id w:val="-194899992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Coordinación </w:t>
            </w:r>
            <w:sdt>
              <w:sdtPr>
                <w:rPr>
                  <w:rFonts w:eastAsia="Calibri" w:cstheme="minorHAnsi"/>
                  <w:bCs/>
                  <w:spacing w:val="-2"/>
                  <w:sz w:val="18"/>
                  <w:szCs w:val="18"/>
                  <w:lang w:val="es-ES"/>
                </w:rPr>
                <w:id w:val="-60079531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Capacidad </w:t>
            </w:r>
            <w:sdt>
              <w:sdtPr>
                <w:rPr>
                  <w:rFonts w:eastAsia="Calibri" w:cstheme="minorHAnsi"/>
                  <w:bCs/>
                  <w:spacing w:val="-2"/>
                  <w:sz w:val="18"/>
                  <w:szCs w:val="18"/>
                  <w:lang w:val="es-ES"/>
                </w:rPr>
                <w:id w:val="2081323694"/>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Información </w:t>
            </w:r>
            <w:sdt>
              <w:sdtPr>
                <w:rPr>
                  <w:rFonts w:eastAsia="Calibri" w:cstheme="minorHAnsi"/>
                  <w:bCs/>
                  <w:spacing w:val="-2"/>
                  <w:sz w:val="18"/>
                  <w:szCs w:val="18"/>
                  <w:lang w:val="es-ES"/>
                </w:rPr>
                <w:id w:val="-1561320560"/>
                <w14:checkbox>
                  <w14:checked w14:val="1"/>
                  <w14:checkedState w14:val="2612" w14:font="MS Gothic"/>
                  <w14:uncheckedState w14:val="2610" w14:font="MS Gothic"/>
                </w14:checkbox>
              </w:sdtPr>
              <w:sdtContent>
                <w:r w:rsidR="007B5292">
                  <w:rPr>
                    <w:rFonts w:ascii="MS Gothic" w:eastAsia="MS Gothic" w:hAnsi="MS Gothic" w:cstheme="minorHAnsi" w:hint="eastAsia"/>
                    <w:bCs/>
                    <w:spacing w:val="-2"/>
                    <w:sz w:val="18"/>
                    <w:szCs w:val="18"/>
                    <w:lang w:val="es-ES"/>
                  </w:rPr>
                  <w:t>☒</w:t>
                </w:r>
              </w:sdtContent>
            </w:sdt>
            <w:r w:rsidRPr="00DD20DE">
              <w:rPr>
                <w:rFonts w:eastAsia="Calibri" w:cstheme="minorHAnsi"/>
                <w:bCs/>
                <w:spacing w:val="-2"/>
                <w:sz w:val="18"/>
                <w:szCs w:val="18"/>
                <w:lang w:val="es-ES"/>
              </w:rPr>
              <w:t xml:space="preserve"> Responsabilidad </w:t>
            </w:r>
            <w:sdt>
              <w:sdtPr>
                <w:rPr>
                  <w:rFonts w:eastAsia="Calibri" w:cstheme="minorHAnsi"/>
                  <w:bCs/>
                  <w:spacing w:val="-2"/>
                  <w:sz w:val="18"/>
                  <w:szCs w:val="18"/>
                  <w:lang w:val="es-ES"/>
                </w:rPr>
                <w:id w:val="185985003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Eficiencia</w:t>
            </w:r>
            <w:r w:rsidR="00A108D7" w:rsidRPr="00DD20DE">
              <w:rPr>
                <w:rFonts w:eastAsia="Calibri" w:cstheme="minorHAnsi"/>
                <w:bCs/>
                <w:spacing w:val="-2"/>
                <w:sz w:val="18"/>
                <w:szCs w:val="18"/>
                <w:lang w:val="es-ES"/>
              </w:rPr>
              <w:t xml:space="preserve"> </w:t>
            </w:r>
            <w:sdt>
              <w:sdtPr>
                <w:rPr>
                  <w:rFonts w:eastAsia="Calibri" w:cstheme="minorHAnsi"/>
                  <w:bCs/>
                  <w:spacing w:val="-2"/>
                  <w:sz w:val="18"/>
                  <w:szCs w:val="18"/>
                  <w:lang w:val="es-ES"/>
                </w:rPr>
                <w:id w:val="-195739878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9325C5F" w14:textId="77777777" w:rsidTr="00DD20DE">
        <w:trPr>
          <w:trHeight w:val="20"/>
        </w:trPr>
        <w:tc>
          <w:tcPr>
            <w:tcW w:w="799" w:type="pct"/>
            <w:vMerge/>
            <w:shd w:val="clear" w:color="auto" w:fill="D9D9D9"/>
            <w:vAlign w:val="center"/>
          </w:tcPr>
          <w:p w14:paraId="5E2B13B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35A11380"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Equidad </w:t>
            </w:r>
            <w:sdt>
              <w:sdtPr>
                <w:rPr>
                  <w:rFonts w:eastAsia="Calibri" w:cstheme="minorHAnsi"/>
                  <w:bCs/>
                  <w:spacing w:val="-2"/>
                  <w:sz w:val="18"/>
                  <w:szCs w:val="18"/>
                  <w:lang w:val="es-ES"/>
                </w:rPr>
                <w:id w:val="-38887783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7F75E72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Reconocimiento </w:t>
            </w:r>
            <w:sdt>
              <w:sdtPr>
                <w:rPr>
                  <w:rFonts w:eastAsia="Calibri" w:cstheme="minorHAnsi"/>
                  <w:bCs/>
                  <w:spacing w:val="-2"/>
                  <w:sz w:val="18"/>
                  <w:szCs w:val="18"/>
                  <w:lang w:val="es-ES"/>
                </w:rPr>
                <w:id w:val="211316542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Participación </w:t>
            </w:r>
            <w:sdt>
              <w:sdtPr>
                <w:rPr>
                  <w:rFonts w:eastAsia="Calibri" w:cstheme="minorHAnsi"/>
                  <w:bCs/>
                  <w:spacing w:val="-2"/>
                  <w:sz w:val="18"/>
                  <w:szCs w:val="18"/>
                  <w:lang w:val="es-ES"/>
                </w:rPr>
                <w:id w:val="-155676798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Transparencia </w:t>
            </w:r>
            <w:sdt>
              <w:sdtPr>
                <w:rPr>
                  <w:rFonts w:eastAsia="Calibri" w:cstheme="minorHAnsi"/>
                  <w:bCs/>
                  <w:spacing w:val="-2"/>
                  <w:sz w:val="18"/>
                  <w:szCs w:val="18"/>
                  <w:lang w:val="es-ES"/>
                </w:rPr>
                <w:id w:val="-4028312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Justicia </w:t>
            </w:r>
            <w:sdt>
              <w:sdtPr>
                <w:rPr>
                  <w:rFonts w:eastAsia="Calibri" w:cstheme="minorHAnsi"/>
                  <w:bCs/>
                  <w:spacing w:val="-2"/>
                  <w:sz w:val="18"/>
                  <w:szCs w:val="18"/>
                  <w:lang w:val="es-ES"/>
                </w:rPr>
                <w:id w:val="-119885837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D323FF2" w14:textId="77777777" w:rsidTr="00DD20DE">
        <w:trPr>
          <w:trHeight w:val="20"/>
        </w:trPr>
        <w:tc>
          <w:tcPr>
            <w:tcW w:w="799" w:type="pct"/>
            <w:vMerge/>
            <w:shd w:val="clear" w:color="auto" w:fill="D9D9D9"/>
            <w:vAlign w:val="center"/>
          </w:tcPr>
          <w:p w14:paraId="4C0E9D2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67B09A11"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Receptividad </w:t>
            </w:r>
            <w:sdt>
              <w:sdtPr>
                <w:rPr>
                  <w:rFonts w:eastAsia="Calibri" w:cstheme="minorHAnsi"/>
                  <w:bCs/>
                  <w:spacing w:val="-2"/>
                  <w:sz w:val="18"/>
                  <w:szCs w:val="18"/>
                  <w:lang w:val="es-ES"/>
                </w:rPr>
                <w:id w:val="1752931062"/>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7D136C64"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Aprendizaje </w:t>
            </w:r>
            <w:sdt>
              <w:sdtPr>
                <w:rPr>
                  <w:rFonts w:eastAsia="Calibri" w:cstheme="minorHAnsi"/>
                  <w:bCs/>
                  <w:spacing w:val="-2"/>
                  <w:sz w:val="18"/>
                  <w:szCs w:val="18"/>
                  <w:lang w:val="es-ES"/>
                </w:rPr>
                <w:id w:val="37528703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Anticipación </w:t>
            </w:r>
            <w:sdt>
              <w:sdtPr>
                <w:rPr>
                  <w:rFonts w:eastAsia="Calibri" w:cstheme="minorHAnsi"/>
                  <w:bCs/>
                  <w:spacing w:val="-2"/>
                  <w:sz w:val="18"/>
                  <w:szCs w:val="18"/>
                  <w:lang w:val="es-ES"/>
                </w:rPr>
                <w:id w:val="120976679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Adaptación </w:t>
            </w:r>
            <w:sdt>
              <w:sdtPr>
                <w:rPr>
                  <w:rFonts w:eastAsia="Calibri" w:cstheme="minorHAnsi"/>
                  <w:bCs/>
                  <w:spacing w:val="-2"/>
                  <w:sz w:val="18"/>
                  <w:szCs w:val="18"/>
                  <w:lang w:val="es-ES"/>
                </w:rPr>
                <w:id w:val="-93689739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Innovación </w:t>
            </w:r>
            <w:sdt>
              <w:sdtPr>
                <w:rPr>
                  <w:rFonts w:eastAsia="Calibri" w:cstheme="minorHAnsi"/>
                  <w:bCs/>
                  <w:spacing w:val="-2"/>
                  <w:sz w:val="18"/>
                  <w:szCs w:val="18"/>
                  <w:lang w:val="es-ES"/>
                </w:rPr>
                <w:id w:val="201009273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Flexibilidad </w:t>
            </w:r>
            <w:sdt>
              <w:sdtPr>
                <w:rPr>
                  <w:rFonts w:eastAsia="Calibri" w:cstheme="minorHAnsi"/>
                  <w:bCs/>
                  <w:spacing w:val="-2"/>
                  <w:sz w:val="18"/>
                  <w:szCs w:val="18"/>
                  <w:lang w:val="es-ES"/>
                </w:rPr>
                <w:id w:val="7673498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1525818F" w14:textId="77777777" w:rsidTr="00DD20DE">
        <w:trPr>
          <w:trHeight w:val="20"/>
        </w:trPr>
        <w:tc>
          <w:tcPr>
            <w:tcW w:w="799" w:type="pct"/>
            <w:vMerge/>
            <w:shd w:val="clear" w:color="auto" w:fill="D9D9D9"/>
            <w:vAlign w:val="center"/>
          </w:tcPr>
          <w:p w14:paraId="3BCC1E6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20B80AA6"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Robustez </w:t>
            </w:r>
            <w:sdt>
              <w:sdtPr>
                <w:rPr>
                  <w:rFonts w:eastAsia="Calibri" w:cstheme="minorHAnsi"/>
                  <w:bCs/>
                  <w:spacing w:val="-2"/>
                  <w:sz w:val="18"/>
                  <w:szCs w:val="18"/>
                  <w:lang w:val="es-ES"/>
                </w:rPr>
                <w:id w:val="1836860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4F7D4DF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Legitimidad </w:t>
            </w:r>
            <w:sdt>
              <w:sdtPr>
                <w:rPr>
                  <w:rFonts w:eastAsia="Calibri" w:cstheme="minorHAnsi"/>
                  <w:bCs/>
                  <w:spacing w:val="-2"/>
                  <w:sz w:val="18"/>
                  <w:szCs w:val="18"/>
                  <w:lang w:val="es-ES"/>
                </w:rPr>
                <w:id w:val="-141561704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Conexión </w:t>
            </w:r>
            <w:sdt>
              <w:sdtPr>
                <w:rPr>
                  <w:rFonts w:eastAsia="Calibri" w:cstheme="minorHAnsi"/>
                  <w:bCs/>
                  <w:spacing w:val="-2"/>
                  <w:sz w:val="18"/>
                  <w:szCs w:val="18"/>
                  <w:lang w:val="es-ES"/>
                </w:rPr>
                <w:id w:val="206591196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Anidación </w:t>
            </w:r>
            <w:sdt>
              <w:sdtPr>
                <w:rPr>
                  <w:rFonts w:eastAsia="Calibri" w:cstheme="minorHAnsi"/>
                  <w:bCs/>
                  <w:spacing w:val="-2"/>
                  <w:sz w:val="18"/>
                  <w:szCs w:val="18"/>
                  <w:lang w:val="es-ES"/>
                </w:rPr>
                <w:id w:val="-1181814221"/>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Policentricidad </w:t>
            </w:r>
            <w:sdt>
              <w:sdtPr>
                <w:rPr>
                  <w:rFonts w:eastAsia="Calibri" w:cstheme="minorHAnsi"/>
                  <w:bCs/>
                  <w:spacing w:val="-2"/>
                  <w:sz w:val="18"/>
                  <w:szCs w:val="18"/>
                  <w:lang w:val="es-ES"/>
                </w:rPr>
                <w:id w:val="35740185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20206B2B" w14:textId="77777777" w:rsidTr="00D66A17">
        <w:trPr>
          <w:trHeight w:val="20"/>
        </w:trPr>
        <w:tc>
          <w:tcPr>
            <w:tcW w:w="799" w:type="pct"/>
            <w:shd w:val="clear" w:color="auto" w:fill="D9D9D9"/>
            <w:vAlign w:val="center"/>
          </w:tcPr>
          <w:p w14:paraId="5AE80997"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Objetivo del indicador</w:t>
            </w:r>
          </w:p>
        </w:tc>
        <w:sdt>
          <w:sdtPr>
            <w:rPr>
              <w:rFonts w:eastAsia="Calibri" w:cstheme="minorHAnsi"/>
              <w:sz w:val="18"/>
              <w:szCs w:val="18"/>
              <w:lang w:val="es-ES"/>
            </w:rPr>
            <w:alias w:val="Objetivo del indicador"/>
            <w:tag w:val="Objetivo del indicador"/>
            <w:id w:val="-1808767996"/>
            <w:placeholder>
              <w:docPart w:val="5DAAFE4A7B1246A58211E0D8494F9218"/>
            </w:placeholder>
          </w:sdtPr>
          <w:sdtEndPr>
            <w:rPr>
              <w:color w:val="FF0000"/>
            </w:rPr>
          </w:sdtEndPr>
          <w:sdtContent>
            <w:tc>
              <w:tcPr>
                <w:tcW w:w="4201" w:type="pct"/>
                <w:gridSpan w:val="8"/>
              </w:tcPr>
              <w:p w14:paraId="12C4BA01" w14:textId="02CA797F" w:rsidR="006238AE" w:rsidRPr="00DD20DE" w:rsidRDefault="005117BB" w:rsidP="00EB6593">
                <w:pPr>
                  <w:jc w:val="both"/>
                  <w:rPr>
                    <w:rFonts w:eastAsia="Calibri" w:cstheme="minorHAnsi"/>
                    <w:b/>
                    <w:color w:val="FF0000"/>
                    <w:spacing w:val="-2"/>
                    <w:sz w:val="18"/>
                    <w:szCs w:val="18"/>
                    <w:lang w:val="es-ES"/>
                  </w:rPr>
                </w:pPr>
                <w:r>
                  <w:rPr>
                    <w:rFonts w:eastAsia="Calibri" w:cstheme="minorHAnsi"/>
                    <w:sz w:val="18"/>
                    <w:szCs w:val="18"/>
                    <w:lang w:val="es-ES"/>
                  </w:rPr>
                  <w:t>Medir</w:t>
                </w:r>
                <w:r w:rsidR="007B5292" w:rsidRPr="007B5292">
                  <w:rPr>
                    <w:rFonts w:eastAsia="Calibri" w:cstheme="minorHAnsi"/>
                    <w:sz w:val="18"/>
                    <w:szCs w:val="18"/>
                    <w:lang w:val="es-CO"/>
                  </w:rPr>
                  <w:t xml:space="preserve"> la variación anual de las reservas probadas de hidrocarburos (petróleo y gas natural) en Colombia, permitiendo identificar si el país repone adecuadamente sus recursos energéticos. </w:t>
                </w:r>
                <w:r>
                  <w:rPr>
                    <w:rFonts w:eastAsia="Calibri" w:cstheme="minorHAnsi"/>
                    <w:sz w:val="18"/>
                    <w:szCs w:val="18"/>
                    <w:lang w:val="es-CO"/>
                  </w:rPr>
                  <w:t>Esto aporta</w:t>
                </w:r>
                <w:r w:rsidR="007B5292" w:rsidRPr="007B5292">
                  <w:rPr>
                    <w:rFonts w:eastAsia="Calibri" w:cstheme="minorHAnsi"/>
                    <w:sz w:val="18"/>
                    <w:szCs w:val="18"/>
                    <w:lang w:val="es-CO"/>
                  </w:rPr>
                  <w:t xml:space="preserve"> insumos clave para la planificación energética, el seguimiento de la sostenibilidad del stock de hidrocarburos y la gestión de una transición energética ordenada, garantizando el respaldo necesario para la estabilidad del sistema energético nacional.</w:t>
                </w:r>
              </w:p>
            </w:tc>
          </w:sdtContent>
        </w:sdt>
      </w:tr>
      <w:tr w:rsidR="006238AE" w:rsidRPr="00DD20DE" w14:paraId="23957CFA" w14:textId="77777777" w:rsidTr="00D66A17">
        <w:trPr>
          <w:trHeight w:val="20"/>
        </w:trPr>
        <w:tc>
          <w:tcPr>
            <w:tcW w:w="799" w:type="pct"/>
            <w:shd w:val="clear" w:color="auto" w:fill="D9D9D9"/>
            <w:vAlign w:val="center"/>
          </w:tcPr>
          <w:p w14:paraId="16BC09F2"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Marco conceptual</w:t>
            </w:r>
          </w:p>
        </w:tc>
        <w:sdt>
          <w:sdtPr>
            <w:rPr>
              <w:rFonts w:eastAsia="Calibri" w:cstheme="minorHAnsi"/>
              <w:sz w:val="18"/>
              <w:szCs w:val="18"/>
              <w:lang w:val="es-ES"/>
            </w:rPr>
            <w:alias w:val="Marco conceptual"/>
            <w:tag w:val="Marco conceptual"/>
            <w:id w:val="1968304423"/>
            <w:placeholder>
              <w:docPart w:val="98B72DCB7EA94485A1F5E38625EF7200"/>
            </w:placeholder>
          </w:sdtPr>
          <w:sdtEndPr>
            <w:rPr>
              <w:color w:val="FF0000"/>
            </w:rPr>
          </w:sdtEndPr>
          <w:sdtContent>
            <w:tc>
              <w:tcPr>
                <w:tcW w:w="4201" w:type="pct"/>
                <w:gridSpan w:val="8"/>
              </w:tcPr>
              <w:p w14:paraId="55AF351E" w14:textId="77777777" w:rsidR="00B75A61" w:rsidRPr="00B75A61" w:rsidRDefault="00B75A61" w:rsidP="00B75A61">
                <w:pPr>
                  <w:spacing w:line="220" w:lineRule="atLeast"/>
                  <w:jc w:val="both"/>
                  <w:rPr>
                    <w:rFonts w:eastAsia="Calibri" w:cstheme="minorHAnsi"/>
                    <w:sz w:val="18"/>
                    <w:szCs w:val="18"/>
                    <w:lang w:val="es-ES"/>
                  </w:rPr>
                </w:pPr>
                <w:r w:rsidRPr="00B75A61">
                  <w:rPr>
                    <w:rFonts w:eastAsia="Calibri" w:cstheme="minorHAnsi"/>
                    <w:sz w:val="18"/>
                    <w:szCs w:val="18"/>
                    <w:lang w:val="es-ES"/>
                  </w:rPr>
                  <w:t>Las reservas de hidrocarburos representan uno de los principales activos estratégicos para garantizar la seguridad energética de un país. Su volumen y estabilidad determinan la capacidad del sistema energético para sostener la producción, cubrir la demanda interna y reducir la exposición a riesgos externos. En Colombia, la dependencia histórica del petróleo y el gas natural como fuentes primarias de energía hace que el monitoreo de su disponibilidad sea esencial para asegurar el abastecimiento, mantener la autonomía energética y apoyar la transición hacia un modelo más sostenible.</w:t>
                </w:r>
              </w:p>
              <w:p w14:paraId="3D95A667" w14:textId="77777777" w:rsidR="00B75A61" w:rsidRPr="00B75A61" w:rsidRDefault="00B75A61" w:rsidP="00B75A61">
                <w:pPr>
                  <w:spacing w:line="220" w:lineRule="atLeast"/>
                  <w:jc w:val="both"/>
                  <w:rPr>
                    <w:rFonts w:eastAsia="Calibri" w:cstheme="minorHAnsi"/>
                    <w:sz w:val="18"/>
                    <w:szCs w:val="18"/>
                    <w:lang w:val="es-ES"/>
                  </w:rPr>
                </w:pPr>
              </w:p>
              <w:p w14:paraId="311D837A" w14:textId="77777777" w:rsidR="00B75A61" w:rsidRPr="00B75A61" w:rsidRDefault="00B75A61" w:rsidP="00B75A61">
                <w:pPr>
                  <w:spacing w:line="220" w:lineRule="atLeast"/>
                  <w:jc w:val="both"/>
                  <w:rPr>
                    <w:rFonts w:eastAsia="Calibri" w:cstheme="minorHAnsi"/>
                    <w:sz w:val="18"/>
                    <w:szCs w:val="18"/>
                    <w:lang w:val="es-ES"/>
                  </w:rPr>
                </w:pPr>
                <w:r w:rsidRPr="00B75A61">
                  <w:rPr>
                    <w:rFonts w:eastAsia="Calibri" w:cstheme="minorHAnsi"/>
                    <w:sz w:val="18"/>
                    <w:szCs w:val="18"/>
                    <w:lang w:val="es-ES"/>
                  </w:rPr>
                  <w:t xml:space="preserve">La formulación del indicador de Variación del Stock de Hidrocarburos responde a la </w:t>
                </w:r>
                <w:r w:rsidRPr="00B75A61">
                  <w:rPr>
                    <w:rFonts w:eastAsia="Calibri" w:cstheme="minorHAnsi"/>
                    <w:sz w:val="18"/>
                    <w:szCs w:val="18"/>
                    <w:lang w:val="es-ES"/>
                  </w:rPr>
                  <w:lastRenderedPageBreak/>
                  <w:t>necesidad de conocer cómo evolucionan las reservas año tras año, ya sea por procesos de extracción, incorporación de nuevos descubrimientos o actualizaciones técnicas. Este indicador permite identificar si el país está reponiendo adecuadamente sus recursos o si, por el contrario, está experimentando una disminución progresiva que puede comprometer la sostenibilidad del sector y generar presiones sobre el sistema energético nacional.</w:t>
                </w:r>
              </w:p>
              <w:p w14:paraId="5449B2CA" w14:textId="77777777" w:rsidR="00B75A61" w:rsidRPr="00B75A61" w:rsidRDefault="00B75A61" w:rsidP="00B75A61">
                <w:pPr>
                  <w:spacing w:line="220" w:lineRule="atLeast"/>
                  <w:jc w:val="both"/>
                  <w:rPr>
                    <w:rFonts w:eastAsia="Calibri" w:cstheme="minorHAnsi"/>
                    <w:sz w:val="18"/>
                    <w:szCs w:val="18"/>
                    <w:lang w:val="es-ES"/>
                  </w:rPr>
                </w:pPr>
              </w:p>
              <w:p w14:paraId="2A5CD690" w14:textId="3992E8A8" w:rsidR="00B75A61" w:rsidRPr="00B75A61" w:rsidRDefault="00B75A61" w:rsidP="00B75A61">
                <w:pPr>
                  <w:spacing w:line="220" w:lineRule="atLeast"/>
                  <w:jc w:val="both"/>
                  <w:rPr>
                    <w:rFonts w:eastAsia="Calibri" w:cstheme="minorHAnsi"/>
                    <w:sz w:val="18"/>
                    <w:szCs w:val="18"/>
                    <w:lang w:val="es-ES"/>
                  </w:rPr>
                </w:pPr>
                <w:r w:rsidRPr="00B75A61">
                  <w:rPr>
                    <w:rFonts w:eastAsia="Calibri" w:cstheme="minorHAnsi"/>
                    <w:sz w:val="18"/>
                    <w:szCs w:val="18"/>
                    <w:lang w:val="es-ES"/>
                  </w:rPr>
                  <w:t>Estudios recientes y organismos internacionales han señalado que un ritmo de extracción que no se compense con nuevos hallazgos o técnicas de recobro avanzadas puede reducir rápidamente los horizontes de autosuficiencia energética. Esto no solo incrementa la vulnerabilidad frente a choques en los precios internacionales o a la necesidad de importaciones, sino que también limita el margen de maniobra para realizar una transición energética gradual, estructurada y con respaldo suficiente</w:t>
                </w:r>
                <w:r w:rsidR="005117BB">
                  <w:rPr>
                    <w:rFonts w:eastAsia="Calibri" w:cstheme="minorHAnsi"/>
                    <w:sz w:val="18"/>
                    <w:szCs w:val="18"/>
                    <w:lang w:val="es-ES"/>
                  </w:rPr>
                  <w:t xml:space="preserve"> (CEPAL,2023)</w:t>
                </w:r>
                <w:r w:rsidRPr="00B75A61">
                  <w:rPr>
                    <w:rFonts w:eastAsia="Calibri" w:cstheme="minorHAnsi"/>
                    <w:sz w:val="18"/>
                    <w:szCs w:val="18"/>
                    <w:lang w:val="es-ES"/>
                  </w:rPr>
                  <w:t>.</w:t>
                </w:r>
              </w:p>
              <w:p w14:paraId="46A00A5C" w14:textId="77777777" w:rsidR="00B75A61" w:rsidRPr="00B75A61" w:rsidRDefault="00B75A61" w:rsidP="00B75A61">
                <w:pPr>
                  <w:spacing w:line="220" w:lineRule="atLeast"/>
                  <w:jc w:val="both"/>
                  <w:rPr>
                    <w:rFonts w:eastAsia="Calibri" w:cstheme="minorHAnsi"/>
                    <w:sz w:val="18"/>
                    <w:szCs w:val="18"/>
                    <w:lang w:val="es-ES"/>
                  </w:rPr>
                </w:pPr>
              </w:p>
              <w:p w14:paraId="46D63AAB" w14:textId="76E4662E" w:rsidR="006238AE" w:rsidRPr="00DD20DE" w:rsidRDefault="00B75A61" w:rsidP="00B75A61">
                <w:pPr>
                  <w:spacing w:line="220" w:lineRule="atLeast"/>
                  <w:jc w:val="both"/>
                  <w:rPr>
                    <w:rFonts w:eastAsia="Calibri" w:cstheme="minorHAnsi"/>
                    <w:color w:val="FF0000"/>
                    <w:sz w:val="18"/>
                    <w:szCs w:val="18"/>
                    <w:lang w:val="es-ES"/>
                  </w:rPr>
                </w:pPr>
                <w:r w:rsidRPr="00B75A61">
                  <w:rPr>
                    <w:rFonts w:eastAsia="Calibri" w:cstheme="minorHAnsi"/>
                    <w:sz w:val="18"/>
                    <w:szCs w:val="18"/>
                    <w:lang w:val="es-ES"/>
                  </w:rPr>
                  <w:t>En este sentido, el indicador de variación del stock se convierte en una herramienta clave para la planificación energética y para el diseño de políticas públicas que busquen equilibrar el aprovechamiento responsable de los hidrocarburos con el impulso a fuentes renovables. Su seguimiento permite anticipar escenarios críticos, orientar decisiones sobre exploración y explotación, y garantizar que la transición hacia una matriz más diversificada se lleve a cabo sin comprometer la seguridad del suministro ni el bienestar de las regiones productoras.</w:t>
                </w:r>
              </w:p>
            </w:tc>
          </w:sdtContent>
        </w:sdt>
      </w:tr>
      <w:tr w:rsidR="006238AE" w:rsidRPr="00DD20DE" w14:paraId="2D947EDA" w14:textId="77777777" w:rsidTr="00D66A17">
        <w:trPr>
          <w:trHeight w:val="20"/>
        </w:trPr>
        <w:tc>
          <w:tcPr>
            <w:tcW w:w="799" w:type="pct"/>
            <w:shd w:val="clear" w:color="auto" w:fill="D9D9D9"/>
            <w:vAlign w:val="center"/>
          </w:tcPr>
          <w:p w14:paraId="38E847E8"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Fórmula de cálculo</w:t>
            </w:r>
          </w:p>
        </w:tc>
        <w:tc>
          <w:tcPr>
            <w:tcW w:w="4201" w:type="pct"/>
            <w:gridSpan w:val="8"/>
          </w:tcPr>
          <w:sdt>
            <w:sdtPr>
              <w:rPr>
                <w:rFonts w:eastAsia="Calibri" w:cstheme="minorHAnsi"/>
                <w:sz w:val="18"/>
                <w:szCs w:val="18"/>
                <w:lang w:val="es-ES"/>
              </w:rPr>
              <w:alias w:val="Fórmula de cálculo"/>
              <w:tag w:val="Fórmula de cálculo"/>
              <w:id w:val="-26573033"/>
              <w:placeholder>
                <w:docPart w:val="5C5C1144A6624E3CAE0E29EB015F8B95"/>
              </w:placeholder>
            </w:sdtPr>
            <w:sdtEndPr>
              <w:rPr>
                <w:color w:val="FF0000"/>
              </w:rPr>
            </w:sdtEndPr>
            <w:sdtContent>
              <w:p w14:paraId="1FA9EBAA" w14:textId="5ABF9E02" w:rsidR="00105CA2" w:rsidRPr="00105CA2" w:rsidRDefault="00105CA2" w:rsidP="00105CA2">
                <w:pPr>
                  <w:rPr>
                    <w:rFonts w:eastAsia="Arial Narrow"/>
                    <w:sz w:val="18"/>
                    <w:szCs w:val="18"/>
                    <w:lang w:eastAsia="es-CO"/>
                  </w:rPr>
                </w:pPr>
                <w:r w:rsidRPr="00105CA2">
                  <w:rPr>
                    <w:rFonts w:ascii="Cambria Math" w:eastAsia="Arial Narrow" w:hAnsi="Cambria Math"/>
                    <w:i/>
                    <w:sz w:val="18"/>
                    <w:szCs w:val="18"/>
                    <w:lang w:eastAsia="es-CO"/>
                  </w:rPr>
                  <w:br/>
                </w:r>
                <m:oMathPara>
                  <m:oMath>
                    <m:r>
                      <w:rPr>
                        <w:rFonts w:ascii="Cambria Math" w:eastAsia="Arial Narrow" w:hAnsi="Cambria Math"/>
                        <w:sz w:val="18"/>
                        <w:szCs w:val="18"/>
                        <w:lang w:eastAsia="es-CO"/>
                      </w:rPr>
                      <m:t xml:space="preserve">Variación del stock de hidrocarburos= </m:t>
                    </m:r>
                    <m:d>
                      <m:dPr>
                        <m:ctrlPr>
                          <w:rPr>
                            <w:rFonts w:ascii="Cambria Math" w:eastAsia="Arial Narrow" w:hAnsi="Cambria Math"/>
                            <w:i/>
                            <w:sz w:val="18"/>
                            <w:szCs w:val="18"/>
                            <w:lang w:eastAsia="es-CO"/>
                          </w:rPr>
                        </m:ctrlPr>
                      </m:dPr>
                      <m:e>
                        <m:r>
                          <w:rPr>
                            <w:rFonts w:ascii="Cambria Math" w:eastAsia="Arial Narrow" w:hAnsi="Cambria Math"/>
                            <w:sz w:val="18"/>
                            <w:szCs w:val="18"/>
                            <w:lang w:eastAsia="es-CO"/>
                          </w:rPr>
                          <m:t xml:space="preserve">  </m:t>
                        </m:r>
                        <m:f>
                          <m:fPr>
                            <m:ctrlPr>
                              <w:rPr>
                                <w:rFonts w:ascii="Cambria Math" w:eastAsia="Arial Narrow" w:hAnsi="Cambria Math"/>
                                <w:i/>
                                <w:sz w:val="18"/>
                                <w:szCs w:val="18"/>
                                <w:lang w:eastAsia="es-CO"/>
                              </w:rPr>
                            </m:ctrlPr>
                          </m:fPr>
                          <m:num>
                            <m:sSub>
                              <m:sSubPr>
                                <m:ctrlPr>
                                  <w:rPr>
                                    <w:rFonts w:ascii="Cambria Math" w:eastAsia="Arial Narrow" w:hAnsi="Cambria Math"/>
                                    <w:i/>
                                    <w:sz w:val="18"/>
                                    <w:szCs w:val="18"/>
                                    <w:lang w:eastAsia="es-CO"/>
                                  </w:rPr>
                                </m:ctrlPr>
                              </m:sSubPr>
                              <m:e>
                                <m:r>
                                  <w:rPr>
                                    <w:rFonts w:ascii="Cambria Math" w:eastAsia="Arial Narrow" w:hAnsi="Cambria Math"/>
                                    <w:sz w:val="18"/>
                                    <w:szCs w:val="18"/>
                                    <w:lang w:eastAsia="es-CO"/>
                                  </w:rPr>
                                  <m:t xml:space="preserve">Reservas </m:t>
                                </m:r>
                              </m:e>
                              <m:sub>
                                <m:r>
                                  <w:rPr>
                                    <w:rFonts w:ascii="Cambria Math" w:eastAsia="Arial Narrow" w:hAnsi="Cambria Math"/>
                                    <w:sz w:val="18"/>
                                    <w:szCs w:val="18"/>
                                    <w:lang w:eastAsia="es-CO"/>
                                  </w:rPr>
                                  <m:t>final</m:t>
                                </m:r>
                              </m:sub>
                            </m:sSub>
                            <m:r>
                              <w:rPr>
                                <w:rFonts w:ascii="Cambria Math" w:eastAsia="Arial Narrow" w:hAnsi="Cambria Math"/>
                                <w:sz w:val="18"/>
                                <w:szCs w:val="18"/>
                                <w:lang w:eastAsia="es-CO"/>
                              </w:rPr>
                              <m:t>-</m:t>
                            </m:r>
                            <m:sSub>
                              <m:sSubPr>
                                <m:ctrlPr>
                                  <w:rPr>
                                    <w:rFonts w:ascii="Cambria Math" w:eastAsia="Arial Narrow" w:hAnsi="Cambria Math"/>
                                    <w:i/>
                                    <w:sz w:val="18"/>
                                    <w:szCs w:val="18"/>
                                    <w:lang w:eastAsia="es-CO"/>
                                  </w:rPr>
                                </m:ctrlPr>
                              </m:sSubPr>
                              <m:e>
                                <m:r>
                                  <w:rPr>
                                    <w:rFonts w:ascii="Cambria Math" w:eastAsia="Arial Narrow" w:hAnsi="Cambria Math"/>
                                    <w:sz w:val="18"/>
                                    <w:szCs w:val="18"/>
                                    <w:lang w:eastAsia="es-CO"/>
                                  </w:rPr>
                                  <m:t>Reservas</m:t>
                                </m:r>
                              </m:e>
                              <m:sub>
                                <m:r>
                                  <w:rPr>
                                    <w:rFonts w:ascii="Cambria Math" w:eastAsia="Arial Narrow" w:hAnsi="Cambria Math"/>
                                    <w:sz w:val="18"/>
                                    <w:szCs w:val="18"/>
                                    <w:lang w:eastAsia="es-CO"/>
                                  </w:rPr>
                                  <m:t>inicial</m:t>
                                </m:r>
                              </m:sub>
                            </m:sSub>
                          </m:num>
                          <m:den>
                            <m:sSub>
                              <m:sSubPr>
                                <m:ctrlPr>
                                  <w:rPr>
                                    <w:rFonts w:ascii="Cambria Math" w:eastAsia="Arial Narrow" w:hAnsi="Cambria Math"/>
                                    <w:i/>
                                    <w:sz w:val="18"/>
                                    <w:szCs w:val="18"/>
                                    <w:lang w:eastAsia="es-CO"/>
                                  </w:rPr>
                                </m:ctrlPr>
                              </m:sSubPr>
                              <m:e>
                                <m:r>
                                  <w:rPr>
                                    <w:rFonts w:ascii="Cambria Math" w:eastAsia="Arial Narrow" w:hAnsi="Cambria Math"/>
                                    <w:sz w:val="18"/>
                                    <w:szCs w:val="18"/>
                                    <w:lang w:eastAsia="es-CO"/>
                                  </w:rPr>
                                  <m:t>Reservas</m:t>
                                </m:r>
                              </m:e>
                              <m:sub>
                                <m:r>
                                  <w:rPr>
                                    <w:rFonts w:ascii="Cambria Math" w:eastAsia="Arial Narrow" w:hAnsi="Cambria Math"/>
                                    <w:sz w:val="18"/>
                                    <w:szCs w:val="18"/>
                                    <w:lang w:eastAsia="es-CO"/>
                                  </w:rPr>
                                  <m:t>inicial</m:t>
                                </m:r>
                              </m:sub>
                            </m:sSub>
                          </m:den>
                        </m:f>
                      </m:e>
                    </m:d>
                    <m:r>
                      <w:rPr>
                        <w:rFonts w:ascii="Cambria Math" w:eastAsia="Arial Narrow" w:hAnsi="Cambria Math"/>
                        <w:sz w:val="18"/>
                        <w:szCs w:val="18"/>
                        <w:lang w:eastAsia="es-CO"/>
                      </w:rPr>
                      <m:t xml:space="preserve"> x 100</m:t>
                    </m:r>
                  </m:oMath>
                </m:oMathPara>
              </w:p>
              <w:p w14:paraId="4BC180E8" w14:textId="77777777" w:rsidR="006238AE" w:rsidRDefault="006238AE" w:rsidP="00E54A32">
                <w:pPr>
                  <w:spacing w:line="276" w:lineRule="auto"/>
                  <w:ind w:right="90"/>
                  <w:jc w:val="both"/>
                  <w:rPr>
                    <w:rFonts w:eastAsia="Calibri" w:cstheme="minorHAnsi"/>
                    <w:kern w:val="2"/>
                    <w:sz w:val="18"/>
                    <w:szCs w:val="18"/>
                    <w:lang w:val="es-ES"/>
                    <w14:ligatures w14:val="standardContextual"/>
                  </w:rPr>
                </w:pPr>
              </w:p>
              <w:p w14:paraId="3C88D373" w14:textId="77777777" w:rsidR="00105CA2" w:rsidRDefault="00105CA2" w:rsidP="00E54A32">
                <w:pPr>
                  <w:spacing w:line="276" w:lineRule="auto"/>
                  <w:ind w:right="90"/>
                  <w:jc w:val="both"/>
                  <w:rPr>
                    <w:rFonts w:eastAsia="Calibri" w:cstheme="minorHAnsi"/>
                    <w:kern w:val="2"/>
                    <w:sz w:val="18"/>
                    <w:szCs w:val="18"/>
                    <w:lang w:val="es-ES"/>
                    <w14:ligatures w14:val="standardContextual"/>
                  </w:rPr>
                </w:pPr>
                <w:r>
                  <w:rPr>
                    <w:rFonts w:eastAsia="Calibri" w:cstheme="minorHAnsi"/>
                    <w:kern w:val="2"/>
                    <w:sz w:val="18"/>
                    <w:szCs w:val="18"/>
                    <w:lang w:val="es-ES"/>
                    <w14:ligatures w14:val="standardContextual"/>
                  </w:rPr>
                  <w:t xml:space="preserve">Donde,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1"/>
                  <w:gridCol w:w="5633"/>
                </w:tblGrid>
                <w:tr w:rsidR="00105CA2" w14:paraId="755650E3" w14:textId="77777777" w:rsidTr="001E25B4">
                  <w:tc>
                    <w:tcPr>
                      <w:tcW w:w="1980" w:type="dxa"/>
                    </w:tcPr>
                    <w:p w14:paraId="5F3847C1" w14:textId="77777777" w:rsidR="00105CA2" w:rsidRPr="00105CA2" w:rsidRDefault="00105CA2" w:rsidP="00105CA2">
                      <w:pPr>
                        <w:pStyle w:val="Prrafodelista"/>
                        <w:ind w:left="0"/>
                        <w:rPr>
                          <w:rFonts w:eastAsia="Arial Narrow"/>
                          <w:sz w:val="18"/>
                          <w:szCs w:val="18"/>
                          <w:vertAlign w:val="subscript"/>
                        </w:rPr>
                      </w:pPr>
                      <w:proofErr w:type="gramStart"/>
                      <w:r w:rsidRPr="00105CA2">
                        <w:rPr>
                          <w:rFonts w:eastAsia="Arial Narrow"/>
                          <w:sz w:val="18"/>
                          <w:szCs w:val="18"/>
                        </w:rPr>
                        <w:t xml:space="preserve">Reservas </w:t>
                      </w:r>
                      <w:r w:rsidRPr="00105CA2">
                        <w:rPr>
                          <w:rFonts w:eastAsia="Arial Narrow"/>
                          <w:sz w:val="18"/>
                          <w:szCs w:val="18"/>
                          <w:vertAlign w:val="subscript"/>
                        </w:rPr>
                        <w:t>final</w:t>
                      </w:r>
                      <w:proofErr w:type="gramEnd"/>
                    </w:p>
                  </w:tc>
                  <w:tc>
                    <w:tcPr>
                      <w:tcW w:w="7080" w:type="dxa"/>
                    </w:tcPr>
                    <w:p w14:paraId="0D2591C8" w14:textId="7F7AAD56" w:rsidR="00105CA2" w:rsidRPr="00105CA2" w:rsidRDefault="00CC06E6" w:rsidP="00105CA2">
                      <w:pPr>
                        <w:pStyle w:val="Prrafodelista"/>
                        <w:ind w:left="0"/>
                        <w:rPr>
                          <w:rFonts w:eastAsia="Arial Narrow"/>
                          <w:sz w:val="18"/>
                          <w:szCs w:val="18"/>
                        </w:rPr>
                      </w:pPr>
                      <w:r w:rsidRPr="00CC06E6">
                        <w:rPr>
                          <w:rFonts w:eastAsia="Arial Narrow"/>
                          <w:sz w:val="18"/>
                          <w:szCs w:val="18"/>
                        </w:rPr>
                        <w:t xml:space="preserve">Corresponde a la suma de las reservas probadas (1P) de crudo y gas natural al final del período analizado, expresadas en </w:t>
                      </w:r>
                      <w:proofErr w:type="spellStart"/>
                      <w:r w:rsidRPr="00CC06E6">
                        <w:rPr>
                          <w:rFonts w:eastAsia="Arial Narrow"/>
                          <w:sz w:val="18"/>
                          <w:szCs w:val="18"/>
                        </w:rPr>
                        <w:t>Terajulios</w:t>
                      </w:r>
                      <w:proofErr w:type="spellEnd"/>
                      <w:r w:rsidRPr="00CC06E6">
                        <w:rPr>
                          <w:rFonts w:eastAsia="Arial Narrow"/>
                          <w:sz w:val="18"/>
                          <w:szCs w:val="18"/>
                        </w:rPr>
                        <w:t xml:space="preserve"> (TJ).</w:t>
                      </w:r>
                    </w:p>
                  </w:tc>
                </w:tr>
                <w:tr w:rsidR="00105CA2" w14:paraId="35D33704" w14:textId="77777777" w:rsidTr="001E25B4">
                  <w:tc>
                    <w:tcPr>
                      <w:tcW w:w="1980" w:type="dxa"/>
                    </w:tcPr>
                    <w:p w14:paraId="0B6A0D41" w14:textId="77777777" w:rsidR="00105CA2" w:rsidRPr="00105CA2" w:rsidRDefault="00105CA2" w:rsidP="00105CA2">
                      <w:pPr>
                        <w:pStyle w:val="Prrafodelista"/>
                        <w:ind w:left="0"/>
                        <w:rPr>
                          <w:rFonts w:eastAsia="Arial Narrow"/>
                          <w:strike/>
                          <w:sz w:val="18"/>
                          <w:szCs w:val="18"/>
                          <w:vertAlign w:val="subscript"/>
                        </w:rPr>
                      </w:pPr>
                      <w:proofErr w:type="gramStart"/>
                      <w:r w:rsidRPr="00105CA2">
                        <w:rPr>
                          <w:rFonts w:eastAsia="Arial Narrow"/>
                          <w:sz w:val="18"/>
                          <w:szCs w:val="18"/>
                        </w:rPr>
                        <w:t xml:space="preserve">Reservas </w:t>
                      </w:r>
                      <w:r w:rsidRPr="00105CA2">
                        <w:rPr>
                          <w:rFonts w:eastAsia="Arial Narrow"/>
                          <w:sz w:val="18"/>
                          <w:szCs w:val="18"/>
                          <w:vertAlign w:val="subscript"/>
                        </w:rPr>
                        <w:t>inicial</w:t>
                      </w:r>
                      <w:proofErr w:type="gramEnd"/>
                    </w:p>
                  </w:tc>
                  <w:tc>
                    <w:tcPr>
                      <w:tcW w:w="7080" w:type="dxa"/>
                    </w:tcPr>
                    <w:p w14:paraId="7E8B2298" w14:textId="77777777" w:rsidR="00105CA2" w:rsidRPr="00105CA2" w:rsidRDefault="00105CA2" w:rsidP="00105CA2">
                      <w:pPr>
                        <w:pStyle w:val="Prrafodelista"/>
                        <w:ind w:left="0"/>
                        <w:rPr>
                          <w:rFonts w:eastAsia="Arial Narrow"/>
                          <w:sz w:val="18"/>
                          <w:szCs w:val="18"/>
                        </w:rPr>
                      </w:pPr>
                    </w:p>
                    <w:p w14:paraId="3ABB12F6" w14:textId="427BE36C" w:rsidR="00105CA2" w:rsidRPr="00105CA2" w:rsidRDefault="00CC06E6" w:rsidP="00105CA2">
                      <w:pPr>
                        <w:pStyle w:val="Prrafodelista"/>
                        <w:ind w:left="0"/>
                        <w:rPr>
                          <w:rFonts w:eastAsia="Arial Narrow"/>
                          <w:sz w:val="18"/>
                          <w:szCs w:val="18"/>
                        </w:rPr>
                      </w:pPr>
                      <w:r w:rsidRPr="00CC06E6">
                        <w:rPr>
                          <w:rFonts w:eastAsia="Arial Narrow"/>
                          <w:sz w:val="18"/>
                          <w:szCs w:val="18"/>
                        </w:rPr>
                        <w:t xml:space="preserve">Corresponde a la suma de las reservas probadas (1P) de crudo y gas natural al inicio del período analizado, expresadas en </w:t>
                      </w:r>
                      <w:proofErr w:type="spellStart"/>
                      <w:r w:rsidRPr="00CC06E6">
                        <w:rPr>
                          <w:rFonts w:eastAsia="Arial Narrow"/>
                          <w:sz w:val="18"/>
                          <w:szCs w:val="18"/>
                        </w:rPr>
                        <w:t>Terajulios</w:t>
                      </w:r>
                      <w:proofErr w:type="spellEnd"/>
                      <w:r w:rsidRPr="00CC06E6">
                        <w:rPr>
                          <w:rFonts w:eastAsia="Arial Narrow"/>
                          <w:sz w:val="18"/>
                          <w:szCs w:val="18"/>
                        </w:rPr>
                        <w:t xml:space="preserve"> (TJ).</w:t>
                      </w:r>
                    </w:p>
                  </w:tc>
                </w:tr>
              </w:tbl>
              <w:p w14:paraId="421B54E4" w14:textId="5EF93ACA" w:rsidR="00105CA2" w:rsidRPr="00E54A32" w:rsidRDefault="00000000" w:rsidP="00E54A32">
                <w:pPr>
                  <w:spacing w:line="276" w:lineRule="auto"/>
                  <w:ind w:right="90"/>
                  <w:jc w:val="both"/>
                  <w:rPr>
                    <w:rFonts w:eastAsia="Calibri" w:cstheme="minorHAnsi"/>
                    <w:kern w:val="2"/>
                    <w:sz w:val="18"/>
                    <w:szCs w:val="18"/>
                    <w:lang w:val="es-ES"/>
                    <w14:ligatures w14:val="standardContextual"/>
                  </w:rPr>
                </w:pPr>
              </w:p>
            </w:sdtContent>
          </w:sdt>
        </w:tc>
      </w:tr>
      <w:tr w:rsidR="006238AE" w:rsidRPr="00DD20DE" w14:paraId="282679F7" w14:textId="77777777" w:rsidTr="00D66A17">
        <w:trPr>
          <w:trHeight w:val="20"/>
        </w:trPr>
        <w:tc>
          <w:tcPr>
            <w:tcW w:w="799" w:type="pct"/>
            <w:shd w:val="clear" w:color="auto" w:fill="D9D9D9"/>
            <w:vAlign w:val="center"/>
          </w:tcPr>
          <w:p w14:paraId="34D34ABC"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Metodología de cálculo</w:t>
            </w:r>
          </w:p>
        </w:tc>
        <w:tc>
          <w:tcPr>
            <w:tcW w:w="4201" w:type="pct"/>
            <w:gridSpan w:val="8"/>
          </w:tcPr>
          <w:sdt>
            <w:sdtPr>
              <w:rPr>
                <w:rFonts w:eastAsia="Calibri" w:cstheme="minorHAnsi"/>
                <w:sz w:val="18"/>
                <w:szCs w:val="18"/>
                <w:lang w:val="es-ES"/>
              </w:rPr>
              <w:alias w:val="Metodología de cálculo"/>
              <w:tag w:val="Metodología de cálculo"/>
              <w:id w:val="461705720"/>
              <w:placeholder>
                <w:docPart w:val="5592A8CF688C41C6B32CFE8E7692B985"/>
              </w:placeholder>
            </w:sdtPr>
            <w:sdtEndPr>
              <w:rPr>
                <w:color w:val="FF0000"/>
              </w:rPr>
            </w:sdtEndPr>
            <w:sdtContent>
              <w:p w14:paraId="53490412" w14:textId="5B6E49F8" w:rsidR="00CD5F5F" w:rsidRPr="00CD5F5F" w:rsidRDefault="00CD5F5F" w:rsidP="00CD5F5F">
                <w:pPr>
                  <w:spacing w:line="276" w:lineRule="auto"/>
                  <w:ind w:right="90"/>
                  <w:jc w:val="both"/>
                  <w:rPr>
                    <w:rFonts w:eastAsia="Calibri" w:cstheme="minorHAnsi"/>
                    <w:sz w:val="18"/>
                    <w:szCs w:val="18"/>
                    <w:u w:val="single"/>
                    <w:lang w:val="es-ES"/>
                  </w:rPr>
                </w:pPr>
                <w:r w:rsidRPr="00CD5F5F">
                  <w:rPr>
                    <w:rFonts w:eastAsia="Calibri" w:cstheme="minorHAnsi"/>
                    <w:sz w:val="18"/>
                    <w:szCs w:val="18"/>
                    <w:u w:val="single"/>
                    <w:lang w:val="es-ES"/>
                  </w:rPr>
                  <w:t>Recolección de datos</w:t>
                </w:r>
              </w:p>
              <w:p w14:paraId="7AC1C7F5" w14:textId="77777777" w:rsidR="00CD5F5F" w:rsidRDefault="00CD5F5F" w:rsidP="00CD5F5F">
                <w:pPr>
                  <w:spacing w:line="276" w:lineRule="auto"/>
                  <w:ind w:right="90"/>
                  <w:jc w:val="both"/>
                  <w:rPr>
                    <w:rFonts w:eastAsia="Calibri" w:cstheme="minorHAnsi"/>
                    <w:sz w:val="18"/>
                    <w:szCs w:val="18"/>
                    <w:lang w:val="es-ES"/>
                  </w:rPr>
                </w:pPr>
              </w:p>
              <w:p w14:paraId="332E1522" w14:textId="05647AA5" w:rsidR="00CD5F5F" w:rsidRDefault="00CD5F5F" w:rsidP="00CD5F5F">
                <w:pPr>
                  <w:spacing w:line="276" w:lineRule="auto"/>
                  <w:ind w:right="90"/>
                  <w:jc w:val="both"/>
                  <w:rPr>
                    <w:rFonts w:eastAsia="Calibri" w:cstheme="minorHAnsi"/>
                    <w:sz w:val="18"/>
                    <w:szCs w:val="18"/>
                    <w:lang w:val="es-ES"/>
                  </w:rPr>
                </w:pPr>
                <w:r w:rsidRPr="00CD5F5F">
                  <w:rPr>
                    <w:rFonts w:eastAsia="Calibri" w:cstheme="minorHAnsi"/>
                    <w:sz w:val="18"/>
                    <w:szCs w:val="18"/>
                    <w:lang w:val="es-ES"/>
                  </w:rPr>
                  <w:t>Acceder a la Cuenta Ambiental y Económica de Activos de los Recursos Minerales y Energéticos (CAE-ARME) del DANE.</w:t>
                </w:r>
              </w:p>
              <w:p w14:paraId="3FA419A1" w14:textId="77777777" w:rsidR="00CD5F5F" w:rsidRPr="00CD5F5F" w:rsidRDefault="00CD5F5F" w:rsidP="00CD5F5F">
                <w:pPr>
                  <w:spacing w:line="276" w:lineRule="auto"/>
                  <w:ind w:right="90"/>
                  <w:jc w:val="both"/>
                  <w:rPr>
                    <w:rFonts w:eastAsia="Calibri" w:cstheme="minorHAnsi"/>
                    <w:sz w:val="18"/>
                    <w:szCs w:val="18"/>
                    <w:lang w:val="es-ES"/>
                  </w:rPr>
                </w:pPr>
              </w:p>
              <w:p w14:paraId="09ED9717" w14:textId="4575FE6C" w:rsidR="00CD5F5F" w:rsidRPr="00CD5F5F" w:rsidRDefault="00CD5F5F" w:rsidP="00CD5F5F">
                <w:pPr>
                  <w:pStyle w:val="Prrafodelista"/>
                  <w:numPr>
                    <w:ilvl w:val="0"/>
                    <w:numId w:val="4"/>
                  </w:numPr>
                  <w:spacing w:line="276" w:lineRule="auto"/>
                  <w:ind w:right="90"/>
                  <w:jc w:val="both"/>
                  <w:rPr>
                    <w:rFonts w:eastAsia="Calibri" w:cstheme="minorHAnsi"/>
                    <w:sz w:val="18"/>
                    <w:szCs w:val="18"/>
                    <w:lang w:val="es-ES"/>
                  </w:rPr>
                </w:pPr>
                <w:r w:rsidRPr="00CD5F5F">
                  <w:rPr>
                    <w:rFonts w:eastAsia="Calibri" w:cstheme="minorHAnsi"/>
                    <w:sz w:val="18"/>
                    <w:szCs w:val="18"/>
                    <w:lang w:val="es-ES"/>
                  </w:rPr>
                  <w:t>Ingresar al sitio web: https://www.dane.gov.co/index.php/estadisticas-por-tema/ambientales/cuenta-satelite-ambiental-csa#cuenta-ambiental-y-economica-de-activos-de-los-recursos-minerales-y-energeticos-cae-arme</w:t>
                </w:r>
              </w:p>
              <w:p w14:paraId="7ACA09BF" w14:textId="6B0869FD" w:rsidR="00CD5F5F" w:rsidRPr="00CD5F5F" w:rsidRDefault="00CD5F5F" w:rsidP="00CD5F5F">
                <w:pPr>
                  <w:pStyle w:val="Prrafodelista"/>
                  <w:numPr>
                    <w:ilvl w:val="0"/>
                    <w:numId w:val="4"/>
                  </w:numPr>
                  <w:spacing w:line="276" w:lineRule="auto"/>
                  <w:ind w:right="90"/>
                  <w:jc w:val="both"/>
                  <w:rPr>
                    <w:rFonts w:eastAsia="Calibri" w:cstheme="minorHAnsi"/>
                    <w:sz w:val="18"/>
                    <w:szCs w:val="18"/>
                    <w:lang w:val="es-ES"/>
                  </w:rPr>
                </w:pPr>
                <w:r w:rsidRPr="00CD5F5F">
                  <w:rPr>
                    <w:rFonts w:eastAsia="Calibri" w:cstheme="minorHAnsi"/>
                    <w:sz w:val="18"/>
                    <w:szCs w:val="18"/>
                    <w:lang w:val="es-ES"/>
                  </w:rPr>
                  <w:t>En la parte inferior de la página, hacer clic en la sección Anexos y descargar el documento “anex-CAEARME-2023p”.</w:t>
                </w:r>
              </w:p>
              <w:p w14:paraId="33E4CDA9" w14:textId="1D668B95" w:rsidR="00CD5F5F" w:rsidRPr="00CD5F5F" w:rsidRDefault="00CD5F5F" w:rsidP="00CD5F5F">
                <w:pPr>
                  <w:pStyle w:val="Prrafodelista"/>
                  <w:numPr>
                    <w:ilvl w:val="0"/>
                    <w:numId w:val="4"/>
                  </w:numPr>
                  <w:spacing w:line="276" w:lineRule="auto"/>
                  <w:ind w:right="90"/>
                  <w:jc w:val="both"/>
                  <w:rPr>
                    <w:rFonts w:eastAsia="Calibri" w:cstheme="minorHAnsi"/>
                    <w:sz w:val="18"/>
                    <w:szCs w:val="18"/>
                    <w:lang w:val="es-ES"/>
                  </w:rPr>
                </w:pPr>
                <w:r w:rsidRPr="00CD5F5F">
                  <w:rPr>
                    <w:rFonts w:eastAsia="Calibri" w:cstheme="minorHAnsi"/>
                    <w:sz w:val="18"/>
                    <w:szCs w:val="18"/>
                    <w:lang w:val="es-ES"/>
                  </w:rPr>
                  <w:t>Abrir el archivo y localizar los Cuadros 8 y 9, donde se encuentran los indicadores derivados del gas natural y del petróleo, respectivamente.</w:t>
                </w:r>
              </w:p>
              <w:p w14:paraId="6BB2AE2C" w14:textId="2CA47078" w:rsidR="00CD5F5F" w:rsidRDefault="00CD5F5F" w:rsidP="00CD5F5F">
                <w:pPr>
                  <w:pStyle w:val="Prrafodelista"/>
                  <w:numPr>
                    <w:ilvl w:val="0"/>
                    <w:numId w:val="4"/>
                  </w:numPr>
                  <w:spacing w:line="276" w:lineRule="auto"/>
                  <w:ind w:right="90"/>
                  <w:jc w:val="both"/>
                  <w:rPr>
                    <w:rFonts w:eastAsia="Calibri" w:cstheme="minorHAnsi"/>
                    <w:sz w:val="18"/>
                    <w:szCs w:val="18"/>
                    <w:lang w:val="es-ES"/>
                  </w:rPr>
                </w:pPr>
                <w:r w:rsidRPr="00CD5F5F">
                  <w:rPr>
                    <w:rFonts w:eastAsia="Calibri" w:cstheme="minorHAnsi"/>
                    <w:sz w:val="18"/>
                    <w:szCs w:val="18"/>
                    <w:lang w:val="es-ES"/>
                  </w:rPr>
                  <w:t>Extraer los valores de las reservas en el stock de apertura y stock de cierre para el año de análisis.</w:t>
                </w:r>
              </w:p>
              <w:p w14:paraId="3767386A" w14:textId="77777777" w:rsidR="00CD5F5F" w:rsidRPr="00CD5F5F" w:rsidRDefault="00CD5F5F" w:rsidP="00CD5F5F">
                <w:pPr>
                  <w:pStyle w:val="Prrafodelista"/>
                  <w:spacing w:line="276" w:lineRule="auto"/>
                  <w:ind w:right="90"/>
                  <w:jc w:val="both"/>
                  <w:rPr>
                    <w:rFonts w:eastAsia="Calibri" w:cstheme="minorHAnsi"/>
                    <w:sz w:val="18"/>
                    <w:szCs w:val="18"/>
                    <w:lang w:val="es-ES"/>
                  </w:rPr>
                </w:pPr>
              </w:p>
              <w:p w14:paraId="40D0CFC3" w14:textId="10057CE3" w:rsidR="00CD5F5F" w:rsidRPr="00CD5F5F" w:rsidRDefault="00CD5F5F" w:rsidP="00CD5F5F">
                <w:pPr>
                  <w:spacing w:line="276" w:lineRule="auto"/>
                  <w:ind w:right="90"/>
                  <w:jc w:val="both"/>
                  <w:rPr>
                    <w:rFonts w:eastAsia="Calibri" w:cstheme="minorHAnsi"/>
                    <w:sz w:val="18"/>
                    <w:szCs w:val="18"/>
                    <w:u w:val="single"/>
                    <w:lang w:val="es-ES"/>
                  </w:rPr>
                </w:pPr>
                <w:r w:rsidRPr="00CD5F5F">
                  <w:rPr>
                    <w:rFonts w:eastAsia="Calibri" w:cstheme="minorHAnsi"/>
                    <w:sz w:val="18"/>
                    <w:szCs w:val="18"/>
                    <w:u w:val="single"/>
                    <w:lang w:val="es-ES"/>
                  </w:rPr>
                  <w:t>Cálculo del indicador</w:t>
                </w:r>
              </w:p>
              <w:p w14:paraId="39AC69F2" w14:textId="77777777" w:rsidR="00CD5F5F" w:rsidRDefault="00CD5F5F" w:rsidP="00CD5F5F">
                <w:pPr>
                  <w:spacing w:line="276" w:lineRule="auto"/>
                  <w:ind w:right="90"/>
                  <w:jc w:val="both"/>
                  <w:rPr>
                    <w:rFonts w:eastAsia="Calibri" w:cstheme="minorHAnsi"/>
                    <w:sz w:val="18"/>
                    <w:szCs w:val="18"/>
                    <w:lang w:val="es-ES"/>
                  </w:rPr>
                </w:pPr>
              </w:p>
              <w:p w14:paraId="25BF3665" w14:textId="03ADB2AE" w:rsidR="00CD5F5F" w:rsidRPr="00CD5F5F" w:rsidRDefault="00CD5F5F" w:rsidP="00CD5F5F">
                <w:pPr>
                  <w:pStyle w:val="Prrafodelista"/>
                  <w:numPr>
                    <w:ilvl w:val="0"/>
                    <w:numId w:val="6"/>
                  </w:numPr>
                  <w:spacing w:line="276" w:lineRule="auto"/>
                  <w:ind w:right="90"/>
                  <w:jc w:val="both"/>
                  <w:rPr>
                    <w:rFonts w:eastAsia="Calibri" w:cstheme="minorHAnsi"/>
                    <w:sz w:val="18"/>
                    <w:szCs w:val="18"/>
                    <w:lang w:val="es-ES"/>
                  </w:rPr>
                </w:pPr>
                <w:r w:rsidRPr="00CD5F5F">
                  <w:rPr>
                    <w:rFonts w:eastAsia="Calibri" w:cstheme="minorHAnsi"/>
                    <w:sz w:val="18"/>
                    <w:szCs w:val="18"/>
                    <w:lang w:val="es-ES"/>
                  </w:rPr>
                  <w:t>Se sugiere convertir los valores extraídos a unidades de energía (</w:t>
                </w:r>
                <w:proofErr w:type="spellStart"/>
                <w:r w:rsidRPr="00CD5F5F">
                  <w:rPr>
                    <w:rFonts w:eastAsia="Calibri" w:cstheme="minorHAnsi"/>
                    <w:sz w:val="18"/>
                    <w:szCs w:val="18"/>
                    <w:lang w:val="es-ES"/>
                  </w:rPr>
                  <w:t>Terajulios</w:t>
                </w:r>
                <w:proofErr w:type="spellEnd"/>
                <w:r w:rsidRPr="00CD5F5F">
                  <w:rPr>
                    <w:rFonts w:eastAsia="Calibri" w:cstheme="minorHAnsi"/>
                    <w:sz w:val="18"/>
                    <w:szCs w:val="18"/>
                    <w:lang w:val="es-ES"/>
                  </w:rPr>
                  <w:t xml:space="preserve"> - TJ), con el fin de unificar las magnitudes y permitir la agregación de reservas de gas y petróleo. Para ello, se pueden aplicar los siguientes factores de conversión:</w:t>
                </w:r>
              </w:p>
              <w:p w14:paraId="33969044" w14:textId="77777777" w:rsidR="00CD5F5F" w:rsidRPr="00CD5F5F" w:rsidRDefault="00CD5F5F" w:rsidP="00CD5F5F">
                <w:pPr>
                  <w:pStyle w:val="Prrafodelista"/>
                  <w:numPr>
                    <w:ilvl w:val="0"/>
                    <w:numId w:val="5"/>
                  </w:numPr>
                  <w:spacing w:line="276" w:lineRule="auto"/>
                  <w:ind w:left="1113" w:right="90"/>
                  <w:jc w:val="both"/>
                  <w:rPr>
                    <w:rFonts w:eastAsia="Calibri" w:cstheme="minorHAnsi"/>
                    <w:i/>
                    <w:iCs/>
                    <w:sz w:val="18"/>
                    <w:szCs w:val="18"/>
                    <w:lang w:val="es-ES"/>
                  </w:rPr>
                </w:pPr>
                <w:r w:rsidRPr="00CD5F5F">
                  <w:rPr>
                    <w:rFonts w:eastAsia="Calibri" w:cstheme="minorHAnsi"/>
                    <w:i/>
                    <w:iCs/>
                    <w:sz w:val="18"/>
                    <w:szCs w:val="18"/>
                    <w:lang w:val="es-ES"/>
                  </w:rPr>
                  <w:t>Petróleo crudo: 1 millón de barriles (MBL) = 6.119 TJ</w:t>
                </w:r>
              </w:p>
              <w:p w14:paraId="322956CC" w14:textId="77777777" w:rsidR="00CD5F5F" w:rsidRPr="00CD5F5F" w:rsidRDefault="00CD5F5F" w:rsidP="00CD5F5F">
                <w:pPr>
                  <w:pStyle w:val="Prrafodelista"/>
                  <w:numPr>
                    <w:ilvl w:val="0"/>
                    <w:numId w:val="5"/>
                  </w:numPr>
                  <w:spacing w:line="276" w:lineRule="auto"/>
                  <w:ind w:left="1113" w:right="90"/>
                  <w:jc w:val="both"/>
                  <w:rPr>
                    <w:rFonts w:eastAsia="Calibri" w:cstheme="minorHAnsi"/>
                    <w:i/>
                    <w:iCs/>
                    <w:sz w:val="18"/>
                    <w:szCs w:val="18"/>
                    <w:lang w:val="es-ES"/>
                  </w:rPr>
                </w:pPr>
                <w:r w:rsidRPr="00CD5F5F">
                  <w:rPr>
                    <w:rFonts w:eastAsia="Calibri" w:cstheme="minorHAnsi"/>
                    <w:i/>
                    <w:iCs/>
                    <w:sz w:val="18"/>
                    <w:szCs w:val="18"/>
                    <w:lang w:val="es-ES"/>
                  </w:rPr>
                  <w:lastRenderedPageBreak/>
                  <w:t>Gas natural: 1 giga pie cúbico (GPC) = 1.055 TJ</w:t>
                </w:r>
              </w:p>
              <w:p w14:paraId="5FD67CA8" w14:textId="77777777" w:rsidR="00CD5F5F" w:rsidRDefault="00CD5F5F" w:rsidP="00CD5F5F">
                <w:pPr>
                  <w:spacing w:line="276" w:lineRule="auto"/>
                  <w:ind w:right="90"/>
                  <w:jc w:val="both"/>
                  <w:rPr>
                    <w:rFonts w:eastAsia="Calibri" w:cstheme="minorHAnsi"/>
                    <w:sz w:val="18"/>
                    <w:szCs w:val="18"/>
                    <w:lang w:val="es-ES"/>
                  </w:rPr>
                </w:pPr>
              </w:p>
              <w:p w14:paraId="712B88B8" w14:textId="77777777" w:rsidR="00CD5F5F" w:rsidRDefault="00CD5F5F" w:rsidP="00CD5F5F">
                <w:pPr>
                  <w:pStyle w:val="Prrafodelista"/>
                  <w:numPr>
                    <w:ilvl w:val="0"/>
                    <w:numId w:val="5"/>
                  </w:numPr>
                  <w:spacing w:line="276" w:lineRule="auto"/>
                  <w:ind w:right="90"/>
                  <w:jc w:val="both"/>
                  <w:rPr>
                    <w:rFonts w:eastAsia="Calibri" w:cstheme="minorHAnsi"/>
                    <w:sz w:val="18"/>
                    <w:szCs w:val="18"/>
                    <w:lang w:val="es-ES"/>
                  </w:rPr>
                </w:pPr>
                <w:r w:rsidRPr="00CD5F5F">
                  <w:rPr>
                    <w:rFonts w:eastAsia="Calibri" w:cstheme="minorHAnsi"/>
                    <w:sz w:val="18"/>
                    <w:szCs w:val="18"/>
                    <w:lang w:val="es-ES"/>
                  </w:rPr>
                  <w:t>Sumar las reservas de crudo y gas para cada momento del análisis:</w:t>
                </w:r>
              </w:p>
              <w:p w14:paraId="2E28F235" w14:textId="77777777" w:rsidR="00CD5F5F" w:rsidRPr="00CD5F5F" w:rsidRDefault="00CD5F5F" w:rsidP="00CD5F5F">
                <w:pPr>
                  <w:pStyle w:val="Prrafodelista"/>
                  <w:rPr>
                    <w:rFonts w:eastAsia="Calibri" w:cstheme="minorHAnsi"/>
                    <w:sz w:val="18"/>
                    <w:szCs w:val="18"/>
                    <w:lang w:val="es-ES"/>
                  </w:rPr>
                </w:pPr>
              </w:p>
              <w:p w14:paraId="55C29DA7" w14:textId="77777777" w:rsidR="00CD5F5F" w:rsidRDefault="00CD5F5F" w:rsidP="00CD5F5F">
                <w:pPr>
                  <w:pStyle w:val="Prrafodelista"/>
                  <w:numPr>
                    <w:ilvl w:val="0"/>
                    <w:numId w:val="5"/>
                  </w:numPr>
                  <w:spacing w:line="276" w:lineRule="auto"/>
                  <w:ind w:left="1113" w:right="90"/>
                  <w:jc w:val="both"/>
                  <w:rPr>
                    <w:rFonts w:eastAsia="Calibri" w:cstheme="minorHAnsi"/>
                    <w:sz w:val="18"/>
                    <w:szCs w:val="18"/>
                    <w:lang w:val="es-ES"/>
                  </w:rPr>
                </w:pPr>
                <w:r w:rsidRPr="00CD5F5F">
                  <w:rPr>
                    <w:rFonts w:eastAsia="Calibri" w:cstheme="minorHAnsi"/>
                    <w:sz w:val="18"/>
                    <w:szCs w:val="18"/>
                    <w:lang w:val="es-ES"/>
                  </w:rPr>
                  <w:t>Reservas iniciales (TJ) = Suma de las reservas en el stock de apertura (crudo + gas en TJ)</w:t>
                </w:r>
              </w:p>
              <w:p w14:paraId="3F967DDA" w14:textId="77777777" w:rsidR="00CD5F5F" w:rsidRDefault="00CD5F5F" w:rsidP="00CD5F5F">
                <w:pPr>
                  <w:pStyle w:val="Prrafodelista"/>
                  <w:spacing w:line="276" w:lineRule="auto"/>
                  <w:ind w:left="1113" w:right="90"/>
                  <w:jc w:val="both"/>
                  <w:rPr>
                    <w:rFonts w:eastAsia="Calibri" w:cstheme="minorHAnsi"/>
                    <w:sz w:val="18"/>
                    <w:szCs w:val="18"/>
                    <w:lang w:val="es-ES"/>
                  </w:rPr>
                </w:pPr>
              </w:p>
              <w:p w14:paraId="1F61EE41" w14:textId="2626F51F" w:rsidR="00CD5F5F" w:rsidRPr="00CD5F5F" w:rsidRDefault="00CD5F5F" w:rsidP="00CD5F5F">
                <w:pPr>
                  <w:pStyle w:val="Prrafodelista"/>
                  <w:numPr>
                    <w:ilvl w:val="0"/>
                    <w:numId w:val="5"/>
                  </w:numPr>
                  <w:spacing w:line="276" w:lineRule="auto"/>
                  <w:ind w:left="1113" w:right="90"/>
                  <w:jc w:val="both"/>
                  <w:rPr>
                    <w:rFonts w:eastAsia="Calibri" w:cstheme="minorHAnsi"/>
                    <w:sz w:val="18"/>
                    <w:szCs w:val="18"/>
                    <w:lang w:val="es-ES"/>
                  </w:rPr>
                </w:pPr>
                <w:r w:rsidRPr="00CD5F5F">
                  <w:rPr>
                    <w:rFonts w:eastAsia="Calibri" w:cstheme="minorHAnsi"/>
                    <w:sz w:val="18"/>
                    <w:szCs w:val="18"/>
                    <w:lang w:val="es-ES"/>
                  </w:rPr>
                  <w:t>Reservas finales (TJ) = Suma de las reservas en el stock de cierre (crudo + gas en TJ)</w:t>
                </w:r>
              </w:p>
              <w:p w14:paraId="51241CDB" w14:textId="77777777" w:rsidR="00CD5F5F" w:rsidRDefault="00CD5F5F" w:rsidP="00CD5F5F">
                <w:pPr>
                  <w:spacing w:line="276" w:lineRule="auto"/>
                  <w:ind w:right="90"/>
                  <w:jc w:val="both"/>
                  <w:rPr>
                    <w:rFonts w:eastAsia="Calibri" w:cstheme="minorHAnsi"/>
                    <w:sz w:val="18"/>
                    <w:szCs w:val="18"/>
                    <w:lang w:val="es-ES"/>
                  </w:rPr>
                </w:pPr>
              </w:p>
              <w:p w14:paraId="0AFDF6AD" w14:textId="12AEA607" w:rsidR="00CD5F5F" w:rsidRPr="00CD5F5F" w:rsidRDefault="00CD5F5F" w:rsidP="00CD5F5F">
                <w:pPr>
                  <w:pStyle w:val="Prrafodelista"/>
                  <w:numPr>
                    <w:ilvl w:val="0"/>
                    <w:numId w:val="5"/>
                  </w:numPr>
                  <w:spacing w:line="276" w:lineRule="auto"/>
                  <w:ind w:right="90"/>
                  <w:jc w:val="both"/>
                  <w:rPr>
                    <w:rFonts w:eastAsia="Calibri" w:cstheme="minorHAnsi"/>
                    <w:sz w:val="18"/>
                    <w:szCs w:val="18"/>
                    <w:lang w:val="es-ES"/>
                  </w:rPr>
                </w:pPr>
                <w:r w:rsidRPr="00CD5F5F">
                  <w:rPr>
                    <w:rFonts w:eastAsia="Calibri" w:cstheme="minorHAnsi"/>
                    <w:sz w:val="18"/>
                    <w:szCs w:val="18"/>
                    <w:lang w:val="es-ES"/>
                  </w:rPr>
                  <w:t>Aplicar la fórmula del indicador</w:t>
                </w:r>
              </w:p>
              <w:p w14:paraId="53B1EABA" w14:textId="77777777" w:rsidR="00CD5F5F" w:rsidRDefault="00CD5F5F" w:rsidP="00CD5F5F">
                <w:pPr>
                  <w:spacing w:line="276" w:lineRule="auto"/>
                  <w:ind w:right="90"/>
                  <w:jc w:val="both"/>
                  <w:rPr>
                    <w:rFonts w:eastAsia="Calibri" w:cstheme="minorHAnsi"/>
                    <w:sz w:val="18"/>
                    <w:szCs w:val="18"/>
                    <w:lang w:val="es-ES"/>
                  </w:rPr>
                </w:pPr>
              </w:p>
              <w:p w14:paraId="4B3D8285" w14:textId="77777777" w:rsidR="00CD5F5F" w:rsidRDefault="00CD5F5F" w:rsidP="00CD5F5F">
                <w:pPr>
                  <w:spacing w:line="276" w:lineRule="auto"/>
                  <w:ind w:right="90"/>
                  <w:jc w:val="both"/>
                  <w:rPr>
                    <w:rFonts w:eastAsia="Calibri" w:cstheme="minorHAnsi"/>
                    <w:sz w:val="18"/>
                    <w:szCs w:val="18"/>
                    <w:u w:val="single"/>
                    <w:lang w:val="es-ES"/>
                  </w:rPr>
                </w:pPr>
                <w:r w:rsidRPr="00CD5F5F">
                  <w:rPr>
                    <w:rFonts w:eastAsia="Calibri" w:cstheme="minorHAnsi"/>
                    <w:sz w:val="18"/>
                    <w:szCs w:val="18"/>
                    <w:u w:val="single"/>
                    <w:lang w:val="es-ES"/>
                  </w:rPr>
                  <w:t>Presentación de resultados</w:t>
                </w:r>
              </w:p>
              <w:p w14:paraId="4D5B10ED" w14:textId="77777777" w:rsidR="00CD5F5F" w:rsidRDefault="00CD5F5F" w:rsidP="00CD5F5F">
                <w:pPr>
                  <w:spacing w:line="276" w:lineRule="auto"/>
                  <w:ind w:right="90"/>
                  <w:jc w:val="both"/>
                  <w:rPr>
                    <w:rFonts w:eastAsia="Calibri" w:cstheme="minorHAnsi"/>
                    <w:sz w:val="18"/>
                    <w:szCs w:val="18"/>
                    <w:lang w:val="es-ES"/>
                  </w:rPr>
                </w:pPr>
              </w:p>
              <w:p w14:paraId="3DBD7461" w14:textId="1FED4115" w:rsidR="006238AE" w:rsidRPr="00CD5F5F" w:rsidRDefault="005117BB" w:rsidP="00CD5F5F">
                <w:pPr>
                  <w:spacing w:line="276" w:lineRule="auto"/>
                  <w:ind w:right="90"/>
                  <w:jc w:val="both"/>
                  <w:rPr>
                    <w:rFonts w:eastAsia="Calibri" w:cstheme="minorHAnsi"/>
                    <w:sz w:val="18"/>
                    <w:szCs w:val="18"/>
                    <w:u w:val="single"/>
                    <w:lang w:val="es-ES"/>
                  </w:rPr>
                </w:pPr>
                <w:r w:rsidRPr="005117BB">
                  <w:rPr>
                    <w:rFonts w:eastAsia="Calibri" w:cstheme="minorHAnsi"/>
                    <w:sz w:val="18"/>
                    <w:szCs w:val="18"/>
                    <w:lang w:val="es-CO"/>
                  </w:rPr>
                  <w:t xml:space="preserve">El indicador se expresa como una variación porcentual que representa el cambio en el stock de hidrocarburos (suma de las reservas de gas y crudo, expresadas en </w:t>
                </w:r>
                <w:proofErr w:type="spellStart"/>
                <w:r w:rsidRPr="005117BB">
                  <w:rPr>
                    <w:rFonts w:eastAsia="Calibri" w:cstheme="minorHAnsi"/>
                    <w:sz w:val="18"/>
                    <w:szCs w:val="18"/>
                    <w:lang w:val="es-CO"/>
                  </w:rPr>
                  <w:t>terajulios</w:t>
                </w:r>
                <w:proofErr w:type="spellEnd"/>
                <w:r w:rsidRPr="005117BB">
                  <w:rPr>
                    <w:rFonts w:eastAsia="Calibri" w:cstheme="minorHAnsi"/>
                    <w:sz w:val="18"/>
                    <w:szCs w:val="18"/>
                    <w:lang w:val="es-CO"/>
                  </w:rPr>
                  <w:t xml:space="preserve"> -TJ-) en Colombia. Este resultado permite identificar si el país está logrando reponer sus reservas energéticas en relación con los niveles de explotación y consumo, aportando al análisis de la sostenibilidad del sector y a la planificación estratégica del abastecimiento energético a mediano y largo plazo</w:t>
                </w:r>
                <w:r>
                  <w:rPr>
                    <w:rFonts w:eastAsia="Calibri" w:cstheme="minorHAnsi"/>
                    <w:sz w:val="18"/>
                    <w:szCs w:val="18"/>
                    <w:lang w:val="es-CO"/>
                  </w:rPr>
                  <w:t>.</w:t>
                </w:r>
              </w:p>
            </w:sdtContent>
          </w:sdt>
        </w:tc>
      </w:tr>
      <w:tr w:rsidR="00077011" w:rsidRPr="00DD20DE" w14:paraId="3CC6AB82" w14:textId="77777777" w:rsidTr="00D66A17">
        <w:trPr>
          <w:trHeight w:val="20"/>
        </w:trPr>
        <w:tc>
          <w:tcPr>
            <w:tcW w:w="799" w:type="pct"/>
            <w:shd w:val="clear" w:color="auto" w:fill="D9D9D9"/>
            <w:vAlign w:val="center"/>
          </w:tcPr>
          <w:p w14:paraId="6721D291" w14:textId="77777777" w:rsidR="00077011" w:rsidRPr="00DD20DE" w:rsidRDefault="00077011" w:rsidP="00077011">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Interpretación</w:t>
            </w:r>
          </w:p>
        </w:tc>
        <w:sdt>
          <w:sdtPr>
            <w:rPr>
              <w:rFonts w:eastAsia="Calibri" w:cstheme="minorHAnsi"/>
              <w:sz w:val="18"/>
              <w:szCs w:val="18"/>
              <w:lang w:val="es-ES"/>
            </w:rPr>
            <w:alias w:val="Interpretación"/>
            <w:tag w:val="Interpretación"/>
            <w:id w:val="-1085762303"/>
            <w:placeholder>
              <w:docPart w:val="43400B48A95F41EBA5C79B7A20B5ED00"/>
            </w:placeholder>
          </w:sdtPr>
          <w:sdtEndPr>
            <w:rPr>
              <w:color w:val="FF0000"/>
            </w:rPr>
          </w:sdtEndPr>
          <w:sdtContent>
            <w:tc>
              <w:tcPr>
                <w:tcW w:w="4201" w:type="pct"/>
                <w:gridSpan w:val="8"/>
              </w:tcPr>
              <w:p w14:paraId="0C8500FC" w14:textId="77777777" w:rsidR="00CD5F5F" w:rsidRPr="00CD5F5F" w:rsidRDefault="00CD5F5F" w:rsidP="00CD5F5F">
                <w:pPr>
                  <w:ind w:right="98"/>
                  <w:jc w:val="both"/>
                  <w:rPr>
                    <w:rFonts w:eastAsia="Calibri" w:cstheme="minorHAnsi"/>
                    <w:sz w:val="18"/>
                    <w:szCs w:val="18"/>
                    <w:lang w:val="es-ES"/>
                  </w:rPr>
                </w:pPr>
                <w:r w:rsidRPr="00CD5F5F">
                  <w:rPr>
                    <w:rFonts w:eastAsia="Calibri" w:cstheme="minorHAnsi"/>
                    <w:sz w:val="18"/>
                    <w:szCs w:val="18"/>
                    <w:lang w:val="es-ES"/>
                  </w:rPr>
                  <w:t>El valor obtenido permite identificar si el país está reponiendo adecuadamente las reservas de hidrocarburos frente al nivel de explotación y consumo. Una variación positiva refleja un aumento en el stock energético, lo cual fortalece la seguridad energética y demuestra un adecuado nivel de exploración y reposición de recursos. Por el contrario, una variación negativa sugiere una reducción del stock disponible, lo que puede implicar riesgos de abastecimiento y una mayor dependencia futura de importaciones.</w:t>
                </w:r>
              </w:p>
              <w:p w14:paraId="658369C2" w14:textId="77777777" w:rsidR="00CD5F5F" w:rsidRPr="00CD5F5F" w:rsidRDefault="00CD5F5F" w:rsidP="00CD5F5F">
                <w:pPr>
                  <w:ind w:right="98"/>
                  <w:jc w:val="both"/>
                  <w:rPr>
                    <w:rFonts w:eastAsia="Calibri" w:cstheme="minorHAnsi"/>
                    <w:sz w:val="18"/>
                    <w:szCs w:val="18"/>
                    <w:lang w:val="es-ES"/>
                  </w:rPr>
                </w:pPr>
              </w:p>
              <w:p w14:paraId="3AC78254" w14:textId="77777777" w:rsidR="00CD5F5F" w:rsidRDefault="00CD5F5F" w:rsidP="00CD5F5F">
                <w:pPr>
                  <w:ind w:right="98"/>
                  <w:jc w:val="both"/>
                  <w:rPr>
                    <w:rFonts w:eastAsia="Calibri" w:cstheme="minorHAnsi"/>
                    <w:sz w:val="18"/>
                    <w:szCs w:val="18"/>
                    <w:lang w:val="es-ES"/>
                  </w:rPr>
                </w:pPr>
                <w:r w:rsidRPr="00CD5F5F">
                  <w:rPr>
                    <w:rFonts w:eastAsia="Calibri" w:cstheme="minorHAnsi"/>
                    <w:sz w:val="18"/>
                    <w:szCs w:val="18"/>
                    <w:lang w:val="es-ES"/>
                  </w:rPr>
                  <w:t>A continuación, se presenta una tabla que categoriza los resultados del indicador según rangos porcentuales, facilitando su interpretación y uso en procesos de seguimiento, planificación energética y gestión de sostenibilidad en el sector.</w:t>
                </w:r>
              </w:p>
              <w:p w14:paraId="2A2CB002" w14:textId="77777777" w:rsidR="00CD5F5F" w:rsidRDefault="00CD5F5F" w:rsidP="00CD5F5F">
                <w:pPr>
                  <w:ind w:right="98"/>
                  <w:jc w:val="both"/>
                  <w:rPr>
                    <w:rFonts w:eastAsia="Calibri" w:cstheme="minorHAnsi"/>
                    <w:color w:val="FF0000"/>
                    <w:sz w:val="18"/>
                    <w:szCs w:val="18"/>
                    <w:lang w:val="es-ES"/>
                  </w:rPr>
                </w:pPr>
              </w:p>
              <w:tbl>
                <w:tblPr>
                  <w:tblStyle w:val="Tabladelista4-nfasis6"/>
                  <w:tblW w:w="0" w:type="auto"/>
                  <w:tblCellMar>
                    <w:top w:w="57" w:type="dxa"/>
                    <w:left w:w="57" w:type="dxa"/>
                    <w:bottom w:w="57" w:type="dxa"/>
                    <w:right w:w="57" w:type="dxa"/>
                  </w:tblCellMar>
                  <w:tblLook w:val="04A0" w:firstRow="1" w:lastRow="0" w:firstColumn="1" w:lastColumn="0" w:noHBand="0" w:noVBand="1"/>
                </w:tblPr>
                <w:tblGrid>
                  <w:gridCol w:w="1547"/>
                  <w:gridCol w:w="4379"/>
                  <w:gridCol w:w="1428"/>
                </w:tblGrid>
                <w:tr w:rsidR="00CD5F5F" w:rsidRPr="003A157B" w14:paraId="4FB12C1F" w14:textId="47477ACC" w:rsidTr="00CD5F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dxa"/>
                      <w:tcBorders>
                        <w:bottom w:val="single" w:sz="4" w:space="0" w:color="auto"/>
                      </w:tcBorders>
                      <w:shd w:val="clear" w:color="auto" w:fill="D9D9D9" w:themeFill="background1" w:themeFillShade="D9"/>
                      <w:vAlign w:val="center"/>
                    </w:tcPr>
                    <w:p w14:paraId="536CAE98" w14:textId="77777777" w:rsidR="00CD5F5F" w:rsidRPr="00CD5F5F" w:rsidRDefault="00CD5F5F" w:rsidP="00CD5F5F">
                      <w:pPr>
                        <w:jc w:val="center"/>
                        <w:rPr>
                          <w:rFonts w:ascii="Arial" w:hAnsi="Arial" w:cs="Arial"/>
                          <w:color w:val="auto"/>
                          <w:sz w:val="18"/>
                          <w:szCs w:val="18"/>
                        </w:rPr>
                      </w:pPr>
                      <w:r w:rsidRPr="00CD5F5F">
                        <w:rPr>
                          <w:rFonts w:ascii="Arial" w:hAnsi="Arial" w:cs="Arial"/>
                          <w:color w:val="auto"/>
                          <w:sz w:val="18"/>
                          <w:szCs w:val="18"/>
                        </w:rPr>
                        <w:t>Variación del stock de hidrocarburos</w:t>
                      </w:r>
                    </w:p>
                  </w:tc>
                  <w:tc>
                    <w:tcPr>
                      <w:tcW w:w="4379" w:type="dxa"/>
                      <w:tcBorders>
                        <w:top w:val="single" w:sz="4" w:space="0" w:color="auto"/>
                        <w:bottom w:val="single" w:sz="4" w:space="0" w:color="auto"/>
                      </w:tcBorders>
                      <w:shd w:val="clear" w:color="auto" w:fill="D9D9D9" w:themeFill="background1" w:themeFillShade="D9"/>
                      <w:vAlign w:val="center"/>
                    </w:tcPr>
                    <w:p w14:paraId="0B72D710" w14:textId="77777777" w:rsidR="00CD5F5F" w:rsidRPr="00CD5F5F" w:rsidRDefault="00CD5F5F" w:rsidP="00CD5F5F">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18"/>
                          <w:szCs w:val="18"/>
                        </w:rPr>
                      </w:pPr>
                      <w:r w:rsidRPr="00CD5F5F">
                        <w:rPr>
                          <w:rFonts w:ascii="Arial" w:hAnsi="Arial" w:cs="Arial"/>
                          <w:color w:val="auto"/>
                          <w:sz w:val="18"/>
                          <w:szCs w:val="18"/>
                        </w:rPr>
                        <w:t>Interpretación</w:t>
                      </w:r>
                    </w:p>
                  </w:tc>
                  <w:tc>
                    <w:tcPr>
                      <w:tcW w:w="1428" w:type="dxa"/>
                      <w:tcBorders>
                        <w:top w:val="single" w:sz="4" w:space="0" w:color="auto"/>
                        <w:bottom w:val="single" w:sz="4" w:space="0" w:color="auto"/>
                      </w:tcBorders>
                      <w:shd w:val="clear" w:color="auto" w:fill="D9D9D9" w:themeFill="background1" w:themeFillShade="D9"/>
                    </w:tcPr>
                    <w:p w14:paraId="1C3EBB54" w14:textId="1D2DD673" w:rsidR="00CD5F5F" w:rsidRPr="00CD5F5F" w:rsidRDefault="005117BB" w:rsidP="00CD5F5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color w:val="auto"/>
                          <w:sz w:val="18"/>
                          <w:szCs w:val="18"/>
                        </w:rPr>
                        <w:t>¨P</w:t>
                      </w:r>
                      <w:r w:rsidRPr="005117BB">
                        <w:rPr>
                          <w:rFonts w:ascii="Arial" w:hAnsi="Arial" w:cs="Arial"/>
                          <w:color w:val="auto"/>
                          <w:sz w:val="18"/>
                          <w:szCs w:val="18"/>
                        </w:rPr>
                        <w:t>untaje asignado para el índice de gobernanza</w:t>
                      </w:r>
                    </w:p>
                  </w:tc>
                </w:tr>
                <w:tr w:rsidR="00CD5F5F" w:rsidRPr="003A157B" w14:paraId="7EFCEAF1" w14:textId="2DA554F1" w:rsidTr="00CD5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dxa"/>
                      <w:tcBorders>
                        <w:top w:val="single" w:sz="4" w:space="0" w:color="auto"/>
                        <w:left w:val="single" w:sz="4" w:space="0" w:color="auto"/>
                        <w:bottom w:val="single" w:sz="4" w:space="0" w:color="auto"/>
                        <w:right w:val="single" w:sz="4" w:space="0" w:color="auto"/>
                      </w:tcBorders>
                      <w:shd w:val="clear" w:color="auto" w:fill="8AB833"/>
                      <w:vAlign w:val="center"/>
                    </w:tcPr>
                    <w:p w14:paraId="5AF67AA6" w14:textId="77777777" w:rsidR="00CD5F5F" w:rsidRPr="00CD5F5F" w:rsidRDefault="00CD5F5F" w:rsidP="00CD5F5F">
                      <w:pPr>
                        <w:jc w:val="center"/>
                        <w:rPr>
                          <w:rFonts w:ascii="Arial" w:hAnsi="Arial" w:cs="Arial"/>
                          <w:b w:val="0"/>
                          <w:bCs w:val="0"/>
                          <w:sz w:val="18"/>
                          <w:szCs w:val="18"/>
                        </w:rPr>
                      </w:pPr>
                      <w:r w:rsidRPr="00CD5F5F">
                        <w:rPr>
                          <w:rFonts w:ascii="Arial" w:hAnsi="Arial" w:cs="Arial"/>
                          <w:b w:val="0"/>
                          <w:bCs w:val="0"/>
                          <w:color w:val="FFFFFF" w:themeColor="background1"/>
                          <w:sz w:val="18"/>
                          <w:szCs w:val="18"/>
                        </w:rPr>
                        <w:t>&gt; 0%</w:t>
                      </w:r>
                    </w:p>
                  </w:tc>
                  <w:tc>
                    <w:tcPr>
                      <w:tcW w:w="4379" w:type="dxa"/>
                      <w:tcBorders>
                        <w:top w:val="single" w:sz="4" w:space="0" w:color="auto"/>
                        <w:left w:val="single" w:sz="4" w:space="0" w:color="auto"/>
                        <w:bottom w:val="single" w:sz="4" w:space="0" w:color="auto"/>
                        <w:right w:val="single" w:sz="4" w:space="0" w:color="auto"/>
                      </w:tcBorders>
                      <w:shd w:val="clear" w:color="auto" w:fill="auto"/>
                    </w:tcPr>
                    <w:p w14:paraId="3CCC26E5" w14:textId="77777777" w:rsidR="00CD5F5F" w:rsidRPr="00CD5F5F" w:rsidRDefault="00CD5F5F" w:rsidP="00CD5F5F">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D5F5F">
                        <w:rPr>
                          <w:rFonts w:ascii="Arial" w:hAnsi="Arial" w:cs="Arial"/>
                          <w:sz w:val="18"/>
                          <w:szCs w:val="18"/>
                        </w:rPr>
                        <w:t>Aumento del stock de hidrocarburos. El país está logrando reponer sus reservas, lo que indica un adecuado nivel de exploración y reposición de recursos. Esto fortalece la seguridad energética y reduce el riesgo de escasez.</w:t>
                      </w:r>
                    </w:p>
                  </w:tc>
                  <w:tc>
                    <w:tcPr>
                      <w:tcW w:w="1428" w:type="dxa"/>
                      <w:tcBorders>
                        <w:top w:val="single" w:sz="4" w:space="0" w:color="auto"/>
                        <w:left w:val="single" w:sz="4" w:space="0" w:color="auto"/>
                        <w:bottom w:val="single" w:sz="4" w:space="0" w:color="auto"/>
                        <w:right w:val="single" w:sz="4" w:space="0" w:color="auto"/>
                      </w:tcBorders>
                      <w:shd w:val="clear" w:color="auto" w:fill="auto"/>
                      <w:vAlign w:val="center"/>
                    </w:tcPr>
                    <w:p w14:paraId="3AB869B5" w14:textId="08CC1EBA" w:rsidR="00CD5F5F" w:rsidRPr="00CD5F5F" w:rsidRDefault="00CD5F5F" w:rsidP="00CD5F5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21</w:t>
                      </w:r>
                    </w:p>
                  </w:tc>
                </w:tr>
                <w:tr w:rsidR="00CD5F5F" w:rsidRPr="003A157B" w14:paraId="293F3261" w14:textId="4FBC1B85" w:rsidTr="00CD5F5F">
                  <w:tc>
                    <w:tcPr>
                      <w:cnfStyle w:val="001000000000" w:firstRow="0" w:lastRow="0" w:firstColumn="1" w:lastColumn="0" w:oddVBand="0" w:evenVBand="0" w:oddHBand="0" w:evenHBand="0" w:firstRowFirstColumn="0" w:firstRowLastColumn="0" w:lastRowFirstColumn="0" w:lastRowLastColumn="0"/>
                      <w:tcW w:w="1547" w:type="dxa"/>
                      <w:tcBorders>
                        <w:top w:val="single" w:sz="4" w:space="0" w:color="auto"/>
                        <w:left w:val="single" w:sz="4" w:space="0" w:color="auto"/>
                        <w:bottom w:val="single" w:sz="4" w:space="0" w:color="auto"/>
                        <w:right w:val="single" w:sz="4" w:space="0" w:color="auto"/>
                      </w:tcBorders>
                      <w:shd w:val="clear" w:color="auto" w:fill="FFFF00"/>
                      <w:vAlign w:val="center"/>
                    </w:tcPr>
                    <w:p w14:paraId="47CE11E4" w14:textId="77777777" w:rsidR="00CD5F5F" w:rsidRPr="00CD5F5F" w:rsidRDefault="00CD5F5F" w:rsidP="00CD5F5F">
                      <w:pPr>
                        <w:jc w:val="center"/>
                        <w:rPr>
                          <w:rFonts w:ascii="Arial" w:hAnsi="Arial" w:cs="Arial"/>
                          <w:b w:val="0"/>
                          <w:bCs w:val="0"/>
                          <w:sz w:val="18"/>
                          <w:szCs w:val="18"/>
                        </w:rPr>
                      </w:pPr>
                      <w:r w:rsidRPr="00CD5F5F">
                        <w:rPr>
                          <w:rFonts w:ascii="Arial" w:hAnsi="Arial" w:cs="Arial"/>
                          <w:b w:val="0"/>
                          <w:bCs w:val="0"/>
                          <w:sz w:val="18"/>
                          <w:szCs w:val="18"/>
                        </w:rPr>
                        <w:t>0%</w:t>
                      </w:r>
                    </w:p>
                  </w:tc>
                  <w:tc>
                    <w:tcPr>
                      <w:tcW w:w="4379" w:type="dxa"/>
                      <w:tcBorders>
                        <w:top w:val="single" w:sz="4" w:space="0" w:color="auto"/>
                        <w:left w:val="single" w:sz="4" w:space="0" w:color="auto"/>
                        <w:bottom w:val="single" w:sz="4" w:space="0" w:color="auto"/>
                        <w:right w:val="single" w:sz="4" w:space="0" w:color="auto"/>
                      </w:tcBorders>
                      <w:shd w:val="clear" w:color="auto" w:fill="auto"/>
                    </w:tcPr>
                    <w:p w14:paraId="479138DC" w14:textId="77777777" w:rsidR="00CD5F5F" w:rsidRPr="00CD5F5F" w:rsidRDefault="00CD5F5F" w:rsidP="00CD5F5F">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CD5F5F">
                        <w:rPr>
                          <w:rFonts w:ascii="Arial" w:hAnsi="Arial" w:cs="Arial"/>
                          <w:sz w:val="18"/>
                          <w:szCs w:val="18"/>
                        </w:rPr>
                        <w:t>La producción se mantiene en equilibrio con la reposición, lo que indica una gestión eficiente, pero sin margen de crecimiento. Permite una transición energética ordenada sin afectar el abastecimiento.</w:t>
                      </w:r>
                    </w:p>
                  </w:tc>
                  <w:tc>
                    <w:tcPr>
                      <w:tcW w:w="1428" w:type="dxa"/>
                      <w:tcBorders>
                        <w:top w:val="single" w:sz="4" w:space="0" w:color="auto"/>
                        <w:left w:val="single" w:sz="4" w:space="0" w:color="auto"/>
                        <w:bottom w:val="single" w:sz="4" w:space="0" w:color="auto"/>
                        <w:right w:val="single" w:sz="4" w:space="0" w:color="auto"/>
                      </w:tcBorders>
                      <w:shd w:val="clear" w:color="auto" w:fill="auto"/>
                      <w:vAlign w:val="center"/>
                    </w:tcPr>
                    <w:p w14:paraId="7E78A431" w14:textId="00C21E1B" w:rsidR="00CD5F5F" w:rsidRPr="00CD5F5F" w:rsidRDefault="00330016" w:rsidP="00CD5F5F">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14</w:t>
                      </w:r>
                    </w:p>
                  </w:tc>
                </w:tr>
                <w:tr w:rsidR="00CD5F5F" w:rsidRPr="003A157B" w14:paraId="080A6BBB" w14:textId="753FD4B3" w:rsidTr="00CD5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7" w:type="dxa"/>
                      <w:tcBorders>
                        <w:top w:val="single" w:sz="4" w:space="0" w:color="auto"/>
                        <w:left w:val="single" w:sz="4" w:space="0" w:color="auto"/>
                        <w:bottom w:val="single" w:sz="4" w:space="0" w:color="auto"/>
                        <w:right w:val="single" w:sz="4" w:space="0" w:color="auto"/>
                      </w:tcBorders>
                      <w:shd w:val="clear" w:color="auto" w:fill="FF0000"/>
                      <w:vAlign w:val="center"/>
                    </w:tcPr>
                    <w:p w14:paraId="787C80A3" w14:textId="77777777" w:rsidR="00CD5F5F" w:rsidRPr="00CD5F5F" w:rsidRDefault="00CD5F5F" w:rsidP="00CD5F5F">
                      <w:pPr>
                        <w:jc w:val="center"/>
                        <w:rPr>
                          <w:rFonts w:ascii="Arial" w:hAnsi="Arial" w:cs="Arial"/>
                          <w:b w:val="0"/>
                          <w:bCs w:val="0"/>
                          <w:sz w:val="18"/>
                          <w:szCs w:val="18"/>
                        </w:rPr>
                      </w:pPr>
                      <w:r w:rsidRPr="00CD5F5F">
                        <w:rPr>
                          <w:rFonts w:ascii="Arial" w:hAnsi="Arial" w:cs="Arial"/>
                          <w:b w:val="0"/>
                          <w:bCs w:val="0"/>
                          <w:color w:val="FFFFFF" w:themeColor="background1"/>
                          <w:sz w:val="18"/>
                          <w:szCs w:val="18"/>
                        </w:rPr>
                        <w:t>&lt; 0%</w:t>
                      </w:r>
                    </w:p>
                  </w:tc>
                  <w:tc>
                    <w:tcPr>
                      <w:tcW w:w="4379" w:type="dxa"/>
                      <w:tcBorders>
                        <w:top w:val="single" w:sz="4" w:space="0" w:color="auto"/>
                        <w:left w:val="single" w:sz="4" w:space="0" w:color="auto"/>
                        <w:bottom w:val="single" w:sz="4" w:space="0" w:color="auto"/>
                        <w:right w:val="single" w:sz="4" w:space="0" w:color="auto"/>
                      </w:tcBorders>
                      <w:shd w:val="clear" w:color="auto" w:fill="auto"/>
                    </w:tcPr>
                    <w:p w14:paraId="5B5FDF67" w14:textId="77777777" w:rsidR="00CD5F5F" w:rsidRPr="00CD5F5F" w:rsidRDefault="00CD5F5F" w:rsidP="00CD5F5F">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D5F5F">
                        <w:rPr>
                          <w:rFonts w:ascii="Arial" w:hAnsi="Arial" w:cs="Arial"/>
                          <w:sz w:val="18"/>
                          <w:szCs w:val="18"/>
                        </w:rPr>
                        <w:t>Disminución del stock de hidrocarburos. El país está consumiendo más recursos de los que repone, lo que puede generar riesgos de abastecimiento a mediano y largo plazo. Esto podría generar dependencia de importaciones y afectar la estabilidad del sistema energético.</w:t>
                      </w:r>
                    </w:p>
                  </w:tc>
                  <w:tc>
                    <w:tcPr>
                      <w:tcW w:w="1428" w:type="dxa"/>
                      <w:tcBorders>
                        <w:top w:val="single" w:sz="4" w:space="0" w:color="auto"/>
                        <w:left w:val="single" w:sz="4" w:space="0" w:color="auto"/>
                        <w:bottom w:val="single" w:sz="4" w:space="0" w:color="auto"/>
                        <w:right w:val="single" w:sz="4" w:space="0" w:color="auto"/>
                      </w:tcBorders>
                      <w:shd w:val="clear" w:color="auto" w:fill="auto"/>
                      <w:vAlign w:val="center"/>
                    </w:tcPr>
                    <w:p w14:paraId="2CCFBC42" w14:textId="43CB9C21" w:rsidR="00CD5F5F" w:rsidRPr="00CD5F5F" w:rsidRDefault="00330016" w:rsidP="00CD5F5F">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7</w:t>
                      </w:r>
                    </w:p>
                  </w:tc>
                </w:tr>
              </w:tbl>
              <w:p w14:paraId="1797FCB7" w14:textId="12DFAE41" w:rsidR="00077011" w:rsidRPr="00DD20DE" w:rsidRDefault="00077011" w:rsidP="00CD5F5F">
                <w:pPr>
                  <w:ind w:right="98"/>
                  <w:jc w:val="both"/>
                  <w:rPr>
                    <w:rFonts w:eastAsia="Calibri" w:cstheme="minorHAnsi"/>
                    <w:color w:val="FF0000"/>
                    <w:sz w:val="18"/>
                    <w:szCs w:val="18"/>
                    <w:lang w:val="es-ES"/>
                  </w:rPr>
                </w:pPr>
              </w:p>
            </w:tc>
          </w:sdtContent>
        </w:sdt>
      </w:tr>
      <w:tr w:rsidR="00E54A32" w:rsidRPr="00DD20DE" w14:paraId="56AEAEBB" w14:textId="77777777" w:rsidTr="00D66A17">
        <w:trPr>
          <w:trHeight w:val="20"/>
        </w:trPr>
        <w:tc>
          <w:tcPr>
            <w:tcW w:w="799" w:type="pct"/>
            <w:shd w:val="clear" w:color="auto" w:fill="D9D9D9"/>
            <w:vAlign w:val="center"/>
          </w:tcPr>
          <w:p w14:paraId="574662F0" w14:textId="23E5E3D7" w:rsidR="00E54A32" w:rsidRPr="00DD20DE" w:rsidRDefault="00E54A32" w:rsidP="00E54A32">
            <w:pPr>
              <w:jc w:val="center"/>
              <w:rPr>
                <w:rFonts w:eastAsia="Calibri" w:cstheme="minorHAnsi"/>
                <w:b/>
                <w:i/>
                <w:iCs/>
                <w:spacing w:val="-2"/>
                <w:sz w:val="18"/>
                <w:szCs w:val="18"/>
                <w:lang w:val="es-ES"/>
              </w:rPr>
            </w:pPr>
            <w:r>
              <w:rPr>
                <w:rFonts w:eastAsia="Calibri" w:cstheme="minorHAnsi"/>
                <w:b/>
                <w:i/>
                <w:iCs/>
                <w:spacing w:val="-2"/>
                <w:sz w:val="18"/>
                <w:szCs w:val="18"/>
                <w:lang w:val="es-ES"/>
              </w:rPr>
              <w:t>Estimación para la vigencia 2023</w:t>
            </w:r>
          </w:p>
        </w:tc>
        <w:tc>
          <w:tcPr>
            <w:tcW w:w="4201" w:type="pct"/>
            <w:gridSpan w:val="8"/>
          </w:tcPr>
          <w:sdt>
            <w:sdtPr>
              <w:rPr>
                <w:rFonts w:eastAsia="Calibri" w:cstheme="minorHAnsi"/>
                <w:sz w:val="18"/>
                <w:szCs w:val="18"/>
                <w:lang w:val="es-ES"/>
              </w:rPr>
              <w:alias w:val="Fórmula de cálculo"/>
              <w:tag w:val="Fórmula de cálculo"/>
              <w:id w:val="38949395"/>
              <w:placeholder>
                <w:docPart w:val="7FA9F360A0A04DB19FEB90D5F42ED565"/>
              </w:placeholder>
            </w:sdtPr>
            <w:sdtEndPr>
              <w:rPr>
                <w:color w:val="FF0000"/>
              </w:rPr>
            </w:sdtEndPr>
            <w:sdtContent>
              <w:p w14:paraId="0C739D7E" w14:textId="77777777" w:rsidR="00E54A32" w:rsidRDefault="00CD5F5F" w:rsidP="00E54A32">
                <w:pPr>
                  <w:ind w:right="99"/>
                  <w:jc w:val="both"/>
                  <w:rPr>
                    <w:rFonts w:eastAsia="Calibri" w:cstheme="minorHAnsi"/>
                    <w:sz w:val="18"/>
                    <w:szCs w:val="18"/>
                    <w:lang w:val="es-ES"/>
                  </w:rPr>
                </w:pPr>
                <w:r w:rsidRPr="00CD5F5F">
                  <w:rPr>
                    <w:rFonts w:eastAsia="Calibri" w:cstheme="minorHAnsi"/>
                    <w:sz w:val="18"/>
                    <w:szCs w:val="18"/>
                    <w:lang w:val="es-ES"/>
                  </w:rPr>
                  <w:t xml:space="preserve">A continuación, se presenta el cálculo de la variación del stock de hidrocarburos para la vigencia 2023. Se estiman de manera individual las variaciones del stock de petróleo crudo y gas natural, y posteriormente se consolida el resultado agregado del indicador, el cual </w:t>
                </w:r>
                <w:r w:rsidRPr="00CD5F5F">
                  <w:rPr>
                    <w:rFonts w:eastAsia="Calibri" w:cstheme="minorHAnsi"/>
                    <w:sz w:val="18"/>
                    <w:szCs w:val="18"/>
                    <w:lang w:val="es-ES"/>
                  </w:rPr>
                  <w:lastRenderedPageBreak/>
                  <w:t>refleja el comportamiento combinado de ambos recursos energéticos.</w:t>
                </w:r>
              </w:p>
              <w:p w14:paraId="339013F4" w14:textId="5D810DD3" w:rsidR="00CD5F5F" w:rsidRPr="00CD5F5F" w:rsidRDefault="00CD5F5F" w:rsidP="00E54A32">
                <w:pPr>
                  <w:ind w:right="99"/>
                  <w:jc w:val="both"/>
                  <w:rPr>
                    <w:rFonts w:eastAsia="Calibri" w:cstheme="minorHAnsi"/>
                    <w:sz w:val="18"/>
                    <w:szCs w:val="18"/>
                    <w:lang w:eastAsia="es-CO"/>
                  </w:rPr>
                </w:pPr>
                <m:oMathPara>
                  <m:oMath>
                    <m:r>
                      <w:rPr>
                        <w:rFonts w:ascii="Cambria Math" w:eastAsia="Arial Narrow" w:hAnsi="Cambria Math"/>
                        <w:sz w:val="18"/>
                        <w:szCs w:val="18"/>
                        <w:lang w:eastAsia="es-CO"/>
                      </w:rPr>
                      <m:t xml:space="preserve">Variación del stock de petróleo= </m:t>
                    </m:r>
                    <m:d>
                      <m:dPr>
                        <m:ctrlPr>
                          <w:rPr>
                            <w:rFonts w:ascii="Cambria Math" w:eastAsia="Arial Narrow" w:hAnsi="Cambria Math"/>
                            <w:i/>
                            <w:sz w:val="18"/>
                            <w:szCs w:val="18"/>
                            <w:lang w:eastAsia="es-CO"/>
                          </w:rPr>
                        </m:ctrlPr>
                      </m:dPr>
                      <m:e>
                        <m:r>
                          <w:rPr>
                            <w:rFonts w:ascii="Cambria Math" w:eastAsia="Arial Narrow" w:hAnsi="Cambria Math"/>
                            <w:sz w:val="18"/>
                            <w:szCs w:val="18"/>
                            <w:lang w:eastAsia="es-CO"/>
                          </w:rPr>
                          <m:t xml:space="preserve">  </m:t>
                        </m:r>
                        <m:f>
                          <m:fPr>
                            <m:ctrlPr>
                              <w:rPr>
                                <w:rFonts w:ascii="Cambria Math" w:eastAsia="Arial Narrow" w:hAnsi="Cambria Math"/>
                                <w:i/>
                                <w:sz w:val="18"/>
                                <w:szCs w:val="18"/>
                                <w:lang w:eastAsia="es-CO"/>
                              </w:rPr>
                            </m:ctrlPr>
                          </m:fPr>
                          <m:num>
                            <m:r>
                              <w:rPr>
                                <w:rFonts w:ascii="Cambria Math" w:eastAsia="Arial Narrow" w:hAnsi="Cambria Math"/>
                                <w:sz w:val="18"/>
                                <w:szCs w:val="18"/>
                                <w:lang w:eastAsia="es-CO"/>
                              </w:rPr>
                              <m:t>12.355.068,6 TJ-16.685.516,2 TJ</m:t>
                            </m:r>
                          </m:num>
                          <m:den>
                            <m:r>
                              <w:rPr>
                                <w:rFonts w:ascii="Cambria Math" w:eastAsia="Arial Narrow" w:hAnsi="Cambria Math"/>
                                <w:sz w:val="18"/>
                                <w:szCs w:val="18"/>
                                <w:lang w:eastAsia="es-CO"/>
                              </w:rPr>
                              <m:t>16.685.516,2 TJ</m:t>
                            </m:r>
                          </m:den>
                        </m:f>
                      </m:e>
                    </m:d>
                    <m:r>
                      <w:rPr>
                        <w:rFonts w:ascii="Cambria Math" w:eastAsia="Arial Narrow" w:hAnsi="Cambria Math"/>
                        <w:sz w:val="18"/>
                        <w:szCs w:val="18"/>
                        <w:lang w:eastAsia="es-CO"/>
                      </w:rPr>
                      <m:t xml:space="preserve"> x 100= -2.6%</m:t>
                    </m:r>
                  </m:oMath>
                </m:oMathPara>
              </w:p>
              <w:p w14:paraId="25BC8E0B" w14:textId="77777777" w:rsidR="00CD5F5F" w:rsidRDefault="00CD5F5F" w:rsidP="00E54A32">
                <w:pPr>
                  <w:ind w:right="99"/>
                  <w:jc w:val="both"/>
                  <w:rPr>
                    <w:rFonts w:eastAsia="Calibri" w:cstheme="minorHAnsi"/>
                    <w:sz w:val="18"/>
                    <w:szCs w:val="18"/>
                  </w:rPr>
                </w:pPr>
              </w:p>
              <w:p w14:paraId="6B38060B" w14:textId="4CF8AA3D" w:rsidR="00CD5F5F" w:rsidRPr="00597B99" w:rsidRDefault="00CD5F5F" w:rsidP="00CD5F5F">
                <w:pPr>
                  <w:ind w:right="99"/>
                  <w:jc w:val="both"/>
                  <w:rPr>
                    <w:rFonts w:eastAsia="Calibri" w:cstheme="minorHAnsi"/>
                    <w:sz w:val="18"/>
                    <w:szCs w:val="18"/>
                    <w:lang w:eastAsia="es-CO"/>
                  </w:rPr>
                </w:pPr>
                <m:oMathPara>
                  <m:oMath>
                    <m:r>
                      <w:rPr>
                        <w:rFonts w:ascii="Cambria Math" w:eastAsia="Arial Narrow" w:hAnsi="Cambria Math"/>
                        <w:sz w:val="18"/>
                        <w:szCs w:val="18"/>
                        <w:lang w:eastAsia="es-CO"/>
                      </w:rPr>
                      <m:t xml:space="preserve">Variación del stock de gas = </m:t>
                    </m:r>
                    <m:d>
                      <m:dPr>
                        <m:ctrlPr>
                          <w:rPr>
                            <w:rFonts w:ascii="Cambria Math" w:eastAsia="Arial Narrow" w:hAnsi="Cambria Math"/>
                            <w:i/>
                            <w:sz w:val="18"/>
                            <w:szCs w:val="18"/>
                            <w:lang w:eastAsia="es-CO"/>
                          </w:rPr>
                        </m:ctrlPr>
                      </m:dPr>
                      <m:e>
                        <m:r>
                          <w:rPr>
                            <w:rFonts w:ascii="Cambria Math" w:eastAsia="Arial Narrow" w:hAnsi="Cambria Math"/>
                            <w:sz w:val="18"/>
                            <w:szCs w:val="18"/>
                            <w:lang w:eastAsia="es-CO"/>
                          </w:rPr>
                          <m:t xml:space="preserve">  </m:t>
                        </m:r>
                        <m:f>
                          <m:fPr>
                            <m:ctrlPr>
                              <w:rPr>
                                <w:rFonts w:ascii="Cambria Math" w:eastAsia="Arial Narrow" w:hAnsi="Cambria Math"/>
                                <w:i/>
                                <w:sz w:val="18"/>
                                <w:szCs w:val="18"/>
                                <w:lang w:eastAsia="es-CO"/>
                              </w:rPr>
                            </m:ctrlPr>
                          </m:fPr>
                          <m:num>
                            <m:r>
                              <w:rPr>
                                <w:rFonts w:ascii="Cambria Math" w:eastAsia="Arial Narrow" w:hAnsi="Cambria Math"/>
                                <w:sz w:val="18"/>
                                <w:szCs w:val="18"/>
                                <w:lang w:eastAsia="es-CO"/>
                              </w:rPr>
                              <m:t>2.503,51 TJ-2.971,93 TJ</m:t>
                            </m:r>
                          </m:num>
                          <m:den>
                            <m:r>
                              <w:rPr>
                                <w:rFonts w:ascii="Cambria Math" w:eastAsia="Arial Narrow" w:hAnsi="Cambria Math"/>
                                <w:sz w:val="18"/>
                                <w:szCs w:val="18"/>
                                <w:lang w:eastAsia="es-CO"/>
                              </w:rPr>
                              <m:t>2.971,93 TJ</m:t>
                            </m:r>
                          </m:den>
                        </m:f>
                      </m:e>
                    </m:d>
                    <m:r>
                      <w:rPr>
                        <w:rFonts w:ascii="Cambria Math" w:eastAsia="Arial Narrow" w:hAnsi="Cambria Math"/>
                        <w:sz w:val="18"/>
                        <w:szCs w:val="18"/>
                        <w:lang w:eastAsia="es-CO"/>
                      </w:rPr>
                      <m:t xml:space="preserve"> x 100= -15,8%</m:t>
                    </m:r>
                  </m:oMath>
                </m:oMathPara>
              </w:p>
              <w:p w14:paraId="30A1ECBB" w14:textId="77777777" w:rsidR="00597B99" w:rsidRPr="00597B99" w:rsidRDefault="00597B99" w:rsidP="00CD5F5F">
                <w:pPr>
                  <w:ind w:right="99"/>
                  <w:jc w:val="both"/>
                  <w:rPr>
                    <w:rFonts w:eastAsia="Calibri" w:cstheme="minorHAnsi"/>
                    <w:sz w:val="18"/>
                    <w:szCs w:val="18"/>
                    <w:lang w:eastAsia="es-CO"/>
                  </w:rPr>
                </w:pPr>
              </w:p>
              <w:p w14:paraId="099F3444" w14:textId="69C500DC" w:rsidR="00597B99" w:rsidRPr="00597B99" w:rsidRDefault="00597B99" w:rsidP="00597B99">
                <w:pPr>
                  <w:ind w:right="99"/>
                  <w:jc w:val="both"/>
                  <w:rPr>
                    <w:rFonts w:eastAsia="Calibri" w:cstheme="minorHAnsi"/>
                    <w:sz w:val="18"/>
                    <w:szCs w:val="18"/>
                    <w:lang w:eastAsia="es-CO"/>
                  </w:rPr>
                </w:pPr>
                <m:oMathPara>
                  <m:oMath>
                    <m:r>
                      <w:rPr>
                        <w:rFonts w:ascii="Cambria Math" w:eastAsia="Arial Narrow" w:hAnsi="Cambria Math"/>
                        <w:sz w:val="18"/>
                        <w:szCs w:val="18"/>
                        <w:lang w:eastAsia="es-CO"/>
                      </w:rPr>
                      <m:t xml:space="preserve">Variación del stock de hidrocarburos = </m:t>
                    </m:r>
                    <m:d>
                      <m:dPr>
                        <m:ctrlPr>
                          <w:rPr>
                            <w:rFonts w:ascii="Cambria Math" w:eastAsia="Arial Narrow" w:hAnsi="Cambria Math"/>
                            <w:i/>
                            <w:sz w:val="18"/>
                            <w:szCs w:val="18"/>
                            <w:lang w:eastAsia="es-CO"/>
                          </w:rPr>
                        </m:ctrlPr>
                      </m:dPr>
                      <m:e>
                        <m:r>
                          <w:rPr>
                            <w:rFonts w:ascii="Cambria Math" w:eastAsia="Arial Narrow" w:hAnsi="Cambria Math"/>
                            <w:sz w:val="18"/>
                            <w:szCs w:val="18"/>
                            <w:lang w:eastAsia="es-CO"/>
                          </w:rPr>
                          <m:t xml:space="preserve">  </m:t>
                        </m:r>
                        <m:f>
                          <m:fPr>
                            <m:ctrlPr>
                              <w:rPr>
                                <w:rFonts w:ascii="Cambria Math" w:eastAsia="Arial Narrow" w:hAnsi="Cambria Math"/>
                                <w:i/>
                                <w:sz w:val="18"/>
                                <w:szCs w:val="18"/>
                                <w:lang w:eastAsia="es-CO"/>
                              </w:rPr>
                            </m:ctrlPr>
                          </m:fPr>
                          <m:num>
                            <m:r>
                              <w:rPr>
                                <w:rFonts w:ascii="Cambria Math" w:eastAsia="Arial Narrow" w:hAnsi="Cambria Math"/>
                                <w:sz w:val="18"/>
                                <w:szCs w:val="18"/>
                                <w:lang w:eastAsia="es-CO"/>
                              </w:rPr>
                              <m:t>12.357.572,11 TJ-12.688.488,53 TJ</m:t>
                            </m:r>
                          </m:num>
                          <m:den>
                            <m:r>
                              <w:rPr>
                                <w:rFonts w:ascii="Cambria Math" w:eastAsia="Arial Narrow" w:hAnsi="Cambria Math"/>
                                <w:sz w:val="18"/>
                                <w:szCs w:val="18"/>
                                <w:lang w:eastAsia="es-CO"/>
                              </w:rPr>
                              <m:t>12.688.488,53 TJ</m:t>
                            </m:r>
                          </m:den>
                        </m:f>
                      </m:e>
                    </m:d>
                    <m:r>
                      <w:rPr>
                        <w:rFonts w:ascii="Cambria Math" w:eastAsia="Arial Narrow" w:hAnsi="Cambria Math"/>
                        <w:sz w:val="18"/>
                        <w:szCs w:val="18"/>
                        <w:lang w:eastAsia="es-CO"/>
                      </w:rPr>
                      <m:t xml:space="preserve"> x 100</m:t>
                    </m:r>
                  </m:oMath>
                </m:oMathPara>
              </w:p>
              <w:p w14:paraId="0E149EC1" w14:textId="77777777" w:rsidR="00597B99" w:rsidRDefault="00597B99" w:rsidP="00597B99">
                <w:pPr>
                  <w:ind w:right="99"/>
                  <w:jc w:val="both"/>
                  <w:rPr>
                    <w:rFonts w:eastAsia="Calibri" w:cstheme="minorHAnsi"/>
                    <w:sz w:val="18"/>
                    <w:szCs w:val="18"/>
                  </w:rPr>
                </w:pPr>
              </w:p>
              <w:p w14:paraId="1282FF34" w14:textId="4121CE54" w:rsidR="00597B99" w:rsidRDefault="00597B99" w:rsidP="00597B99">
                <w:pPr>
                  <w:ind w:right="99"/>
                  <w:jc w:val="both"/>
                  <w:rPr>
                    <w:rFonts w:eastAsia="Calibri" w:cstheme="minorHAnsi"/>
                    <w:sz w:val="18"/>
                    <w:szCs w:val="18"/>
                    <w:lang w:val="es-ES"/>
                  </w:rPr>
                </w:pPr>
                <m:oMathPara>
                  <m:oMath>
                    <m:r>
                      <w:rPr>
                        <w:rFonts w:ascii="Cambria Math" w:eastAsia="Arial Narrow" w:hAnsi="Cambria Math"/>
                        <w:sz w:val="18"/>
                        <w:szCs w:val="18"/>
                        <w:lang w:eastAsia="es-CO"/>
                      </w:rPr>
                      <m:t>Variación del stock de hidrocarburos= -2,61%</m:t>
                    </m:r>
                  </m:oMath>
                </m:oMathPara>
              </w:p>
              <w:p w14:paraId="424E736B" w14:textId="048E1D47" w:rsidR="00CD5F5F" w:rsidRDefault="00000000" w:rsidP="00E54A32">
                <w:pPr>
                  <w:ind w:right="99"/>
                  <w:jc w:val="both"/>
                  <w:rPr>
                    <w:rFonts w:eastAsia="Calibri" w:cstheme="minorHAnsi"/>
                    <w:sz w:val="18"/>
                    <w:szCs w:val="18"/>
                    <w:lang w:val="es-ES"/>
                  </w:rPr>
                </w:pPr>
              </w:p>
            </w:sdtContent>
          </w:sdt>
        </w:tc>
      </w:tr>
      <w:tr w:rsidR="005133CE" w:rsidRPr="00DD20DE" w14:paraId="0A5DC556" w14:textId="77777777" w:rsidTr="00D66A17">
        <w:trPr>
          <w:trHeight w:val="20"/>
        </w:trPr>
        <w:tc>
          <w:tcPr>
            <w:tcW w:w="799" w:type="pct"/>
            <w:shd w:val="clear" w:color="auto" w:fill="D9D9D9"/>
            <w:vAlign w:val="center"/>
          </w:tcPr>
          <w:p w14:paraId="35BAE11E" w14:textId="19F88B25" w:rsidR="005133CE" w:rsidRDefault="00FD17E5"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lastRenderedPageBreak/>
              <w:t>Interpretación</w:t>
            </w:r>
            <w:r>
              <w:rPr>
                <w:rFonts w:eastAsia="Calibri" w:cstheme="minorHAnsi"/>
                <w:b/>
                <w:i/>
                <w:iCs/>
                <w:spacing w:val="-2"/>
                <w:sz w:val="18"/>
                <w:szCs w:val="18"/>
                <w:lang w:val="es-ES"/>
              </w:rPr>
              <w:t xml:space="preserve"> del </w:t>
            </w:r>
            <w:r w:rsidR="005133CE">
              <w:rPr>
                <w:rFonts w:eastAsia="Calibri" w:cstheme="minorHAnsi"/>
                <w:b/>
                <w:i/>
                <w:iCs/>
                <w:spacing w:val="-2"/>
                <w:sz w:val="18"/>
                <w:szCs w:val="18"/>
                <w:lang w:val="es-ES"/>
              </w:rPr>
              <w:t>resultado</w:t>
            </w:r>
            <w:r>
              <w:rPr>
                <w:rFonts w:eastAsia="Calibri" w:cstheme="minorHAnsi"/>
                <w:b/>
                <w:i/>
                <w:iCs/>
                <w:spacing w:val="-2"/>
                <w:sz w:val="18"/>
                <w:szCs w:val="18"/>
                <w:lang w:val="es-ES"/>
              </w:rPr>
              <w:t xml:space="preserve"> para la vigencia 2023</w:t>
            </w:r>
          </w:p>
        </w:tc>
        <w:tc>
          <w:tcPr>
            <w:tcW w:w="4201" w:type="pct"/>
            <w:gridSpan w:val="8"/>
          </w:tcPr>
          <w:sdt>
            <w:sdtPr>
              <w:rPr>
                <w:rFonts w:eastAsia="Calibri" w:cstheme="minorHAnsi"/>
                <w:sz w:val="18"/>
                <w:szCs w:val="18"/>
                <w:lang w:val="es-ES"/>
              </w:rPr>
              <w:alias w:val="Fórmula de cálculo"/>
              <w:tag w:val="Fórmula de cálculo"/>
              <w:id w:val="-1797829614"/>
              <w:placeholder>
                <w:docPart w:val="4FC76554E21741948BD93265B3DF774A"/>
              </w:placeholder>
            </w:sdtPr>
            <w:sdtEndPr>
              <w:rPr>
                <w:color w:val="FF0000"/>
              </w:rPr>
            </w:sdtEndPr>
            <w:sdtContent>
              <w:p w14:paraId="1E6DF9B0" w14:textId="77777777" w:rsidR="005117BB" w:rsidRPr="005117BB" w:rsidRDefault="005117BB" w:rsidP="005117BB">
                <w:pPr>
                  <w:ind w:right="99"/>
                  <w:jc w:val="both"/>
                  <w:rPr>
                    <w:rFonts w:eastAsia="Calibri" w:cstheme="minorHAnsi"/>
                    <w:sz w:val="18"/>
                    <w:szCs w:val="18"/>
                    <w:lang w:val="es-ES"/>
                  </w:rPr>
                </w:pPr>
                <w:r w:rsidRPr="005117BB">
                  <w:rPr>
                    <w:rFonts w:eastAsia="Calibri" w:cstheme="minorHAnsi"/>
                    <w:sz w:val="18"/>
                    <w:szCs w:val="18"/>
                    <w:lang w:val="es-ES"/>
                  </w:rPr>
                  <w:t xml:space="preserve">Para el año 2023, la variación del stock total de hidrocarburos fue de </w:t>
                </w:r>
                <w:r w:rsidRPr="005117BB">
                  <w:rPr>
                    <w:rFonts w:eastAsia="Calibri" w:cstheme="minorHAnsi"/>
                    <w:b/>
                    <w:bCs/>
                    <w:sz w:val="18"/>
                    <w:szCs w:val="18"/>
                    <w:lang w:val="es-ES"/>
                  </w:rPr>
                  <w:t>–2,61%,</w:t>
                </w:r>
                <w:r w:rsidRPr="005117BB">
                  <w:rPr>
                    <w:rFonts w:eastAsia="Calibri" w:cstheme="minorHAnsi"/>
                    <w:sz w:val="18"/>
                    <w:szCs w:val="18"/>
                    <w:lang w:val="es-ES"/>
                  </w:rPr>
                  <w:t xml:space="preserve"> con 7 puntos asignados en el índice de gobernanza. De acuerdo con la tabla de interpretación, este resultado evidencia una disminución del stock energético. Indica que el país consumió más recursos de los que logró reponer, lo cual podría generar riesgos de abastecimiento energético en el mediano y largo plazo. A su vez, esto podría incrementar la dependencia de importaciones y afectar la estabilidad del sistema energético.</w:t>
                </w:r>
              </w:p>
              <w:p w14:paraId="7C1087F6" w14:textId="77777777" w:rsidR="005117BB" w:rsidRPr="005117BB" w:rsidRDefault="005117BB" w:rsidP="005117BB">
                <w:pPr>
                  <w:ind w:right="99"/>
                  <w:jc w:val="both"/>
                  <w:rPr>
                    <w:rFonts w:eastAsia="Calibri" w:cstheme="minorHAnsi"/>
                    <w:sz w:val="18"/>
                    <w:szCs w:val="18"/>
                    <w:lang w:val="es-ES"/>
                  </w:rPr>
                </w:pPr>
              </w:p>
              <w:p w14:paraId="213CDCF5" w14:textId="77777777" w:rsidR="005117BB" w:rsidRPr="005117BB" w:rsidRDefault="005117BB" w:rsidP="005117BB">
                <w:pPr>
                  <w:ind w:right="99"/>
                  <w:jc w:val="both"/>
                  <w:rPr>
                    <w:rFonts w:eastAsia="Calibri" w:cstheme="minorHAnsi"/>
                    <w:sz w:val="18"/>
                    <w:szCs w:val="18"/>
                    <w:lang w:val="es-ES"/>
                  </w:rPr>
                </w:pPr>
                <w:r w:rsidRPr="005117BB">
                  <w:rPr>
                    <w:rFonts w:eastAsia="Calibri" w:cstheme="minorHAnsi"/>
                    <w:sz w:val="18"/>
                    <w:szCs w:val="18"/>
                    <w:lang w:val="es-ES"/>
                  </w:rPr>
                  <w:t>Al desagregar el resultado, se observa que l</w:t>
                </w:r>
                <w:r w:rsidRPr="005117BB">
                  <w:rPr>
                    <w:rFonts w:eastAsia="Calibri" w:cstheme="minorHAnsi"/>
                    <w:b/>
                    <w:bCs/>
                    <w:sz w:val="18"/>
                    <w:szCs w:val="18"/>
                    <w:lang w:val="es-ES"/>
                  </w:rPr>
                  <w:t>a variación del stock de gas natural fue de –15,8%</w:t>
                </w:r>
                <w:r w:rsidRPr="005117BB">
                  <w:rPr>
                    <w:rFonts w:eastAsia="Calibri" w:cstheme="minorHAnsi"/>
                    <w:sz w:val="18"/>
                    <w:szCs w:val="18"/>
                    <w:lang w:val="es-ES"/>
                  </w:rPr>
                  <w:t>, lo cual representa una alerta significativa, dado que este recurso constituye aproximadamente el 15% del consumo final de energía en la matriz nacional. La caída en las reservas de gas podría comprometer directamente la seguridad energética del país y limitar el margen de maniobra para avanzar en una transición energética ordenada, sin riesgos de desabastecimiento.</w:t>
                </w:r>
              </w:p>
              <w:p w14:paraId="36F56EC2" w14:textId="77777777" w:rsidR="005117BB" w:rsidRPr="005117BB" w:rsidRDefault="005117BB" w:rsidP="005117BB">
                <w:pPr>
                  <w:ind w:right="99"/>
                  <w:jc w:val="both"/>
                  <w:rPr>
                    <w:rFonts w:eastAsia="Calibri" w:cstheme="minorHAnsi"/>
                    <w:sz w:val="18"/>
                    <w:szCs w:val="18"/>
                    <w:lang w:val="es-ES"/>
                  </w:rPr>
                </w:pPr>
              </w:p>
              <w:p w14:paraId="00A6D475" w14:textId="77777777" w:rsidR="005117BB" w:rsidRPr="005117BB" w:rsidRDefault="005117BB" w:rsidP="005117BB">
                <w:pPr>
                  <w:ind w:right="99"/>
                  <w:jc w:val="both"/>
                  <w:rPr>
                    <w:rFonts w:eastAsia="Calibri" w:cstheme="minorHAnsi"/>
                    <w:sz w:val="18"/>
                    <w:szCs w:val="18"/>
                    <w:lang w:val="es-ES"/>
                  </w:rPr>
                </w:pPr>
                <w:r w:rsidRPr="005117BB">
                  <w:rPr>
                    <w:rFonts w:eastAsia="Calibri" w:cstheme="minorHAnsi"/>
                    <w:sz w:val="18"/>
                    <w:szCs w:val="18"/>
                    <w:lang w:val="es-ES"/>
                  </w:rPr>
                  <w:t xml:space="preserve">En contraste, </w:t>
                </w:r>
                <w:r w:rsidRPr="005117BB">
                  <w:rPr>
                    <w:rFonts w:eastAsia="Calibri" w:cstheme="minorHAnsi"/>
                    <w:b/>
                    <w:bCs/>
                    <w:sz w:val="18"/>
                    <w:szCs w:val="18"/>
                    <w:lang w:val="es-ES"/>
                  </w:rPr>
                  <w:t>la variación del stock de petróleo fue de –2,6%</w:t>
                </w:r>
                <w:r w:rsidRPr="005117BB">
                  <w:rPr>
                    <w:rFonts w:eastAsia="Calibri" w:cstheme="minorHAnsi"/>
                    <w:sz w:val="18"/>
                    <w:szCs w:val="18"/>
                    <w:lang w:val="es-ES"/>
                  </w:rPr>
                  <w:t>, una disminución más moderada que, si bien no es deseable, tiene menores implicaciones directas sobre la matriz energética, dada su participación más limitada frente al gas natural.</w:t>
                </w:r>
              </w:p>
              <w:p w14:paraId="1B314707" w14:textId="77777777" w:rsidR="005117BB" w:rsidRPr="005117BB" w:rsidRDefault="005117BB" w:rsidP="005117BB">
                <w:pPr>
                  <w:ind w:right="99"/>
                  <w:jc w:val="both"/>
                  <w:rPr>
                    <w:rFonts w:eastAsia="Calibri" w:cstheme="minorHAnsi"/>
                    <w:sz w:val="18"/>
                    <w:szCs w:val="18"/>
                    <w:lang w:val="es-ES"/>
                  </w:rPr>
                </w:pPr>
              </w:p>
              <w:p w14:paraId="5D5B15BC" w14:textId="4C7E85B3" w:rsidR="005133CE" w:rsidRDefault="005117BB" w:rsidP="005117BB">
                <w:pPr>
                  <w:ind w:right="99"/>
                  <w:jc w:val="both"/>
                  <w:rPr>
                    <w:rFonts w:eastAsia="Calibri" w:cstheme="minorHAnsi"/>
                    <w:sz w:val="18"/>
                    <w:szCs w:val="18"/>
                    <w:lang w:val="es-ES"/>
                  </w:rPr>
                </w:pPr>
                <w:r w:rsidRPr="005117BB">
                  <w:rPr>
                    <w:rFonts w:eastAsia="Calibri" w:cstheme="minorHAnsi"/>
                    <w:sz w:val="18"/>
                    <w:szCs w:val="18"/>
                    <w:lang w:val="es-ES"/>
                  </w:rPr>
                  <w:t>Estos resultados refuerzan la importancia de fortalecer las estrategias de exploración, reposición de reservas y diversificación energética, con el fin de evitar escenarios de escasez y garantizar la sostenibilidad del sistema energético colombiano.</w:t>
                </w:r>
              </w:p>
            </w:sdtContent>
          </w:sdt>
        </w:tc>
      </w:tr>
      <w:tr w:rsidR="005133CE" w:rsidRPr="00DD20DE" w14:paraId="5F8B1E2B" w14:textId="77777777" w:rsidTr="00D66A17">
        <w:trPr>
          <w:trHeight w:val="20"/>
        </w:trPr>
        <w:tc>
          <w:tcPr>
            <w:tcW w:w="799" w:type="pct"/>
            <w:shd w:val="clear" w:color="auto" w:fill="D9D9D9"/>
            <w:vAlign w:val="center"/>
          </w:tcPr>
          <w:p w14:paraId="2CAE6874" w14:textId="377B67A2"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Restricciones o limitaciones</w:t>
            </w:r>
          </w:p>
        </w:tc>
        <w:sdt>
          <w:sdtPr>
            <w:rPr>
              <w:rFonts w:eastAsia="Calibri" w:cstheme="minorHAnsi"/>
              <w:sz w:val="18"/>
              <w:szCs w:val="18"/>
              <w:lang w:val="es-ES"/>
            </w:rPr>
            <w:alias w:val="Restricciones o limitaciones"/>
            <w:tag w:val="Restricciones o limitaciones"/>
            <w:id w:val="-1053613454"/>
            <w:placeholder>
              <w:docPart w:val="72D76CDDEBEF4DE3A35864270D328A01"/>
            </w:placeholder>
          </w:sdtPr>
          <w:sdtEndPr>
            <w:rPr>
              <w:color w:val="FF0000"/>
            </w:rPr>
          </w:sdtEndPr>
          <w:sdtContent>
            <w:tc>
              <w:tcPr>
                <w:tcW w:w="4201" w:type="pct"/>
                <w:gridSpan w:val="8"/>
              </w:tcPr>
              <w:p w14:paraId="39E9F5E5" w14:textId="00F56FCB" w:rsidR="005133CE" w:rsidRPr="00DD20DE" w:rsidRDefault="008F0D18" w:rsidP="005133CE">
                <w:pPr>
                  <w:ind w:right="99"/>
                  <w:jc w:val="both"/>
                  <w:rPr>
                    <w:rFonts w:eastAsia="Calibri" w:cstheme="minorHAnsi"/>
                    <w:color w:val="FF0000"/>
                    <w:sz w:val="18"/>
                    <w:szCs w:val="18"/>
                    <w:lang w:val="es-ES"/>
                  </w:rPr>
                </w:pPr>
                <w:r w:rsidRPr="008F0D18">
                  <w:rPr>
                    <w:rFonts w:eastAsia="Calibri" w:cstheme="minorHAnsi"/>
                    <w:sz w:val="18"/>
                    <w:szCs w:val="18"/>
                    <w:lang w:val="es-ES"/>
                  </w:rPr>
                  <w:t>El indicador considera únicamente las reservas probadas (1P), es decir, aquellas que cuentan con un grado razonable de certeza (mayor al 90%) de ser comercialmente recuperables bajo condiciones económicas y operativas actuales. No incluye las reservas probables (2P) ni las posibles (3P), las cuales, si bien representan un volumen adicional de hidrocarburos en el subsuelo, no tienen garantía suficiente de extracción viable. Por tanto, el indicador podría subestimar la disponibilidad futura de recursos energéticos en el país, aunque este enfoque es metodológicamente adecuado, ya que se basa en criterios de certeza y recuperación comercialmente demostrada.</w:t>
                </w:r>
              </w:p>
            </w:tc>
          </w:sdtContent>
        </w:sdt>
      </w:tr>
      <w:tr w:rsidR="005133CE" w:rsidRPr="00DD20DE" w14:paraId="29133EB9" w14:textId="77777777" w:rsidTr="00D66A17">
        <w:trPr>
          <w:trHeight w:val="20"/>
        </w:trPr>
        <w:tc>
          <w:tcPr>
            <w:tcW w:w="799" w:type="pct"/>
            <w:vMerge w:val="restart"/>
            <w:shd w:val="clear" w:color="auto" w:fill="D9D9D9"/>
            <w:vAlign w:val="center"/>
          </w:tcPr>
          <w:p w14:paraId="77113880" w14:textId="77777777"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Facilidad de obtención</w:t>
            </w:r>
          </w:p>
        </w:tc>
        <w:tc>
          <w:tcPr>
            <w:tcW w:w="1401" w:type="pct"/>
            <w:gridSpan w:val="3"/>
            <w:vAlign w:val="center"/>
          </w:tcPr>
          <w:p w14:paraId="6AB18161" w14:textId="100E24AE" w:rsidR="005133CE" w:rsidRPr="00DD20DE" w:rsidRDefault="005133CE" w:rsidP="005133CE">
            <w:pPr>
              <w:ind w:right="93"/>
              <w:jc w:val="center"/>
              <w:rPr>
                <w:rFonts w:eastAsia="Calibri" w:cstheme="minorHAnsi"/>
                <w:color w:val="FF0000"/>
                <w:sz w:val="18"/>
                <w:szCs w:val="18"/>
                <w:lang w:val="es-ES"/>
              </w:rPr>
            </w:pPr>
            <w:r w:rsidRPr="00DD20DE">
              <w:rPr>
                <w:rFonts w:eastAsia="Calibri" w:cstheme="minorHAnsi"/>
                <w:spacing w:val="-2"/>
                <w:sz w:val="18"/>
                <w:szCs w:val="18"/>
                <w:lang w:val="es-ES"/>
              </w:rPr>
              <w:t xml:space="preserve">Fácil </w:t>
            </w:r>
            <w:sdt>
              <w:sdtPr>
                <w:rPr>
                  <w:rFonts w:eastAsia="Calibri" w:cstheme="minorHAnsi"/>
                  <w:spacing w:val="-2"/>
                  <w:sz w:val="18"/>
                  <w:szCs w:val="18"/>
                  <w:lang w:val="es-ES"/>
                </w:rPr>
                <w:id w:val="-766536319"/>
                <w14:checkbox>
                  <w14:checked w14:val="1"/>
                  <w14:checkedState w14:val="2612" w14:font="MS Gothic"/>
                  <w14:uncheckedState w14:val="2610" w14:font="MS Gothic"/>
                </w14:checkbox>
              </w:sdtPr>
              <w:sdtContent>
                <w:r w:rsidR="008F0D18">
                  <w:rPr>
                    <w:rFonts w:ascii="MS Gothic" w:eastAsia="MS Gothic" w:hAnsi="MS Gothic" w:cstheme="minorHAnsi" w:hint="eastAsia"/>
                    <w:spacing w:val="-2"/>
                    <w:sz w:val="18"/>
                    <w:szCs w:val="18"/>
                    <w:lang w:val="es-ES"/>
                  </w:rPr>
                  <w:t>☒</w:t>
                </w:r>
              </w:sdtContent>
            </w:sdt>
          </w:p>
        </w:tc>
        <w:tc>
          <w:tcPr>
            <w:tcW w:w="1401" w:type="pct"/>
            <w:gridSpan w:val="2"/>
            <w:vAlign w:val="center"/>
          </w:tcPr>
          <w:p w14:paraId="36BD623F" w14:textId="77777777" w:rsidR="005133CE" w:rsidRPr="00DD20DE" w:rsidRDefault="005133CE" w:rsidP="005133CE">
            <w:pPr>
              <w:ind w:right="93"/>
              <w:jc w:val="center"/>
              <w:rPr>
                <w:rFonts w:eastAsia="Calibri" w:cstheme="minorHAnsi"/>
                <w:sz w:val="18"/>
                <w:szCs w:val="18"/>
                <w:lang w:val="es-ES"/>
              </w:rPr>
            </w:pPr>
            <w:r w:rsidRPr="00DD20DE">
              <w:rPr>
                <w:rFonts w:eastAsia="Calibri" w:cstheme="minorHAnsi"/>
                <w:spacing w:val="-2"/>
                <w:sz w:val="18"/>
                <w:szCs w:val="18"/>
                <w:lang w:val="es-ES"/>
              </w:rPr>
              <w:t xml:space="preserve">Regular </w:t>
            </w:r>
            <w:sdt>
              <w:sdtPr>
                <w:rPr>
                  <w:rFonts w:eastAsia="Calibri" w:cstheme="minorHAnsi"/>
                  <w:spacing w:val="-2"/>
                  <w:sz w:val="18"/>
                  <w:szCs w:val="18"/>
                  <w:lang w:val="es-ES"/>
                </w:rPr>
                <w:id w:val="528990722"/>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399" w:type="pct"/>
            <w:gridSpan w:val="3"/>
            <w:vAlign w:val="center"/>
          </w:tcPr>
          <w:p w14:paraId="1A6ED5F8" w14:textId="77777777" w:rsidR="005133CE" w:rsidRPr="00DD20DE" w:rsidRDefault="005133CE" w:rsidP="005133CE">
            <w:pPr>
              <w:ind w:right="93"/>
              <w:jc w:val="center"/>
              <w:rPr>
                <w:rFonts w:eastAsia="Calibri" w:cstheme="minorHAnsi"/>
                <w:sz w:val="18"/>
                <w:szCs w:val="18"/>
                <w:lang w:val="es-ES"/>
              </w:rPr>
            </w:pPr>
            <w:r w:rsidRPr="00DD20DE">
              <w:rPr>
                <w:rFonts w:eastAsia="Calibri" w:cstheme="minorHAnsi"/>
                <w:sz w:val="18"/>
                <w:szCs w:val="18"/>
                <w:lang w:val="es-ES"/>
              </w:rPr>
              <w:t xml:space="preserve">Difícil </w:t>
            </w:r>
            <w:sdt>
              <w:sdtPr>
                <w:rPr>
                  <w:rFonts w:eastAsia="Calibri" w:cstheme="minorHAnsi"/>
                  <w:sz w:val="18"/>
                  <w:szCs w:val="18"/>
                  <w:lang w:val="es-ES"/>
                </w:rPr>
                <w:id w:val="179239478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5133CE" w:rsidRPr="00DD20DE" w14:paraId="1D5E24DC" w14:textId="77777777" w:rsidTr="00D66A17">
        <w:trPr>
          <w:trHeight w:val="20"/>
        </w:trPr>
        <w:tc>
          <w:tcPr>
            <w:tcW w:w="799" w:type="pct"/>
            <w:vMerge/>
            <w:shd w:val="clear" w:color="auto" w:fill="D9D9D9"/>
          </w:tcPr>
          <w:p w14:paraId="6259F873" w14:textId="77777777" w:rsidR="005133CE" w:rsidRPr="00DD20DE" w:rsidRDefault="005133CE" w:rsidP="005133CE">
            <w:pPr>
              <w:tabs>
                <w:tab w:val="left" w:pos="1936"/>
              </w:tabs>
              <w:ind w:left="55" w:right="99"/>
              <w:rPr>
                <w:rFonts w:eastAsia="Calibri" w:cstheme="minorHAnsi"/>
                <w:b/>
                <w:spacing w:val="-2"/>
                <w:sz w:val="18"/>
                <w:szCs w:val="18"/>
                <w:lang w:val="es-ES"/>
              </w:rPr>
            </w:pPr>
          </w:p>
        </w:tc>
        <w:tc>
          <w:tcPr>
            <w:tcW w:w="4201" w:type="pct"/>
            <w:gridSpan w:val="8"/>
          </w:tcPr>
          <w:p w14:paraId="309D4B4A" w14:textId="6E55CC80" w:rsidR="005133CE" w:rsidRPr="00DD20DE" w:rsidRDefault="005133CE" w:rsidP="008F0D18">
            <w:pPr>
              <w:ind w:right="91"/>
              <w:jc w:val="both"/>
              <w:rPr>
                <w:rFonts w:eastAsia="Calibri" w:cstheme="minorHAnsi"/>
                <w:sz w:val="18"/>
                <w:szCs w:val="18"/>
                <w:lang w:val="es-ES"/>
              </w:rPr>
            </w:pPr>
            <w:r w:rsidRPr="00DD20DE">
              <w:rPr>
                <w:rFonts w:eastAsia="Calibri" w:cstheme="minorHAnsi"/>
                <w:position w:val="-10"/>
                <w:sz w:val="18"/>
                <w:szCs w:val="18"/>
                <w:lang w:val="es-ES"/>
              </w:rPr>
              <w:t>¿Por</w:t>
            </w:r>
            <w:r w:rsidRPr="00DD20DE">
              <w:rPr>
                <w:rFonts w:eastAsia="Calibri" w:cstheme="minorHAnsi"/>
                <w:spacing w:val="-8"/>
                <w:position w:val="-10"/>
                <w:sz w:val="18"/>
                <w:szCs w:val="18"/>
                <w:lang w:val="es-ES"/>
              </w:rPr>
              <w:t xml:space="preserve"> </w:t>
            </w:r>
            <w:r w:rsidRPr="00DD20DE">
              <w:rPr>
                <w:rFonts w:eastAsia="Calibri" w:cstheme="minorHAnsi"/>
                <w:position w:val="-10"/>
                <w:sz w:val="18"/>
                <w:szCs w:val="18"/>
                <w:lang w:val="es-ES"/>
              </w:rPr>
              <w:t xml:space="preserve">qué?:  </w:t>
            </w:r>
            <w:sdt>
              <w:sdtPr>
                <w:rPr>
                  <w:rFonts w:eastAsia="Calibri" w:cstheme="minorHAnsi"/>
                  <w:sz w:val="18"/>
                  <w:szCs w:val="18"/>
                  <w:lang w:val="es-ES"/>
                </w:rPr>
                <w:alias w:val="Facilidad de obtención"/>
                <w:tag w:val="Facilidad de obtención"/>
                <w:id w:val="-1460876802"/>
                <w:placeholder>
                  <w:docPart w:val="051FAAC3693D496986A4CE0154280DDB"/>
                </w:placeholder>
              </w:sdtPr>
              <w:sdtEndPr>
                <w:rPr>
                  <w:color w:val="FF0000"/>
                </w:rPr>
              </w:sdtEndPr>
              <w:sdtContent>
                <w:r w:rsidR="008F0D18" w:rsidRPr="008F0D18">
                  <w:rPr>
                    <w:rFonts w:eastAsia="Calibri" w:cstheme="minorHAnsi"/>
                    <w:sz w:val="18"/>
                    <w:szCs w:val="18"/>
                    <w:lang w:val="es-ES"/>
                  </w:rPr>
                  <w:t>La información requerida para el cálculo del indicador está disponible públicamente a través de la página web del DANE, específicamente en los anexos de la Cuenta Ambiental y Económica de Activos de los Recursos Minerales y Energéticos (CAE-ARME). Los datos están organizados en series históricas, clasificados por tipo de recurso (gas natural y petróleo) y en unidades consistentes. Además, el procedimiento metodológico es sencillo, ya que se basa en una fórmula básica de variación porcentual, lo que permite replicar el cálculo sin necesidad de herramientas estadísticas avanzadas.</w:t>
                </w:r>
              </w:sdtContent>
            </w:sdt>
          </w:p>
        </w:tc>
      </w:tr>
      <w:tr w:rsidR="005133CE" w:rsidRPr="00DD20DE" w14:paraId="30289FFC" w14:textId="77777777" w:rsidTr="00D66A17">
        <w:trPr>
          <w:trHeight w:val="20"/>
        </w:trPr>
        <w:tc>
          <w:tcPr>
            <w:tcW w:w="5000" w:type="pct"/>
            <w:gridSpan w:val="9"/>
            <w:shd w:val="clear" w:color="auto" w:fill="A6A6A6" w:themeFill="background1" w:themeFillShade="A6"/>
            <w:vAlign w:val="center"/>
          </w:tcPr>
          <w:p w14:paraId="3FB8D0A2" w14:textId="77777777" w:rsidR="005133CE" w:rsidRPr="00DD20DE" w:rsidRDefault="005133CE" w:rsidP="005133CE">
            <w:pPr>
              <w:jc w:val="center"/>
              <w:rPr>
                <w:rFonts w:eastAsia="Calibri" w:cstheme="minorHAnsi"/>
                <w:b/>
                <w:bCs/>
                <w:sz w:val="18"/>
                <w:szCs w:val="18"/>
                <w:lang w:val="es-ES"/>
              </w:rPr>
            </w:pPr>
            <w:r w:rsidRPr="00DD20DE">
              <w:rPr>
                <w:rFonts w:eastAsia="Calibri" w:cstheme="minorHAnsi"/>
                <w:b/>
                <w:bCs/>
                <w:sz w:val="18"/>
                <w:szCs w:val="18"/>
                <w:lang w:val="es-ES"/>
              </w:rPr>
              <w:t>RESPONSABLE DEL INDICADOR</w:t>
            </w:r>
          </w:p>
        </w:tc>
      </w:tr>
      <w:tr w:rsidR="008F0D18" w:rsidRPr="00DD20DE" w14:paraId="1F6C19D8" w14:textId="77777777" w:rsidTr="00D66A17">
        <w:trPr>
          <w:trHeight w:val="20"/>
        </w:trPr>
        <w:tc>
          <w:tcPr>
            <w:tcW w:w="799" w:type="pct"/>
            <w:shd w:val="clear" w:color="auto" w:fill="D9D9D9"/>
            <w:vAlign w:val="center"/>
          </w:tcPr>
          <w:p w14:paraId="218E44D1" w14:textId="77777777" w:rsidR="008F0D18" w:rsidRPr="00DD20DE" w:rsidRDefault="008F0D18" w:rsidP="008F0D18">
            <w:pPr>
              <w:jc w:val="center"/>
              <w:rPr>
                <w:rFonts w:eastAsia="Calibri" w:cstheme="minorHAnsi"/>
                <w:b/>
                <w:i/>
                <w:sz w:val="18"/>
                <w:szCs w:val="18"/>
                <w:lang w:val="es-ES"/>
              </w:rPr>
            </w:pPr>
            <w:r w:rsidRPr="00DD20DE">
              <w:rPr>
                <w:rFonts w:eastAsia="Calibri" w:cstheme="minorHAnsi"/>
                <w:b/>
                <w:i/>
                <w:spacing w:val="-2"/>
                <w:sz w:val="18"/>
                <w:szCs w:val="18"/>
                <w:lang w:val="es-ES"/>
              </w:rPr>
              <w:t>Entidad</w:t>
            </w:r>
          </w:p>
        </w:tc>
        <w:sdt>
          <w:sdtPr>
            <w:rPr>
              <w:rFonts w:eastAsia="Calibri" w:cstheme="minorHAnsi"/>
              <w:sz w:val="18"/>
              <w:szCs w:val="18"/>
            </w:rPr>
            <w:alias w:val="Entidad"/>
            <w:tag w:val="Entidad"/>
            <w:id w:val="-2117973869"/>
            <w:placeholder>
              <w:docPart w:val="2AE8C7FE3A86492EABE9DD377E882B7C"/>
            </w:placeholder>
          </w:sdtPr>
          <w:sdtEndPr>
            <w:rPr>
              <w:color w:val="FF0000"/>
            </w:rPr>
          </w:sdtEndPr>
          <w:sdtContent>
            <w:sdt>
              <w:sdtPr>
                <w:rPr>
                  <w:rFonts w:eastAsia="Calibri" w:cstheme="minorHAnsi"/>
                  <w:sz w:val="18"/>
                  <w:szCs w:val="18"/>
                </w:rPr>
                <w:alias w:val="Entidad"/>
                <w:tag w:val="Entidad"/>
                <w:id w:val="-1584295679"/>
                <w:placeholder>
                  <w:docPart w:val="962905A215984AE7885149DEEE4F7D6F"/>
                </w:placeholder>
              </w:sdtPr>
              <w:sdtEndPr>
                <w:rPr>
                  <w:color w:val="FF0000"/>
                </w:rPr>
              </w:sdtEndPr>
              <w:sdtContent>
                <w:tc>
                  <w:tcPr>
                    <w:tcW w:w="4201" w:type="pct"/>
                    <w:gridSpan w:val="8"/>
                  </w:tcPr>
                  <w:p w14:paraId="69F2B73A" w14:textId="78601407" w:rsidR="008F0D18" w:rsidRPr="005117BB" w:rsidRDefault="008F0D18" w:rsidP="008F0D18">
                    <w:pPr>
                      <w:rPr>
                        <w:rFonts w:eastAsia="Calibri" w:cstheme="minorHAnsi"/>
                        <w:color w:val="FF0000"/>
                        <w:sz w:val="18"/>
                        <w:szCs w:val="18"/>
                        <w:lang w:val="es-ES"/>
                      </w:rPr>
                    </w:pPr>
                    <w:r w:rsidRPr="005117BB">
                      <w:rPr>
                        <w:rFonts w:eastAsia="Calibri" w:cstheme="minorHAnsi"/>
                        <w:sz w:val="18"/>
                        <w:szCs w:val="18"/>
                        <w:lang w:val="es-CO"/>
                      </w:rPr>
                      <w:t>Ministerio de Minas y Energía</w:t>
                    </w:r>
                  </w:p>
                </w:tc>
              </w:sdtContent>
            </w:sdt>
          </w:sdtContent>
        </w:sdt>
      </w:tr>
      <w:tr w:rsidR="008F0D18" w:rsidRPr="00DD20DE" w14:paraId="103DB717" w14:textId="77777777" w:rsidTr="00D66A17">
        <w:trPr>
          <w:trHeight w:val="20"/>
        </w:trPr>
        <w:tc>
          <w:tcPr>
            <w:tcW w:w="799" w:type="pct"/>
            <w:shd w:val="clear" w:color="auto" w:fill="D9D9D9"/>
            <w:vAlign w:val="center"/>
          </w:tcPr>
          <w:p w14:paraId="11282AEB" w14:textId="77777777" w:rsidR="008F0D18" w:rsidRPr="00DD20DE" w:rsidRDefault="008F0D18" w:rsidP="008F0D18">
            <w:pPr>
              <w:jc w:val="center"/>
              <w:rPr>
                <w:rFonts w:eastAsia="Calibri" w:cstheme="minorHAnsi"/>
                <w:b/>
                <w:i/>
                <w:sz w:val="18"/>
                <w:szCs w:val="18"/>
                <w:lang w:val="es-ES"/>
              </w:rPr>
            </w:pPr>
            <w:r w:rsidRPr="00DD20DE">
              <w:rPr>
                <w:rFonts w:eastAsia="Calibri" w:cstheme="minorHAnsi"/>
                <w:b/>
                <w:i/>
                <w:spacing w:val="-2"/>
                <w:sz w:val="18"/>
                <w:szCs w:val="18"/>
                <w:lang w:val="es-ES"/>
              </w:rPr>
              <w:t>Dependencia</w:t>
            </w:r>
          </w:p>
        </w:tc>
        <w:sdt>
          <w:sdtPr>
            <w:rPr>
              <w:rFonts w:eastAsia="Calibri" w:cstheme="minorHAnsi"/>
              <w:sz w:val="18"/>
              <w:szCs w:val="18"/>
            </w:rPr>
            <w:alias w:val="Dependencia"/>
            <w:tag w:val="Dependencia"/>
            <w:id w:val="-1792968737"/>
            <w:placeholder>
              <w:docPart w:val="4F5E199F59934E7288A55952BCE39FA8"/>
            </w:placeholder>
          </w:sdtPr>
          <w:sdtEndPr>
            <w:rPr>
              <w:color w:val="FF0000"/>
            </w:rPr>
          </w:sdtEndPr>
          <w:sdtContent>
            <w:sdt>
              <w:sdtPr>
                <w:rPr>
                  <w:rFonts w:eastAsia="Calibri" w:cstheme="minorHAnsi"/>
                  <w:sz w:val="18"/>
                  <w:szCs w:val="18"/>
                </w:rPr>
                <w:alias w:val="Dependencia"/>
                <w:tag w:val="Dependencia"/>
                <w:id w:val="-1680651163"/>
                <w:placeholder>
                  <w:docPart w:val="FDF671025F774C4A86627D02C24B6BF4"/>
                </w:placeholder>
              </w:sdtPr>
              <w:sdtEndPr>
                <w:rPr>
                  <w:color w:val="FF0000"/>
                </w:rPr>
              </w:sdtEndPr>
              <w:sdtContent>
                <w:tc>
                  <w:tcPr>
                    <w:tcW w:w="4201" w:type="pct"/>
                    <w:gridSpan w:val="8"/>
                  </w:tcPr>
                  <w:p w14:paraId="4D033CBB" w14:textId="15FCC31F" w:rsidR="008F0D18" w:rsidRPr="005117BB" w:rsidRDefault="008F0D18" w:rsidP="008F0D18">
                    <w:pPr>
                      <w:rPr>
                        <w:rFonts w:eastAsia="Calibri" w:cstheme="minorHAnsi"/>
                        <w:color w:val="FF0000"/>
                        <w:sz w:val="18"/>
                        <w:szCs w:val="18"/>
                        <w:lang w:val="es-ES"/>
                      </w:rPr>
                    </w:pPr>
                    <w:r w:rsidRPr="005117BB">
                      <w:rPr>
                        <w:rFonts w:eastAsia="Calibri" w:cstheme="minorHAnsi"/>
                        <w:sz w:val="18"/>
                        <w:szCs w:val="18"/>
                        <w:lang w:val="es-CO"/>
                      </w:rPr>
                      <w:t>Oficina de Asuntos Ambientales y Sociales</w:t>
                    </w:r>
                  </w:p>
                </w:tc>
              </w:sdtContent>
            </w:sdt>
          </w:sdtContent>
        </w:sdt>
      </w:tr>
      <w:tr w:rsidR="008F0D18" w:rsidRPr="00DD20DE" w14:paraId="23C99516" w14:textId="77777777" w:rsidTr="00D66A17">
        <w:trPr>
          <w:trHeight w:val="20"/>
        </w:trPr>
        <w:tc>
          <w:tcPr>
            <w:tcW w:w="799" w:type="pct"/>
            <w:shd w:val="clear" w:color="auto" w:fill="D9D9D9"/>
            <w:vAlign w:val="center"/>
          </w:tcPr>
          <w:p w14:paraId="2AA5A913" w14:textId="77777777" w:rsidR="008F0D18" w:rsidRPr="00DD20DE" w:rsidRDefault="008F0D18" w:rsidP="008F0D18">
            <w:pPr>
              <w:jc w:val="center"/>
              <w:rPr>
                <w:rFonts w:eastAsia="Calibri" w:cstheme="minorHAnsi"/>
                <w:b/>
                <w:i/>
                <w:sz w:val="18"/>
                <w:szCs w:val="18"/>
                <w:lang w:val="es-ES"/>
              </w:rPr>
            </w:pPr>
            <w:r w:rsidRPr="00DD20DE">
              <w:rPr>
                <w:rFonts w:eastAsia="Calibri" w:cstheme="minorHAnsi"/>
                <w:b/>
                <w:i/>
                <w:spacing w:val="-2"/>
                <w:sz w:val="18"/>
                <w:szCs w:val="18"/>
                <w:lang w:val="es-ES"/>
              </w:rPr>
              <w:t>Teléfono de la dependencia</w:t>
            </w:r>
          </w:p>
        </w:tc>
        <w:sdt>
          <w:sdtPr>
            <w:rPr>
              <w:rFonts w:eastAsia="Calibri" w:cstheme="minorHAnsi"/>
              <w:sz w:val="18"/>
              <w:szCs w:val="18"/>
            </w:rPr>
            <w:alias w:val="Teléfono de la dependencia"/>
            <w:tag w:val="Teléfono de la dependencia"/>
            <w:id w:val="603464766"/>
            <w:placeholder>
              <w:docPart w:val="96C936B36B0A4053910FE74BE004D328"/>
            </w:placeholder>
          </w:sdtPr>
          <w:sdtEndPr>
            <w:rPr>
              <w:color w:val="FF0000"/>
            </w:rPr>
          </w:sdtEndPr>
          <w:sdtContent>
            <w:tc>
              <w:tcPr>
                <w:tcW w:w="4201" w:type="pct"/>
                <w:gridSpan w:val="8"/>
              </w:tcPr>
              <w:p w14:paraId="30540ED4" w14:textId="37E84835" w:rsidR="008F0D18" w:rsidRPr="005117BB" w:rsidRDefault="008F0D18" w:rsidP="008F0D18">
                <w:pPr>
                  <w:rPr>
                    <w:rFonts w:eastAsia="Calibri" w:cstheme="minorHAnsi"/>
                    <w:color w:val="FF0000"/>
                    <w:sz w:val="18"/>
                    <w:szCs w:val="18"/>
                    <w:lang w:val="es-ES"/>
                  </w:rPr>
                </w:pPr>
                <w:r w:rsidRPr="005117BB">
                  <w:rPr>
                    <w:rFonts w:eastAsia="Calibri" w:cstheme="minorHAnsi"/>
                    <w:sz w:val="18"/>
                    <w:szCs w:val="18"/>
                    <w:lang w:val="es-CO"/>
                  </w:rPr>
                  <w:t>601 2200 300</w:t>
                </w:r>
              </w:p>
            </w:tc>
          </w:sdtContent>
        </w:sdt>
      </w:tr>
      <w:tr w:rsidR="008F0D18" w:rsidRPr="00DD20DE" w14:paraId="7C8505E7" w14:textId="77777777" w:rsidTr="00D66A17">
        <w:trPr>
          <w:trHeight w:val="20"/>
        </w:trPr>
        <w:tc>
          <w:tcPr>
            <w:tcW w:w="799" w:type="pct"/>
            <w:shd w:val="clear" w:color="auto" w:fill="D9D9D9"/>
            <w:vAlign w:val="center"/>
          </w:tcPr>
          <w:p w14:paraId="07693E12" w14:textId="0DCE259A" w:rsidR="008F0D18" w:rsidRPr="00DD20DE" w:rsidRDefault="008F0D18" w:rsidP="008F0D18">
            <w:pPr>
              <w:jc w:val="center"/>
              <w:rPr>
                <w:rFonts w:eastAsia="Calibri" w:cstheme="minorHAnsi"/>
                <w:b/>
                <w:i/>
                <w:spacing w:val="-2"/>
                <w:sz w:val="18"/>
                <w:szCs w:val="18"/>
                <w:lang w:val="es-ES"/>
              </w:rPr>
            </w:pPr>
            <w:r w:rsidRPr="00DD20DE">
              <w:rPr>
                <w:rFonts w:eastAsia="Calibri" w:cstheme="minorHAnsi"/>
                <w:b/>
                <w:i/>
                <w:spacing w:val="-2"/>
                <w:sz w:val="18"/>
                <w:szCs w:val="18"/>
                <w:lang w:val="es-ES"/>
              </w:rPr>
              <w:t>Dirección de la dependencia</w:t>
            </w:r>
          </w:p>
        </w:tc>
        <w:sdt>
          <w:sdtPr>
            <w:rPr>
              <w:rFonts w:eastAsia="Calibri" w:cstheme="minorHAnsi"/>
              <w:sz w:val="18"/>
              <w:szCs w:val="18"/>
            </w:rPr>
            <w:alias w:val="Dirección de la dependencia "/>
            <w:tag w:val="Dirección de la dependencia "/>
            <w:id w:val="559372583"/>
            <w:placeholder>
              <w:docPart w:val="75F9247DB4804B099880B1723AC60C59"/>
            </w:placeholder>
          </w:sdtPr>
          <w:sdtEndPr>
            <w:rPr>
              <w:color w:val="FF0000"/>
            </w:rPr>
          </w:sdtEndPr>
          <w:sdtContent>
            <w:sdt>
              <w:sdtPr>
                <w:rPr>
                  <w:rFonts w:eastAsia="Calibri" w:cstheme="minorHAnsi"/>
                  <w:sz w:val="18"/>
                  <w:szCs w:val="18"/>
                </w:rPr>
                <w:alias w:val="Dirección de la dependencia "/>
                <w:tag w:val="Dirección de la dependencia "/>
                <w:id w:val="-1061093331"/>
                <w:placeholder>
                  <w:docPart w:val="7FA7FF79FD9046AB86B177F6EE116512"/>
                </w:placeholder>
              </w:sdtPr>
              <w:sdtEndPr>
                <w:rPr>
                  <w:color w:val="FF0000"/>
                </w:rPr>
              </w:sdtEndPr>
              <w:sdtContent>
                <w:tc>
                  <w:tcPr>
                    <w:tcW w:w="4201" w:type="pct"/>
                    <w:gridSpan w:val="8"/>
                  </w:tcPr>
                  <w:p w14:paraId="6B7EDA2E" w14:textId="6D5894CD" w:rsidR="008F0D18" w:rsidRPr="005117BB" w:rsidRDefault="008F0D18" w:rsidP="008F0D18">
                    <w:pPr>
                      <w:rPr>
                        <w:rFonts w:eastAsia="Calibri" w:cstheme="minorHAnsi"/>
                        <w:color w:val="FF0000"/>
                        <w:sz w:val="18"/>
                        <w:szCs w:val="18"/>
                        <w:lang w:val="es-ES"/>
                      </w:rPr>
                    </w:pPr>
                    <w:r w:rsidRPr="005117BB">
                      <w:rPr>
                        <w:rFonts w:eastAsia="Calibri" w:cstheme="minorHAnsi"/>
                        <w:sz w:val="18"/>
                        <w:szCs w:val="18"/>
                        <w:lang w:val="es-CO"/>
                      </w:rPr>
                      <w:t>Calle 43 No. 57 - 31 – Centro Administrativo Nacional Bogotá D.C - Colombia.</w:t>
                    </w:r>
                  </w:p>
                </w:tc>
              </w:sdtContent>
            </w:sdt>
          </w:sdtContent>
        </w:sdt>
      </w:tr>
      <w:tr w:rsidR="008F0D18" w:rsidRPr="00DD20DE" w14:paraId="3E64677F" w14:textId="77777777" w:rsidTr="00D66A17">
        <w:trPr>
          <w:trHeight w:val="20"/>
        </w:trPr>
        <w:tc>
          <w:tcPr>
            <w:tcW w:w="5000" w:type="pct"/>
            <w:gridSpan w:val="9"/>
            <w:shd w:val="clear" w:color="auto" w:fill="A6A6A6" w:themeFill="background1" w:themeFillShade="A6"/>
          </w:tcPr>
          <w:p w14:paraId="16405E0A" w14:textId="77777777" w:rsidR="008F0D18" w:rsidRPr="00DD20DE" w:rsidRDefault="008F0D18" w:rsidP="008F0D18">
            <w:pPr>
              <w:jc w:val="center"/>
              <w:rPr>
                <w:rFonts w:eastAsia="Calibri" w:cstheme="minorHAnsi"/>
                <w:b/>
                <w:sz w:val="18"/>
                <w:szCs w:val="18"/>
                <w:lang w:val="es-ES"/>
              </w:rPr>
            </w:pPr>
            <w:r w:rsidRPr="00DD20DE">
              <w:rPr>
                <w:rFonts w:eastAsia="Calibri" w:cstheme="minorHAnsi"/>
                <w:b/>
                <w:bCs/>
                <w:sz w:val="18"/>
                <w:szCs w:val="18"/>
                <w:lang w:val="es-ES"/>
              </w:rPr>
              <w:t>UBICACIÓN PRINCIPAL PARA LA CONSULTA DEL INDICADOR</w:t>
            </w:r>
          </w:p>
        </w:tc>
      </w:tr>
      <w:tr w:rsidR="008F0D18" w:rsidRPr="00DD20DE" w14:paraId="2F110014" w14:textId="77777777" w:rsidTr="00D66A17">
        <w:trPr>
          <w:trHeight w:val="20"/>
        </w:trPr>
        <w:tc>
          <w:tcPr>
            <w:tcW w:w="799" w:type="pct"/>
            <w:shd w:val="clear" w:color="auto" w:fill="D9D9D9"/>
            <w:vAlign w:val="center"/>
          </w:tcPr>
          <w:p w14:paraId="2CE34004" w14:textId="77777777" w:rsidR="008F0D18" w:rsidRPr="00DD20DE" w:rsidRDefault="008F0D18" w:rsidP="008F0D18">
            <w:pPr>
              <w:jc w:val="center"/>
              <w:rPr>
                <w:rFonts w:eastAsia="Calibri" w:cstheme="minorHAnsi"/>
                <w:b/>
                <w:i/>
                <w:sz w:val="18"/>
                <w:szCs w:val="18"/>
                <w:lang w:val="es-ES"/>
              </w:rPr>
            </w:pPr>
            <w:r w:rsidRPr="00DD20DE">
              <w:rPr>
                <w:rFonts w:eastAsia="Calibri" w:cstheme="minorHAnsi"/>
                <w:b/>
                <w:i/>
                <w:spacing w:val="-2"/>
                <w:sz w:val="18"/>
                <w:szCs w:val="18"/>
                <w:lang w:val="es-ES"/>
              </w:rPr>
              <w:lastRenderedPageBreak/>
              <w:t>Nombre</w:t>
            </w:r>
          </w:p>
        </w:tc>
        <w:sdt>
          <w:sdtPr>
            <w:rPr>
              <w:rFonts w:eastAsia="Calibri" w:cstheme="minorHAnsi"/>
              <w:sz w:val="18"/>
              <w:szCs w:val="18"/>
            </w:rPr>
            <w:alias w:val="Nombre"/>
            <w:tag w:val="Nombre"/>
            <w:id w:val="1555662621"/>
            <w:placeholder>
              <w:docPart w:val="93759232273E47B7889D3719812AD7E6"/>
            </w:placeholder>
          </w:sdtPr>
          <w:sdtEndPr>
            <w:rPr>
              <w:color w:val="FF0000"/>
            </w:rPr>
          </w:sdtEndPr>
          <w:sdtContent>
            <w:sdt>
              <w:sdtPr>
                <w:rPr>
                  <w:rFonts w:eastAsia="Calibri" w:cstheme="minorHAnsi"/>
                  <w:sz w:val="18"/>
                  <w:szCs w:val="18"/>
                </w:rPr>
                <w:alias w:val="Nombre"/>
                <w:tag w:val="Nombre"/>
                <w:id w:val="-1739242353"/>
                <w:placeholder>
                  <w:docPart w:val="F16FD5F9C787446F81FE694E34361DFE"/>
                </w:placeholder>
              </w:sdtPr>
              <w:sdtEndPr>
                <w:rPr>
                  <w:color w:val="FF0000"/>
                </w:rPr>
              </w:sdtEndPr>
              <w:sdtContent>
                <w:tc>
                  <w:tcPr>
                    <w:tcW w:w="4201" w:type="pct"/>
                    <w:gridSpan w:val="8"/>
                  </w:tcPr>
                  <w:p w14:paraId="251B9ADE" w14:textId="06C40EB6" w:rsidR="008F0D18" w:rsidRPr="005117BB" w:rsidRDefault="008F0D18" w:rsidP="008F0D18">
                    <w:pPr>
                      <w:spacing w:line="199" w:lineRule="exact"/>
                      <w:jc w:val="both"/>
                      <w:rPr>
                        <w:rFonts w:eastAsia="Calibri" w:cstheme="minorHAnsi"/>
                        <w:color w:val="FF0000"/>
                        <w:sz w:val="18"/>
                        <w:szCs w:val="18"/>
                        <w:lang w:val="es-ES"/>
                      </w:rPr>
                    </w:pPr>
                    <w:r w:rsidRPr="005117BB">
                      <w:rPr>
                        <w:rFonts w:eastAsia="Calibri" w:cstheme="minorHAnsi"/>
                        <w:sz w:val="18"/>
                        <w:szCs w:val="18"/>
                        <w:lang w:val="es-CO"/>
                      </w:rPr>
                      <w:t>A definir por la OAAS</w:t>
                    </w:r>
                  </w:p>
                </w:tc>
              </w:sdtContent>
            </w:sdt>
          </w:sdtContent>
        </w:sdt>
      </w:tr>
      <w:tr w:rsidR="008F0D18" w:rsidRPr="00DD20DE" w14:paraId="372299A3" w14:textId="77777777" w:rsidTr="00D66A17">
        <w:trPr>
          <w:trHeight w:val="20"/>
        </w:trPr>
        <w:tc>
          <w:tcPr>
            <w:tcW w:w="799" w:type="pct"/>
            <w:shd w:val="clear" w:color="auto" w:fill="D9D9D9"/>
            <w:vAlign w:val="center"/>
          </w:tcPr>
          <w:p w14:paraId="3A3CD968" w14:textId="77777777" w:rsidR="008F0D18" w:rsidRPr="00DD20DE" w:rsidRDefault="008F0D18" w:rsidP="008F0D18">
            <w:pPr>
              <w:jc w:val="center"/>
              <w:rPr>
                <w:rFonts w:eastAsia="Calibri" w:cstheme="minorHAnsi"/>
                <w:b/>
                <w:i/>
                <w:sz w:val="18"/>
                <w:szCs w:val="18"/>
                <w:lang w:val="es-ES"/>
              </w:rPr>
            </w:pPr>
            <w:r w:rsidRPr="00DD20DE">
              <w:rPr>
                <w:rFonts w:eastAsia="Calibri" w:cstheme="minorHAnsi"/>
                <w:b/>
                <w:i/>
                <w:spacing w:val="-2"/>
                <w:sz w:val="18"/>
                <w:szCs w:val="18"/>
                <w:lang w:val="es-ES"/>
              </w:rPr>
              <w:t>Física</w:t>
            </w:r>
          </w:p>
        </w:tc>
        <w:sdt>
          <w:sdtPr>
            <w:rPr>
              <w:rFonts w:eastAsia="Calibri" w:cstheme="minorHAnsi"/>
              <w:sz w:val="18"/>
              <w:szCs w:val="18"/>
            </w:rPr>
            <w:alias w:val="Física"/>
            <w:tag w:val="Física"/>
            <w:id w:val="-529420571"/>
            <w:placeholder>
              <w:docPart w:val="CC48F09B75AB4769BE55B9EECB20F715"/>
            </w:placeholder>
          </w:sdtPr>
          <w:sdtEndPr>
            <w:rPr>
              <w:color w:val="FF0000"/>
            </w:rPr>
          </w:sdtEndPr>
          <w:sdtContent>
            <w:sdt>
              <w:sdtPr>
                <w:rPr>
                  <w:rFonts w:eastAsia="Calibri" w:cstheme="minorHAnsi"/>
                  <w:sz w:val="18"/>
                  <w:szCs w:val="18"/>
                </w:rPr>
                <w:alias w:val="Nombre"/>
                <w:tag w:val="Nombre"/>
                <w:id w:val="-1188908382"/>
                <w:placeholder>
                  <w:docPart w:val="C583D3C8CB0147AB9D897F5F1D495840"/>
                </w:placeholder>
              </w:sdtPr>
              <w:sdtEndPr>
                <w:rPr>
                  <w:color w:val="FF0000"/>
                </w:rPr>
              </w:sdtEndPr>
              <w:sdtContent>
                <w:tc>
                  <w:tcPr>
                    <w:tcW w:w="4201" w:type="pct"/>
                    <w:gridSpan w:val="8"/>
                  </w:tcPr>
                  <w:p w14:paraId="4B6D31F6" w14:textId="7C2AA3AC" w:rsidR="008F0D18" w:rsidRPr="005117BB" w:rsidRDefault="008F0D18" w:rsidP="008F0D18">
                    <w:pPr>
                      <w:rPr>
                        <w:rFonts w:eastAsia="Calibri" w:cstheme="minorHAnsi"/>
                        <w:color w:val="FF0000"/>
                        <w:sz w:val="18"/>
                        <w:szCs w:val="18"/>
                        <w:lang w:val="es-ES"/>
                      </w:rPr>
                    </w:pPr>
                    <w:r w:rsidRPr="005117BB">
                      <w:rPr>
                        <w:rFonts w:eastAsia="Calibri" w:cstheme="minorHAnsi"/>
                        <w:sz w:val="18"/>
                        <w:szCs w:val="18"/>
                        <w:lang w:val="es-CO"/>
                      </w:rPr>
                      <w:t>A definir por la OAAS</w:t>
                    </w:r>
                  </w:p>
                </w:tc>
              </w:sdtContent>
            </w:sdt>
          </w:sdtContent>
        </w:sdt>
      </w:tr>
      <w:tr w:rsidR="008F0D18" w:rsidRPr="00DD20DE" w14:paraId="0413D2A1" w14:textId="77777777" w:rsidTr="00D66A17">
        <w:trPr>
          <w:trHeight w:val="20"/>
        </w:trPr>
        <w:tc>
          <w:tcPr>
            <w:tcW w:w="799" w:type="pct"/>
            <w:shd w:val="clear" w:color="auto" w:fill="D9D9D9"/>
            <w:vAlign w:val="center"/>
          </w:tcPr>
          <w:p w14:paraId="456CD1F0" w14:textId="77777777" w:rsidR="008F0D18" w:rsidRPr="00DD20DE" w:rsidRDefault="008F0D18" w:rsidP="008F0D18">
            <w:pPr>
              <w:jc w:val="center"/>
              <w:rPr>
                <w:rFonts w:eastAsia="Calibri" w:cstheme="minorHAnsi"/>
                <w:b/>
                <w:i/>
                <w:sz w:val="18"/>
                <w:szCs w:val="18"/>
                <w:lang w:val="es-ES"/>
              </w:rPr>
            </w:pPr>
            <w:r w:rsidRPr="00DD20DE">
              <w:rPr>
                <w:rFonts w:eastAsia="Calibri" w:cstheme="minorHAnsi"/>
                <w:b/>
                <w:i/>
                <w:spacing w:val="-5"/>
                <w:sz w:val="18"/>
                <w:szCs w:val="18"/>
                <w:lang w:val="es-ES"/>
              </w:rPr>
              <w:t>URL</w:t>
            </w:r>
          </w:p>
        </w:tc>
        <w:sdt>
          <w:sdtPr>
            <w:rPr>
              <w:rFonts w:eastAsia="Calibri" w:cstheme="minorHAnsi"/>
              <w:sz w:val="18"/>
              <w:szCs w:val="18"/>
            </w:rPr>
            <w:alias w:val="URL"/>
            <w:tag w:val="URL"/>
            <w:id w:val="705301387"/>
            <w:placeholder>
              <w:docPart w:val="371E4106B90A4DBBADF10DFD6608FB9E"/>
            </w:placeholder>
          </w:sdtPr>
          <w:sdtEndPr>
            <w:rPr>
              <w:color w:val="FF0000"/>
            </w:rPr>
          </w:sdtEndPr>
          <w:sdtContent>
            <w:sdt>
              <w:sdtPr>
                <w:rPr>
                  <w:rFonts w:eastAsia="Calibri" w:cstheme="minorHAnsi"/>
                  <w:sz w:val="18"/>
                  <w:szCs w:val="18"/>
                </w:rPr>
                <w:alias w:val="Nombre"/>
                <w:tag w:val="Nombre"/>
                <w:id w:val="503328498"/>
                <w:placeholder>
                  <w:docPart w:val="E2752B97293E4177A5EB81BA5C5B0B5A"/>
                </w:placeholder>
              </w:sdtPr>
              <w:sdtEndPr>
                <w:rPr>
                  <w:color w:val="FF0000"/>
                </w:rPr>
              </w:sdtEndPr>
              <w:sdtContent>
                <w:tc>
                  <w:tcPr>
                    <w:tcW w:w="4201" w:type="pct"/>
                    <w:gridSpan w:val="8"/>
                  </w:tcPr>
                  <w:p w14:paraId="7ABEC837" w14:textId="6901A1C1" w:rsidR="008F0D18" w:rsidRPr="005117BB" w:rsidRDefault="008F0D18" w:rsidP="008F0D18">
                    <w:pPr>
                      <w:rPr>
                        <w:rFonts w:eastAsia="Calibri" w:cstheme="minorHAnsi"/>
                        <w:color w:val="FF0000"/>
                        <w:sz w:val="18"/>
                        <w:szCs w:val="18"/>
                        <w:lang w:val="es-ES"/>
                      </w:rPr>
                    </w:pPr>
                    <w:r w:rsidRPr="005117BB">
                      <w:rPr>
                        <w:rFonts w:eastAsia="Calibri" w:cstheme="minorHAnsi"/>
                        <w:sz w:val="18"/>
                        <w:szCs w:val="18"/>
                        <w:lang w:val="es-CO"/>
                      </w:rPr>
                      <w:t>A definir por la OAAS</w:t>
                    </w:r>
                  </w:p>
                </w:tc>
              </w:sdtContent>
            </w:sdt>
          </w:sdtContent>
        </w:sdt>
      </w:tr>
    </w:tbl>
    <w:p w14:paraId="07842CA7"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292828" w:rsidRPr="00DD20DE" w14:paraId="00F2AB87" w14:textId="77777777" w:rsidTr="00A108D7">
        <w:trPr>
          <w:trHeight w:val="20"/>
        </w:trPr>
        <w:tc>
          <w:tcPr>
            <w:tcW w:w="5000" w:type="pct"/>
            <w:gridSpan w:val="7"/>
            <w:shd w:val="clear" w:color="auto" w:fill="A6A6A6" w:themeFill="background1" w:themeFillShade="A6"/>
          </w:tcPr>
          <w:p w14:paraId="1875F989" w14:textId="77777777" w:rsidR="006238AE" w:rsidRPr="00DD20DE" w:rsidRDefault="006238AE" w:rsidP="006238AE">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6238AE" w:rsidRPr="00DD20DE" w14:paraId="7EA9BC8A" w14:textId="77777777" w:rsidTr="00D66A17">
        <w:trPr>
          <w:trHeight w:val="20"/>
        </w:trPr>
        <w:tc>
          <w:tcPr>
            <w:tcW w:w="799" w:type="pct"/>
            <w:shd w:val="clear" w:color="auto" w:fill="D9D9D9"/>
            <w:vAlign w:val="center"/>
          </w:tcPr>
          <w:p w14:paraId="45F5E525" w14:textId="2BC13C95"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Variable N°</w:t>
            </w:r>
          </w:p>
        </w:tc>
        <w:sdt>
          <w:sdtPr>
            <w:rPr>
              <w:rFonts w:eastAsia="Calibri" w:cstheme="minorHAnsi"/>
              <w:sz w:val="18"/>
              <w:szCs w:val="18"/>
              <w:lang w:val="es-ES"/>
            </w:rPr>
            <w:alias w:val="Variable N°"/>
            <w:tag w:val="Variable N°"/>
            <w:id w:val="1208228160"/>
            <w:placeholder>
              <w:docPart w:val="F3180E00E4B74624AAFC73DE53A3FF6A"/>
            </w:placeholder>
          </w:sdtPr>
          <w:sdtEndPr>
            <w:rPr>
              <w:color w:val="FF0000"/>
            </w:rPr>
          </w:sdtEndPr>
          <w:sdtContent>
            <w:tc>
              <w:tcPr>
                <w:tcW w:w="4201" w:type="pct"/>
                <w:gridSpan w:val="6"/>
              </w:tcPr>
              <w:p w14:paraId="056494B6" w14:textId="4122FBFC" w:rsidR="006238AE" w:rsidRPr="00DD20DE" w:rsidRDefault="008F0D18" w:rsidP="00B558B2">
                <w:pPr>
                  <w:rPr>
                    <w:rFonts w:eastAsia="Calibri" w:cstheme="minorHAnsi"/>
                    <w:b/>
                    <w:sz w:val="18"/>
                    <w:szCs w:val="18"/>
                    <w:lang w:val="es-ES"/>
                  </w:rPr>
                </w:pPr>
                <w:r>
                  <w:rPr>
                    <w:rFonts w:eastAsia="Calibri" w:cstheme="minorHAnsi"/>
                    <w:sz w:val="18"/>
                    <w:szCs w:val="18"/>
                    <w:lang w:val="es-ES"/>
                  </w:rPr>
                  <w:t>2</w:t>
                </w:r>
              </w:p>
            </w:tc>
          </w:sdtContent>
        </w:sdt>
      </w:tr>
      <w:tr w:rsidR="00292828" w:rsidRPr="00DD20DE" w14:paraId="5CC13398" w14:textId="77777777" w:rsidTr="00D66A17">
        <w:trPr>
          <w:trHeight w:val="20"/>
        </w:trPr>
        <w:tc>
          <w:tcPr>
            <w:tcW w:w="799" w:type="pct"/>
            <w:shd w:val="clear" w:color="auto" w:fill="D9D9D9"/>
            <w:vAlign w:val="center"/>
          </w:tcPr>
          <w:p w14:paraId="78AB1AB4" w14:textId="77777777"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826789129"/>
            <w:placeholder>
              <w:docPart w:val="22F23215D2114FE7A63D5CEE9127D412"/>
            </w:placeholder>
          </w:sdtPr>
          <w:sdtEndPr>
            <w:rPr>
              <w:color w:val="FF0000"/>
            </w:rPr>
          </w:sdtEndPr>
          <w:sdtContent>
            <w:tc>
              <w:tcPr>
                <w:tcW w:w="4201" w:type="pct"/>
                <w:gridSpan w:val="6"/>
              </w:tcPr>
              <w:p w14:paraId="37AF8195" w14:textId="77777777" w:rsidR="008F0D18" w:rsidRPr="008F0D18" w:rsidRDefault="008F0D18" w:rsidP="00B558B2">
                <w:pPr>
                  <w:rPr>
                    <w:rFonts w:eastAsia="Arial Narrow"/>
                    <w:sz w:val="18"/>
                    <w:szCs w:val="18"/>
                    <w:vertAlign w:val="subscript"/>
                  </w:rPr>
                </w:pPr>
                <w:proofErr w:type="spellStart"/>
                <w:r w:rsidRPr="008F0D18">
                  <w:rPr>
                    <w:rFonts w:eastAsia="Arial Narrow"/>
                    <w:sz w:val="18"/>
                    <w:szCs w:val="18"/>
                  </w:rPr>
                  <w:t>Reservas</w:t>
                </w:r>
                <w:proofErr w:type="spellEnd"/>
                <w:r w:rsidRPr="008F0D18">
                  <w:rPr>
                    <w:rFonts w:eastAsia="Arial Narrow"/>
                    <w:sz w:val="18"/>
                    <w:szCs w:val="18"/>
                  </w:rPr>
                  <w:t xml:space="preserve"> </w:t>
                </w:r>
                <w:r w:rsidRPr="008F0D18">
                  <w:rPr>
                    <w:rFonts w:eastAsia="Arial Narrow"/>
                    <w:sz w:val="18"/>
                    <w:szCs w:val="18"/>
                    <w:vertAlign w:val="subscript"/>
                  </w:rPr>
                  <w:t>final</w:t>
                </w:r>
              </w:p>
              <w:p w14:paraId="572C623A" w14:textId="694CA6DA" w:rsidR="006238AE" w:rsidRPr="00DD20DE" w:rsidRDefault="008F0D18" w:rsidP="00B558B2">
                <w:pPr>
                  <w:rPr>
                    <w:rFonts w:eastAsia="Calibri" w:cstheme="minorHAnsi"/>
                    <w:b/>
                    <w:sz w:val="18"/>
                    <w:szCs w:val="18"/>
                    <w:lang w:val="es-ES"/>
                  </w:rPr>
                </w:pPr>
                <w:proofErr w:type="spellStart"/>
                <w:r w:rsidRPr="008F0D18">
                  <w:rPr>
                    <w:rFonts w:eastAsia="Arial Narrow"/>
                    <w:sz w:val="18"/>
                    <w:szCs w:val="18"/>
                  </w:rPr>
                  <w:t>Reservas</w:t>
                </w:r>
                <w:proofErr w:type="spellEnd"/>
                <w:r w:rsidRPr="008F0D18">
                  <w:rPr>
                    <w:rFonts w:eastAsia="Arial Narrow"/>
                    <w:sz w:val="18"/>
                    <w:szCs w:val="18"/>
                  </w:rPr>
                  <w:t xml:space="preserve"> </w:t>
                </w:r>
                <w:proofErr w:type="spellStart"/>
                <w:r w:rsidRPr="008F0D18">
                  <w:rPr>
                    <w:rFonts w:eastAsia="Arial Narrow"/>
                    <w:sz w:val="18"/>
                    <w:szCs w:val="18"/>
                    <w:vertAlign w:val="subscript"/>
                  </w:rPr>
                  <w:t>inicial</w:t>
                </w:r>
                <w:proofErr w:type="spellEnd"/>
              </w:p>
            </w:tc>
          </w:sdtContent>
        </w:sdt>
      </w:tr>
      <w:tr w:rsidR="00292828" w:rsidRPr="00DD20DE" w14:paraId="7C1F834B" w14:textId="77777777" w:rsidTr="00D66A17">
        <w:trPr>
          <w:trHeight w:val="20"/>
        </w:trPr>
        <w:tc>
          <w:tcPr>
            <w:tcW w:w="799" w:type="pct"/>
            <w:vMerge w:val="restart"/>
            <w:shd w:val="clear" w:color="auto" w:fill="D9D9D9"/>
            <w:vAlign w:val="center"/>
          </w:tcPr>
          <w:p w14:paraId="6FAA54E9" w14:textId="77777777" w:rsidR="006238AE" w:rsidRPr="00DD20DE" w:rsidRDefault="006238AE" w:rsidP="00A108D7">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74884EA0" w14:textId="1BAF4192" w:rsidR="006238AE" w:rsidRPr="00DD20DE" w:rsidRDefault="006238AE" w:rsidP="00A108D7">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0115585"/>
                <w14:checkbox>
                  <w14:checked w14:val="1"/>
                  <w14:checkedState w14:val="2612" w14:font="MS Gothic"/>
                  <w14:uncheckedState w14:val="2610" w14:font="MS Gothic"/>
                </w14:checkbox>
              </w:sdtPr>
              <w:sdtContent>
                <w:r w:rsidR="008F0D18">
                  <w:rPr>
                    <w:rFonts w:ascii="MS Gothic" w:eastAsia="MS Gothic" w:hAnsi="MS Gothic" w:cstheme="minorHAnsi" w:hint="eastAsia"/>
                    <w:spacing w:val="-2"/>
                    <w:sz w:val="18"/>
                    <w:szCs w:val="18"/>
                    <w:lang w:val="es-ES"/>
                  </w:rPr>
                  <w:t>☒</w:t>
                </w:r>
              </w:sdtContent>
            </w:sdt>
          </w:p>
        </w:tc>
        <w:tc>
          <w:tcPr>
            <w:tcW w:w="691" w:type="pct"/>
            <w:vAlign w:val="center"/>
          </w:tcPr>
          <w:p w14:paraId="2C3D443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5032428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56DCD3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80603733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066806A"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52802796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17591649"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9646568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4" w:type="pct"/>
            <w:vAlign w:val="center"/>
          </w:tcPr>
          <w:p w14:paraId="4FB8B5B3" w14:textId="77777777" w:rsidR="006238AE" w:rsidRPr="00DD20DE" w:rsidRDefault="006238AE" w:rsidP="00A108D7">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923344429"/>
                <w14:checkbox>
                  <w14:checked w14:val="0"/>
                  <w14:checkedState w14:val="2612" w14:font="MS Gothic"/>
                  <w14:uncheckedState w14:val="2610" w14:font="MS Gothic"/>
                </w14:checkbox>
              </w:sdtPr>
              <w:sdtContent>
                <w:r w:rsidRPr="00DD20DE">
                  <w:rPr>
                    <w:rFonts w:ascii="Segoe UI Symbol" w:eastAsia="Calibri" w:hAnsi="Segoe UI Symbol" w:cs="Segoe UI Symbol"/>
                    <w:position w:val="-4"/>
                    <w:sz w:val="18"/>
                    <w:szCs w:val="18"/>
                    <w:lang w:val="es-ES"/>
                  </w:rPr>
                  <w:t>☐</w:t>
                </w:r>
              </w:sdtContent>
            </w:sdt>
          </w:p>
        </w:tc>
      </w:tr>
      <w:tr w:rsidR="006238AE" w:rsidRPr="00DD20DE" w14:paraId="75DB6AED" w14:textId="77777777" w:rsidTr="00D66A17">
        <w:trPr>
          <w:trHeight w:val="20"/>
        </w:trPr>
        <w:tc>
          <w:tcPr>
            <w:tcW w:w="799" w:type="pct"/>
            <w:vMerge/>
            <w:shd w:val="clear" w:color="auto" w:fill="D9D9D9"/>
          </w:tcPr>
          <w:p w14:paraId="5FFCCA55" w14:textId="77777777" w:rsidR="006238AE" w:rsidRPr="00DD20DE" w:rsidRDefault="006238AE" w:rsidP="006238AE">
            <w:pPr>
              <w:rPr>
                <w:rFonts w:eastAsia="Calibri" w:cstheme="minorHAnsi"/>
                <w:b/>
                <w:spacing w:val="-2"/>
                <w:sz w:val="18"/>
                <w:szCs w:val="18"/>
                <w:lang w:val="es-ES"/>
              </w:rPr>
            </w:pPr>
          </w:p>
        </w:tc>
        <w:tc>
          <w:tcPr>
            <w:tcW w:w="4201" w:type="pct"/>
            <w:gridSpan w:val="6"/>
          </w:tcPr>
          <w:p w14:paraId="7FEB02E8" w14:textId="0BA0CEDF" w:rsidR="006238AE" w:rsidRPr="00DD20DE" w:rsidRDefault="006238AE" w:rsidP="006238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652250623"/>
                <w:placeholder>
                  <w:docPart w:val="04DCA02D17514C08BB1AE527760755E3"/>
                </w:placeholder>
                <w:showingPlcHdr/>
              </w:sdtPr>
              <w:sdtEndPr>
                <w:rPr>
                  <w:color w:val="FF0000"/>
                </w:rPr>
              </w:sdtEndPr>
              <w:sdtContent>
                <w:r w:rsidR="000D6A72" w:rsidRPr="00DD20DE">
                  <w:rPr>
                    <w:rFonts w:eastAsia="Calibri" w:cstheme="minorHAnsi"/>
                    <w:color w:val="666666"/>
                    <w:sz w:val="18"/>
                    <w:szCs w:val="18"/>
                    <w:lang w:val="es-ES"/>
                  </w:rPr>
                  <w:t>Haga clic o pulse aquí para indicar la frecuencia de medición de la variable.</w:t>
                </w:r>
              </w:sdtContent>
            </w:sdt>
          </w:p>
        </w:tc>
      </w:tr>
      <w:tr w:rsidR="006238AE" w:rsidRPr="00DD20DE" w14:paraId="484C3296" w14:textId="77777777" w:rsidTr="00A108D7">
        <w:trPr>
          <w:trHeight w:val="20"/>
        </w:trPr>
        <w:tc>
          <w:tcPr>
            <w:tcW w:w="5000" w:type="pct"/>
            <w:gridSpan w:val="7"/>
            <w:shd w:val="clear" w:color="auto" w:fill="A6A6A6" w:themeFill="background1" w:themeFillShade="A6"/>
          </w:tcPr>
          <w:p w14:paraId="7DA1EE9F" w14:textId="671CBB7C" w:rsidR="006238AE" w:rsidRPr="00DD20DE" w:rsidRDefault="00292828" w:rsidP="006238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6238AE" w:rsidRPr="00DD20DE" w14:paraId="4D4D500D" w14:textId="77777777" w:rsidTr="00D66A17">
        <w:trPr>
          <w:trHeight w:val="20"/>
        </w:trPr>
        <w:tc>
          <w:tcPr>
            <w:tcW w:w="799" w:type="pct"/>
            <w:shd w:val="clear" w:color="auto" w:fill="D9D9D9"/>
            <w:vAlign w:val="center"/>
          </w:tcPr>
          <w:p w14:paraId="2E3D82D4"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919998076"/>
            <w:placeholder>
              <w:docPart w:val="1A30CA260B14423DB971DE16B7BDA1AA"/>
            </w:placeholder>
          </w:sdtPr>
          <w:sdtEndPr>
            <w:rPr>
              <w:color w:val="FF0000"/>
            </w:rPr>
          </w:sdtEndPr>
          <w:sdtContent>
            <w:tc>
              <w:tcPr>
                <w:tcW w:w="4201" w:type="pct"/>
                <w:gridSpan w:val="6"/>
              </w:tcPr>
              <w:p w14:paraId="08D0CCCB" w14:textId="6EDFB4FA" w:rsidR="006238AE" w:rsidRPr="00DD20DE" w:rsidRDefault="00AE1778" w:rsidP="006238AE">
                <w:pPr>
                  <w:spacing w:line="216" w:lineRule="exact"/>
                  <w:ind w:right="111"/>
                  <w:rPr>
                    <w:rFonts w:eastAsia="Calibri" w:cstheme="minorHAnsi"/>
                    <w:sz w:val="18"/>
                    <w:szCs w:val="18"/>
                    <w:lang w:val="es-ES"/>
                  </w:rPr>
                </w:pPr>
                <w:r w:rsidRPr="00AE1778">
                  <w:rPr>
                    <w:rFonts w:eastAsia="Calibri" w:cstheme="minorHAnsi"/>
                    <w:sz w:val="18"/>
                    <w:szCs w:val="18"/>
                    <w:lang w:val="es-ES"/>
                  </w:rPr>
                  <w:t>Cuenta Ambiental y Económica de Activos de los Recursos Minerales y Energéticos (CAE-ARME)</w:t>
                </w:r>
              </w:p>
            </w:tc>
          </w:sdtContent>
        </w:sdt>
      </w:tr>
      <w:tr w:rsidR="006238AE" w:rsidRPr="00DD20DE" w14:paraId="3FCE0415" w14:textId="77777777" w:rsidTr="00D66A17">
        <w:trPr>
          <w:trHeight w:val="20"/>
        </w:trPr>
        <w:tc>
          <w:tcPr>
            <w:tcW w:w="799" w:type="pct"/>
            <w:shd w:val="clear" w:color="auto" w:fill="D9D9D9"/>
            <w:vAlign w:val="center"/>
          </w:tcPr>
          <w:p w14:paraId="2A04E76E"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694661179"/>
            <w:placeholder>
              <w:docPart w:val="7C53818D3DBB431DBC3CA216F1716F1B"/>
            </w:placeholder>
          </w:sdtPr>
          <w:sdtEndPr>
            <w:rPr>
              <w:color w:val="FF0000"/>
            </w:rPr>
          </w:sdtEndPr>
          <w:sdtContent>
            <w:tc>
              <w:tcPr>
                <w:tcW w:w="4201" w:type="pct"/>
                <w:gridSpan w:val="6"/>
              </w:tcPr>
              <w:p w14:paraId="192F1F3C" w14:textId="317F43E1" w:rsidR="006238AE" w:rsidRPr="00DD20DE" w:rsidRDefault="00AE1778" w:rsidP="006238AE">
                <w:pPr>
                  <w:rPr>
                    <w:rFonts w:eastAsia="Calibri" w:cstheme="minorHAnsi"/>
                    <w:sz w:val="18"/>
                    <w:szCs w:val="18"/>
                    <w:lang w:val="es-ES"/>
                  </w:rPr>
                </w:pPr>
                <w:r>
                  <w:rPr>
                    <w:rFonts w:eastAsia="Calibri" w:cstheme="minorHAnsi"/>
                    <w:sz w:val="18"/>
                    <w:szCs w:val="18"/>
                    <w:lang w:val="es-ES"/>
                  </w:rPr>
                  <w:t>N.A</w:t>
                </w:r>
              </w:p>
            </w:tc>
          </w:sdtContent>
        </w:sdt>
      </w:tr>
      <w:tr w:rsidR="006238AE" w:rsidRPr="00DD20DE" w14:paraId="51A1CBC0" w14:textId="77777777" w:rsidTr="00D66A17">
        <w:trPr>
          <w:trHeight w:val="20"/>
        </w:trPr>
        <w:tc>
          <w:tcPr>
            <w:tcW w:w="799" w:type="pct"/>
            <w:shd w:val="clear" w:color="auto" w:fill="D9D9D9"/>
            <w:vAlign w:val="center"/>
          </w:tcPr>
          <w:p w14:paraId="5D7F77D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eastAsia="Calibri" w:cstheme="minorHAnsi"/>
              <w:sz w:val="18"/>
              <w:szCs w:val="18"/>
              <w:lang w:val="es-ES"/>
            </w:rPr>
            <w:alias w:val="URL"/>
            <w:tag w:val="URL"/>
            <w:id w:val="55441563"/>
            <w:placeholder>
              <w:docPart w:val="110092479D2E43D89778F72603628337"/>
            </w:placeholder>
          </w:sdtPr>
          <w:sdtEndPr>
            <w:rPr>
              <w:color w:val="FF0000"/>
            </w:rPr>
          </w:sdtEndPr>
          <w:sdtContent>
            <w:tc>
              <w:tcPr>
                <w:tcW w:w="4201" w:type="pct"/>
                <w:gridSpan w:val="6"/>
              </w:tcPr>
              <w:p w14:paraId="7E244CC3" w14:textId="1693AA6D" w:rsidR="006238AE" w:rsidRPr="00DD20DE" w:rsidRDefault="00AE1778" w:rsidP="006238AE">
                <w:pPr>
                  <w:ind w:right="111"/>
                  <w:rPr>
                    <w:rFonts w:eastAsia="Calibri" w:cstheme="minorHAnsi"/>
                    <w:sz w:val="18"/>
                    <w:szCs w:val="18"/>
                    <w:lang w:val="es-ES"/>
                  </w:rPr>
                </w:pPr>
                <w:r w:rsidRPr="00AE1778">
                  <w:rPr>
                    <w:rFonts w:eastAsia="Calibri" w:cstheme="minorHAnsi"/>
                    <w:sz w:val="18"/>
                    <w:szCs w:val="18"/>
                    <w:lang w:val="es-ES"/>
                  </w:rPr>
                  <w:t>https://www.dane.gov.co/index.php/estadisticas-por-tema/ambientales/cuenta-satelite-ambiental-csa#cuenta-ambiental-y-economica-de-activos-de-los-recursos-minerales-y-energeticos-cae-arme</w:t>
                </w:r>
              </w:p>
            </w:tc>
          </w:sdtContent>
        </w:sdt>
      </w:tr>
      <w:tr w:rsidR="006238AE" w:rsidRPr="00DD20DE" w14:paraId="284A86F1" w14:textId="77777777" w:rsidTr="00A108D7">
        <w:trPr>
          <w:trHeight w:val="20"/>
        </w:trPr>
        <w:tc>
          <w:tcPr>
            <w:tcW w:w="5000" w:type="pct"/>
            <w:gridSpan w:val="7"/>
            <w:shd w:val="clear" w:color="auto" w:fill="A6A6A6" w:themeFill="background1" w:themeFillShade="A6"/>
          </w:tcPr>
          <w:p w14:paraId="471268C7" w14:textId="54FB0C0D" w:rsidR="006238AE" w:rsidRPr="00DD20DE" w:rsidRDefault="00292828" w:rsidP="006238AE">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6238AE" w:rsidRPr="00DD20DE" w14:paraId="5634B328" w14:textId="77777777" w:rsidTr="00D66A17">
        <w:trPr>
          <w:trHeight w:val="20"/>
        </w:trPr>
        <w:tc>
          <w:tcPr>
            <w:tcW w:w="799" w:type="pct"/>
            <w:shd w:val="clear" w:color="auto" w:fill="D9D9D9" w:themeFill="background1" w:themeFillShade="D9"/>
            <w:vAlign w:val="center"/>
          </w:tcPr>
          <w:p w14:paraId="4E278D9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405526602"/>
            <w:placeholder>
              <w:docPart w:val="1F0C7E7419604C5BB18D55BFA84C3848"/>
            </w:placeholder>
          </w:sdtPr>
          <w:sdtEndPr>
            <w:rPr>
              <w:color w:val="FF0000"/>
            </w:rPr>
          </w:sdtEndPr>
          <w:sdtContent>
            <w:tc>
              <w:tcPr>
                <w:tcW w:w="4201" w:type="pct"/>
                <w:gridSpan w:val="6"/>
              </w:tcPr>
              <w:p w14:paraId="06F4DDA1" w14:textId="594600D8" w:rsidR="00AE1778" w:rsidRPr="00AE1778" w:rsidRDefault="00AE1778" w:rsidP="00AE1778">
                <w:pPr>
                  <w:rPr>
                    <w:rFonts w:eastAsia="Calibri" w:cstheme="minorHAnsi"/>
                    <w:sz w:val="18"/>
                    <w:szCs w:val="18"/>
                    <w:lang w:val="es-CO"/>
                  </w:rPr>
                </w:pPr>
                <w:r>
                  <w:rPr>
                    <w:rFonts w:eastAsia="Calibri" w:cstheme="minorHAnsi"/>
                    <w:sz w:val="18"/>
                    <w:szCs w:val="18"/>
                    <w:lang w:val="es-ES"/>
                  </w:rPr>
                  <w:t>D</w:t>
                </w:r>
                <w:proofErr w:type="spellStart"/>
                <w:r w:rsidRPr="00AE1778">
                  <w:rPr>
                    <w:rFonts w:eastAsia="Calibri" w:cstheme="minorHAnsi"/>
                    <w:sz w:val="18"/>
                    <w:szCs w:val="18"/>
                    <w:lang w:val="es-CO"/>
                  </w:rPr>
                  <w:t>epartamento</w:t>
                </w:r>
                <w:proofErr w:type="spellEnd"/>
                <w:r w:rsidRPr="00AE1778">
                  <w:rPr>
                    <w:rFonts w:eastAsia="Calibri" w:cstheme="minorHAnsi"/>
                    <w:sz w:val="18"/>
                    <w:szCs w:val="18"/>
                    <w:lang w:val="es-CO"/>
                  </w:rPr>
                  <w:t xml:space="preserve"> Administrativo Nacional de Estadística - DANE</w:t>
                </w:r>
              </w:p>
              <w:p w14:paraId="5E6EA820" w14:textId="7AE72115" w:rsidR="006238AE" w:rsidRPr="00DD20DE" w:rsidRDefault="006238AE" w:rsidP="006238AE">
                <w:pPr>
                  <w:rPr>
                    <w:rFonts w:eastAsia="Calibri" w:cstheme="minorHAnsi"/>
                    <w:sz w:val="18"/>
                    <w:szCs w:val="18"/>
                    <w:lang w:val="es-ES"/>
                  </w:rPr>
                </w:pPr>
              </w:p>
            </w:tc>
          </w:sdtContent>
        </w:sdt>
      </w:tr>
      <w:tr w:rsidR="006238AE" w:rsidRPr="00DD20DE" w14:paraId="34766656" w14:textId="77777777" w:rsidTr="00D66A17">
        <w:trPr>
          <w:trHeight w:val="20"/>
        </w:trPr>
        <w:tc>
          <w:tcPr>
            <w:tcW w:w="799" w:type="pct"/>
            <w:shd w:val="clear" w:color="auto" w:fill="D9D9D9" w:themeFill="background1" w:themeFillShade="D9"/>
            <w:vAlign w:val="center"/>
          </w:tcPr>
          <w:p w14:paraId="3EC9F613"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481768996"/>
            <w:placeholder>
              <w:docPart w:val="152EF001063D484E8E00E20EFC4269AB"/>
            </w:placeholder>
          </w:sdtPr>
          <w:sdtEndPr>
            <w:rPr>
              <w:color w:val="FF0000"/>
            </w:rPr>
          </w:sdtEndPr>
          <w:sdtContent>
            <w:tc>
              <w:tcPr>
                <w:tcW w:w="4201" w:type="pct"/>
                <w:gridSpan w:val="6"/>
              </w:tcPr>
              <w:p w14:paraId="063C9A13" w14:textId="111A447C" w:rsidR="00AE1778" w:rsidRPr="00AE1778" w:rsidRDefault="00AE1778" w:rsidP="00AE1778">
                <w:pPr>
                  <w:rPr>
                    <w:rFonts w:eastAsia="Calibri" w:cstheme="minorHAnsi"/>
                    <w:sz w:val="18"/>
                    <w:szCs w:val="18"/>
                    <w:lang w:val="es-CO"/>
                  </w:rPr>
                </w:pPr>
                <w:r w:rsidRPr="00AE1778">
                  <w:rPr>
                    <w:rFonts w:eastAsia="Calibri" w:cstheme="minorHAnsi"/>
                    <w:sz w:val="18"/>
                    <w:szCs w:val="18"/>
                    <w:lang w:val="es-CO"/>
                  </w:rPr>
                  <w:t xml:space="preserve">Dirección de Síntesis y Cuentas </w:t>
                </w:r>
                <w:proofErr w:type="spellStart"/>
                <w:r w:rsidRPr="00AE1778">
                  <w:rPr>
                    <w:rFonts w:eastAsia="Calibri" w:cstheme="minorHAnsi"/>
                    <w:sz w:val="18"/>
                    <w:szCs w:val="18"/>
                    <w:lang w:val="es-CO"/>
                  </w:rPr>
                  <w:t>NacionalesGIT</w:t>
                </w:r>
                <w:proofErr w:type="spellEnd"/>
                <w:r w:rsidRPr="00AE1778">
                  <w:rPr>
                    <w:rFonts w:eastAsia="Calibri" w:cstheme="minorHAnsi"/>
                    <w:sz w:val="18"/>
                    <w:szCs w:val="18"/>
                    <w:lang w:val="es-CO"/>
                  </w:rPr>
                  <w:t xml:space="preserve"> Cuentas del Marco Central del Sistema de Contabilidad Ambiental y Económica - SCAE</w:t>
                </w:r>
              </w:p>
              <w:p w14:paraId="64F209FF" w14:textId="5DEF6C52" w:rsidR="006238AE" w:rsidRPr="00DD20DE" w:rsidRDefault="006238AE" w:rsidP="006238AE">
                <w:pPr>
                  <w:rPr>
                    <w:rFonts w:eastAsia="Calibri" w:cstheme="minorHAnsi"/>
                    <w:sz w:val="18"/>
                    <w:szCs w:val="18"/>
                    <w:lang w:val="es-ES"/>
                  </w:rPr>
                </w:pPr>
              </w:p>
            </w:tc>
          </w:sdtContent>
        </w:sdt>
      </w:tr>
    </w:tbl>
    <w:p w14:paraId="62E18160" w14:textId="31CB5632" w:rsidR="006238AE" w:rsidRPr="00DD20DE" w:rsidRDefault="00292828" w:rsidP="00292828">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Arial MT" w:cstheme="minorHAnsi"/>
          <w:kern w:val="0"/>
          <w:sz w:val="18"/>
          <w:szCs w:val="18"/>
          <w:lang w:val="es-ES"/>
          <w14:ligatures w14:val="none"/>
        </w:rPr>
        <w:t>* Este bloque se repite tantas veces como variables haya en el indicador</w:t>
      </w:r>
    </w:p>
    <w:p w14:paraId="4A88AD51" w14:textId="77777777" w:rsidR="00292828" w:rsidRPr="00DD20DE" w:rsidRDefault="00292828" w:rsidP="006238AE">
      <w:pPr>
        <w:widowControl w:val="0"/>
        <w:autoSpaceDE w:val="0"/>
        <w:autoSpaceDN w:val="0"/>
        <w:spacing w:after="0" w:line="240" w:lineRule="auto"/>
        <w:rPr>
          <w:rFonts w:eastAsia="Arial MT" w:cstheme="minorHAnsi"/>
          <w:kern w:val="0"/>
          <w:sz w:val="18"/>
          <w:szCs w:val="18"/>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818"/>
        <w:gridCol w:w="2408"/>
        <w:gridCol w:w="2471"/>
        <w:gridCol w:w="2135"/>
      </w:tblGrid>
      <w:tr w:rsidR="006238AE" w:rsidRPr="00DD20DE" w14:paraId="3A81F000" w14:textId="77777777" w:rsidTr="00D66A17">
        <w:trPr>
          <w:trHeight w:val="20"/>
        </w:trPr>
        <w:tc>
          <w:tcPr>
            <w:tcW w:w="0" w:type="auto"/>
            <w:gridSpan w:val="4"/>
            <w:shd w:val="clear" w:color="auto" w:fill="A6A6A6" w:themeFill="background1" w:themeFillShade="A6"/>
          </w:tcPr>
          <w:p w14:paraId="68EBD61C" w14:textId="1439B002"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OBSERVACIONES GENERALES DEL INDICADOR</w:t>
            </w:r>
          </w:p>
        </w:tc>
      </w:tr>
      <w:tr w:rsidR="006238AE" w:rsidRPr="00DD20DE" w14:paraId="449116CC" w14:textId="77777777" w:rsidTr="00D66A17">
        <w:trPr>
          <w:trHeight w:val="20"/>
        </w:trPr>
        <w:sdt>
          <w:sdtPr>
            <w:rPr>
              <w:rFonts w:eastAsia="Calibri" w:cstheme="minorHAnsi"/>
              <w:kern w:val="0"/>
              <w:sz w:val="18"/>
              <w:szCs w:val="18"/>
              <w:lang w:val="es-ES"/>
              <w14:ligatures w14:val="none"/>
            </w:rPr>
            <w:alias w:val="Observaciones generales del indicador"/>
            <w:tag w:val="Observaciones generales del indicador"/>
            <w:id w:val="1183162309"/>
            <w:placeholder>
              <w:docPart w:val="A0EEA44CCE89449DBA154CCDA49D5E4F"/>
            </w:placeholder>
            <w:showingPlcHdr/>
          </w:sdtPr>
          <w:sdtEndPr>
            <w:rPr>
              <w:color w:val="FF0000"/>
            </w:rPr>
          </w:sdtEndPr>
          <w:sdtContent>
            <w:tc>
              <w:tcPr>
                <w:tcW w:w="0" w:type="auto"/>
                <w:gridSpan w:val="4"/>
                <w:shd w:val="clear" w:color="auto" w:fill="auto"/>
              </w:tcPr>
              <w:p w14:paraId="25E10532" w14:textId="237E1374" w:rsidR="006238AE" w:rsidRPr="00DD20DE" w:rsidRDefault="006238AE" w:rsidP="006238AE">
                <w:pPr>
                  <w:widowControl w:val="0"/>
                  <w:autoSpaceDE w:val="0"/>
                  <w:autoSpaceDN w:val="0"/>
                  <w:spacing w:after="0" w:line="240" w:lineRule="auto"/>
                  <w:rPr>
                    <w:rFonts w:eastAsia="Arial MT" w:cstheme="minorHAnsi"/>
                    <w:b/>
                    <w:kern w:val="0"/>
                    <w:sz w:val="18"/>
                    <w:szCs w:val="18"/>
                    <w:lang w:val="es-ES"/>
                    <w14:ligatures w14:val="none"/>
                  </w:rPr>
                </w:pPr>
                <w:r w:rsidRPr="00DD20DE">
                  <w:rPr>
                    <w:rFonts w:eastAsia="Calibri" w:cstheme="minorHAnsi"/>
                    <w:color w:val="666666"/>
                    <w:kern w:val="0"/>
                    <w:sz w:val="18"/>
                    <w:szCs w:val="18"/>
                    <w:lang w:val="es-ES"/>
                    <w14:ligatures w14:val="none"/>
                  </w:rPr>
                  <w:t xml:space="preserve">Haga clic o pulse aquí para </w:t>
                </w:r>
                <w:r w:rsidR="000D6A72" w:rsidRPr="00DD20DE">
                  <w:rPr>
                    <w:rFonts w:eastAsia="Calibri" w:cstheme="minorHAnsi"/>
                    <w:color w:val="666666"/>
                    <w:kern w:val="0"/>
                    <w:sz w:val="18"/>
                    <w:szCs w:val="18"/>
                    <w:lang w:val="es-ES"/>
                    <w14:ligatures w14:val="none"/>
                  </w:rPr>
                  <w:t>agregar observaciones generales sobre el indicador en caso de ser necesarias</w:t>
                </w:r>
                <w:r w:rsidRPr="00DD20DE">
                  <w:rPr>
                    <w:rFonts w:eastAsia="Calibri" w:cstheme="minorHAnsi"/>
                    <w:color w:val="666666"/>
                    <w:kern w:val="0"/>
                    <w:sz w:val="18"/>
                    <w:szCs w:val="18"/>
                    <w:lang w:val="es-ES"/>
                    <w14:ligatures w14:val="none"/>
                  </w:rPr>
                  <w:t>.</w:t>
                </w:r>
              </w:p>
            </w:tc>
          </w:sdtContent>
        </w:sdt>
      </w:tr>
      <w:tr w:rsidR="006238AE" w:rsidRPr="00DD20DE" w14:paraId="46FBF83A" w14:textId="77777777" w:rsidTr="00D66A17">
        <w:trPr>
          <w:trHeight w:val="20"/>
        </w:trPr>
        <w:tc>
          <w:tcPr>
            <w:tcW w:w="0" w:type="auto"/>
            <w:gridSpan w:val="4"/>
            <w:shd w:val="clear" w:color="auto" w:fill="A6A6A6" w:themeFill="background1" w:themeFillShade="A6"/>
          </w:tcPr>
          <w:p w14:paraId="0D245C77" w14:textId="2E42FDBD"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BIBLIOGRAFÍA</w:t>
            </w:r>
          </w:p>
        </w:tc>
      </w:tr>
      <w:tr w:rsidR="006238AE" w:rsidRPr="00DD20DE" w14:paraId="7049C0D8" w14:textId="77777777" w:rsidTr="00D66A17">
        <w:trPr>
          <w:trHeight w:val="20"/>
        </w:trPr>
        <w:sdt>
          <w:sdtPr>
            <w:rPr>
              <w:lang w:val="es-ES"/>
            </w:rPr>
            <w:alias w:val="Bibliografía"/>
            <w:tag w:val="Bibliografía"/>
            <w:id w:val="1005787821"/>
            <w:placeholder>
              <w:docPart w:val="8F9DC2E2DF4748D59BCC64C2BBEA52CF"/>
            </w:placeholder>
          </w:sdtPr>
          <w:sdtEndPr>
            <w:rPr>
              <w:color w:val="FF0000"/>
            </w:rPr>
          </w:sdtEndPr>
          <w:sdtContent>
            <w:tc>
              <w:tcPr>
                <w:tcW w:w="0" w:type="auto"/>
                <w:gridSpan w:val="4"/>
              </w:tcPr>
              <w:p w14:paraId="7EF5CC36" w14:textId="77777777" w:rsidR="00B75A61" w:rsidRPr="00B75A61" w:rsidRDefault="00B75A61" w:rsidP="00B75A61">
                <w:pPr>
                  <w:pStyle w:val="Prrafodelista"/>
                  <w:widowControl w:val="0"/>
                  <w:numPr>
                    <w:ilvl w:val="0"/>
                    <w:numId w:val="2"/>
                  </w:numPr>
                  <w:autoSpaceDE w:val="0"/>
                  <w:autoSpaceDN w:val="0"/>
                  <w:spacing w:after="0" w:line="240" w:lineRule="auto"/>
                  <w:jc w:val="both"/>
                  <w:rPr>
                    <w:rFonts w:eastAsia="Calibri" w:cstheme="minorHAnsi"/>
                    <w:kern w:val="0"/>
                    <w:sz w:val="18"/>
                    <w:szCs w:val="18"/>
                    <w:lang w:val="es-ES"/>
                    <w14:ligatures w14:val="none"/>
                  </w:rPr>
                </w:pPr>
                <w:r w:rsidRPr="00B75A61">
                  <w:rPr>
                    <w:rFonts w:eastAsia="Calibri" w:cstheme="minorHAnsi"/>
                    <w:kern w:val="0"/>
                    <w:sz w:val="18"/>
                    <w:szCs w:val="18"/>
                    <w:lang w:val="es-ES"/>
                    <w14:ligatures w14:val="none"/>
                  </w:rPr>
                  <w:t>Agencia Nacional de Hidrocarburos – ANH. (2024). Informe de reservas de hidrocarburos 2023. Ministerio de Minas y Energía.</w:t>
                </w:r>
              </w:p>
              <w:p w14:paraId="36A83EFC" w14:textId="77777777" w:rsidR="00B75A61" w:rsidRPr="00B75A61" w:rsidRDefault="00B75A61" w:rsidP="00B75A61">
                <w:pPr>
                  <w:pStyle w:val="Prrafodelista"/>
                  <w:widowControl w:val="0"/>
                  <w:autoSpaceDE w:val="0"/>
                  <w:autoSpaceDN w:val="0"/>
                  <w:spacing w:after="0" w:line="240" w:lineRule="auto"/>
                  <w:jc w:val="both"/>
                  <w:rPr>
                    <w:rFonts w:eastAsia="Calibri" w:cstheme="minorHAnsi"/>
                    <w:kern w:val="0"/>
                    <w:sz w:val="18"/>
                    <w:szCs w:val="18"/>
                    <w:lang w:val="es-ES"/>
                    <w14:ligatures w14:val="none"/>
                  </w:rPr>
                </w:pPr>
                <w:r w:rsidRPr="00B75A61">
                  <w:rPr>
                    <w:rFonts w:eastAsia="Calibri" w:cstheme="minorHAnsi"/>
                    <w:kern w:val="0"/>
                    <w:sz w:val="18"/>
                    <w:szCs w:val="18"/>
                    <w:lang w:val="es-ES"/>
                    <w14:ligatures w14:val="none"/>
                  </w:rPr>
                  <w:t>https://anh.gov.co/documents/24758/Informe_de_Reservas_y_Recursos_2023.pdf</w:t>
                </w:r>
              </w:p>
              <w:p w14:paraId="6F851DB0" w14:textId="77777777" w:rsidR="00B75A61" w:rsidRPr="00B75A61" w:rsidRDefault="00B75A61" w:rsidP="00B75A61">
                <w:pPr>
                  <w:widowControl w:val="0"/>
                  <w:autoSpaceDE w:val="0"/>
                  <w:autoSpaceDN w:val="0"/>
                  <w:spacing w:after="0" w:line="240" w:lineRule="auto"/>
                  <w:jc w:val="both"/>
                  <w:rPr>
                    <w:rFonts w:eastAsia="Calibri" w:cstheme="minorHAnsi"/>
                    <w:kern w:val="0"/>
                    <w:sz w:val="18"/>
                    <w:szCs w:val="18"/>
                    <w:lang w:val="es-ES"/>
                    <w14:ligatures w14:val="none"/>
                  </w:rPr>
                </w:pPr>
              </w:p>
              <w:p w14:paraId="60D0E877" w14:textId="77777777" w:rsidR="00B75A61" w:rsidRPr="00B75A61" w:rsidRDefault="00B75A61" w:rsidP="00B75A61">
                <w:pPr>
                  <w:pStyle w:val="Prrafodelista"/>
                  <w:widowControl w:val="0"/>
                  <w:numPr>
                    <w:ilvl w:val="0"/>
                    <w:numId w:val="2"/>
                  </w:numPr>
                  <w:autoSpaceDE w:val="0"/>
                  <w:autoSpaceDN w:val="0"/>
                  <w:spacing w:after="0" w:line="240" w:lineRule="auto"/>
                  <w:jc w:val="both"/>
                  <w:rPr>
                    <w:rFonts w:eastAsia="Calibri" w:cstheme="minorHAnsi"/>
                    <w:kern w:val="0"/>
                    <w:sz w:val="18"/>
                    <w:szCs w:val="18"/>
                    <w:lang w:val="es-ES"/>
                    <w14:ligatures w14:val="none"/>
                  </w:rPr>
                </w:pPr>
                <w:r w:rsidRPr="00B75A61">
                  <w:rPr>
                    <w:rFonts w:eastAsia="Calibri" w:cstheme="minorHAnsi"/>
                    <w:kern w:val="0"/>
                    <w:sz w:val="18"/>
                    <w:szCs w:val="18"/>
                    <w:lang w:val="es-ES"/>
                    <w14:ligatures w14:val="none"/>
                  </w:rPr>
                  <w:t>Comisión Económica para América Latina y el Caribe – CEPAL. (2023). La seguridad energética de Centroamérica: propuesta para una estimación integrada. Revista CEPAL, (139), 119–145.</w:t>
                </w:r>
              </w:p>
              <w:p w14:paraId="4972FD10" w14:textId="77777777" w:rsidR="00B75A61" w:rsidRPr="00B75A61" w:rsidRDefault="00B75A61" w:rsidP="00B75A61">
                <w:pPr>
                  <w:pStyle w:val="Prrafodelista"/>
                  <w:widowControl w:val="0"/>
                  <w:autoSpaceDE w:val="0"/>
                  <w:autoSpaceDN w:val="0"/>
                  <w:spacing w:after="0" w:line="240" w:lineRule="auto"/>
                  <w:jc w:val="both"/>
                  <w:rPr>
                    <w:rFonts w:eastAsia="Calibri" w:cstheme="minorHAnsi"/>
                    <w:kern w:val="0"/>
                    <w:sz w:val="18"/>
                    <w:szCs w:val="18"/>
                    <w:lang w:val="es-ES"/>
                    <w14:ligatures w14:val="none"/>
                  </w:rPr>
                </w:pPr>
                <w:r w:rsidRPr="00B75A61">
                  <w:rPr>
                    <w:rFonts w:eastAsia="Calibri" w:cstheme="minorHAnsi"/>
                    <w:kern w:val="0"/>
                    <w:sz w:val="18"/>
                    <w:szCs w:val="18"/>
                    <w:lang w:val="es-ES"/>
                    <w14:ligatures w14:val="none"/>
                  </w:rPr>
                  <w:t>https://repositorio.cepal.org/bitstream/handle/11362/48619/1/RVI139_Escalante.pdf</w:t>
                </w:r>
              </w:p>
              <w:p w14:paraId="5B6334DD" w14:textId="77777777" w:rsidR="00B75A61" w:rsidRPr="00B75A61" w:rsidRDefault="00B75A61" w:rsidP="00B75A61">
                <w:pPr>
                  <w:widowControl w:val="0"/>
                  <w:autoSpaceDE w:val="0"/>
                  <w:autoSpaceDN w:val="0"/>
                  <w:spacing w:after="0" w:line="240" w:lineRule="auto"/>
                  <w:jc w:val="both"/>
                  <w:rPr>
                    <w:rFonts w:eastAsia="Calibri" w:cstheme="minorHAnsi"/>
                    <w:kern w:val="0"/>
                    <w:sz w:val="18"/>
                    <w:szCs w:val="18"/>
                    <w:lang w:val="es-ES"/>
                    <w14:ligatures w14:val="none"/>
                  </w:rPr>
                </w:pPr>
              </w:p>
              <w:p w14:paraId="07EFEB43" w14:textId="77777777" w:rsidR="00B75A61" w:rsidRPr="00B75A61" w:rsidRDefault="00B75A61" w:rsidP="00B75A61">
                <w:pPr>
                  <w:pStyle w:val="Prrafodelista"/>
                  <w:widowControl w:val="0"/>
                  <w:numPr>
                    <w:ilvl w:val="0"/>
                    <w:numId w:val="2"/>
                  </w:numPr>
                  <w:autoSpaceDE w:val="0"/>
                  <w:autoSpaceDN w:val="0"/>
                  <w:spacing w:after="0" w:line="240" w:lineRule="auto"/>
                  <w:jc w:val="both"/>
                  <w:rPr>
                    <w:rFonts w:eastAsia="Calibri" w:cstheme="minorHAnsi"/>
                    <w:kern w:val="0"/>
                    <w:sz w:val="18"/>
                    <w:szCs w:val="18"/>
                    <w:lang w:val="es-ES"/>
                    <w14:ligatures w14:val="none"/>
                  </w:rPr>
                </w:pPr>
                <w:r w:rsidRPr="00B75A61">
                  <w:rPr>
                    <w:rFonts w:eastAsia="Calibri" w:cstheme="minorHAnsi"/>
                    <w:kern w:val="0"/>
                    <w:sz w:val="18"/>
                    <w:szCs w:val="18"/>
                    <w:lang w:val="es-ES"/>
                    <w14:ligatures w14:val="none"/>
                  </w:rPr>
                  <w:t>Departamento Administrativo Nacional de Estadística – DANE. (2024). Cuenta ambiental y económica de activos de los recursos minerales y energéticos, 2022–2023.</w:t>
                </w:r>
              </w:p>
              <w:p w14:paraId="4B6EAF59" w14:textId="1A212F2D" w:rsidR="006238AE" w:rsidRPr="00B75A61" w:rsidRDefault="00B75A61" w:rsidP="00B75A61">
                <w:pPr>
                  <w:pStyle w:val="Prrafodelista"/>
                  <w:widowControl w:val="0"/>
                  <w:autoSpaceDE w:val="0"/>
                  <w:autoSpaceDN w:val="0"/>
                  <w:spacing w:after="0" w:line="240" w:lineRule="auto"/>
                  <w:jc w:val="both"/>
                  <w:rPr>
                    <w:rFonts w:eastAsia="Arial MT" w:cstheme="minorHAnsi"/>
                    <w:kern w:val="0"/>
                    <w:sz w:val="18"/>
                    <w:szCs w:val="18"/>
                    <w:lang w:val="es-ES"/>
                    <w14:ligatures w14:val="none"/>
                  </w:rPr>
                </w:pPr>
                <w:r w:rsidRPr="00B75A61">
                  <w:rPr>
                    <w:rFonts w:eastAsia="Calibri" w:cstheme="minorHAnsi"/>
                    <w:kern w:val="0"/>
                    <w:sz w:val="18"/>
                    <w:szCs w:val="18"/>
                    <w:lang w:val="es-ES"/>
                    <w14:ligatures w14:val="none"/>
                  </w:rPr>
                  <w:t>https://www.dane.gov.co/files/operaciones/CAE-ARME/bol-CAEARME-2023p.pdf</w:t>
                </w:r>
              </w:p>
            </w:tc>
          </w:sdtContent>
        </w:sdt>
      </w:tr>
      <w:tr w:rsidR="006238AE" w:rsidRPr="00DD20DE" w14:paraId="142373E3" w14:textId="77777777" w:rsidTr="00D66A17">
        <w:trPr>
          <w:trHeight w:val="20"/>
        </w:trPr>
        <w:tc>
          <w:tcPr>
            <w:tcW w:w="0" w:type="auto"/>
            <w:gridSpan w:val="4"/>
            <w:shd w:val="clear" w:color="auto" w:fill="A6A6A6" w:themeFill="background1" w:themeFillShade="A6"/>
          </w:tcPr>
          <w:p w14:paraId="587824AA" w14:textId="77777777" w:rsidR="006238AE" w:rsidRPr="00DD20DE" w:rsidRDefault="006238AE"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INFORMACIÓN SOBRE LA HOJA METODOLÓGICA (Control de cambios)</w:t>
            </w:r>
          </w:p>
        </w:tc>
      </w:tr>
      <w:tr w:rsidR="009472A2" w:rsidRPr="00DD20DE"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Descripción de los ajustes</w:t>
            </w:r>
          </w:p>
        </w:tc>
      </w:tr>
      <w:tr w:rsidR="009472A2" w:rsidRPr="00DD20DE" w14:paraId="393C0899" w14:textId="77777777" w:rsidTr="00D66A17">
        <w:trPr>
          <w:trHeight w:val="20"/>
        </w:trPr>
        <w:sdt>
          <w:sdtPr>
            <w:rPr>
              <w:rFonts w:eastAsia="Calibri" w:cstheme="minorHAnsi"/>
              <w:kern w:val="0"/>
              <w:sz w:val="18"/>
              <w:szCs w:val="18"/>
              <w:lang w:val="es-ES"/>
              <w14:ligatures w14:val="none"/>
            </w:rPr>
            <w:id w:val="912814697"/>
            <w:placeholder>
              <w:docPart w:val="C1229ADD2930476889E910AD249F584C"/>
            </w:placeholder>
            <w:date w:fullDate="2025-03-28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31554BDE" w:rsidR="006238AE" w:rsidRPr="00DD20DE" w:rsidRDefault="00AE1778" w:rsidP="00A108D7">
                <w:pPr>
                  <w:widowControl w:val="0"/>
                  <w:autoSpaceDE w:val="0"/>
                  <w:autoSpaceDN w:val="0"/>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es-419"/>
                    <w14:ligatures w14:val="none"/>
                  </w:rPr>
                  <w:t>28/3/2025</w:t>
                </w:r>
              </w:p>
            </w:tc>
          </w:sdtContent>
        </w:sdt>
        <w:sdt>
          <w:sdtPr>
            <w:rPr>
              <w:rFonts w:eastAsia="Calibri" w:cstheme="minorHAnsi"/>
              <w:kern w:val="0"/>
              <w:sz w:val="18"/>
              <w:szCs w:val="18"/>
              <w:lang w:val="es-ES"/>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5B8207CD" w:rsidR="006238AE" w:rsidRPr="00DD20DE" w:rsidRDefault="00AE1778"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1</w:t>
                </w:r>
              </w:p>
            </w:tc>
          </w:sdtContent>
        </w:sdt>
        <w:sdt>
          <w:sdtPr>
            <w:rPr>
              <w:rFonts w:eastAsia="Calibri" w:cstheme="minorHAnsi"/>
              <w:kern w:val="0"/>
              <w:sz w:val="18"/>
              <w:szCs w:val="18"/>
              <w:lang w:val="es-ES"/>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13D90757" w:rsidR="006238AE" w:rsidRPr="00DD20DE" w:rsidRDefault="00AE1778"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Laura Paola Rincón</w:t>
                </w:r>
              </w:p>
            </w:tc>
          </w:sdtContent>
        </w:sdt>
        <w:sdt>
          <w:sdtPr>
            <w:rPr>
              <w:rFonts w:eastAsia="Calibri" w:cstheme="minorHAnsi"/>
              <w:kern w:val="0"/>
              <w:sz w:val="18"/>
              <w:szCs w:val="18"/>
              <w:lang w:val="es-ES"/>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751C27E8" w:rsidR="006238AE" w:rsidRPr="00DD20DE" w:rsidRDefault="00AE1778"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N.A</w:t>
                </w:r>
              </w:p>
            </w:tc>
          </w:sdtContent>
        </w:sdt>
      </w:tr>
      <w:tr w:rsidR="000D6A72" w:rsidRPr="00DD20DE" w14:paraId="7A5ADCD9" w14:textId="77777777" w:rsidTr="00D66A17">
        <w:trPr>
          <w:trHeight w:val="20"/>
        </w:trPr>
        <w:sdt>
          <w:sdtPr>
            <w:rPr>
              <w:rFonts w:eastAsia="Calibri" w:cstheme="minorHAnsi"/>
              <w:kern w:val="0"/>
              <w:sz w:val="18"/>
              <w:szCs w:val="18"/>
              <w:lang w:val="es-ES"/>
              <w14:ligatures w14:val="none"/>
            </w:rPr>
            <w:id w:val="-137891365"/>
            <w:placeholder>
              <w:docPart w:val="58071E4E09DB40F59E1BFB3077F8B00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r w:rsidR="000D6A72" w:rsidRPr="00DD20DE" w14:paraId="11390BCB" w14:textId="77777777" w:rsidTr="00D66A17">
        <w:trPr>
          <w:trHeight w:val="20"/>
        </w:trPr>
        <w:sdt>
          <w:sdtPr>
            <w:rPr>
              <w:rFonts w:eastAsia="Calibri" w:cstheme="minorHAnsi"/>
              <w:kern w:val="0"/>
              <w:sz w:val="18"/>
              <w:szCs w:val="18"/>
              <w:lang w:val="es-ES"/>
              <w14:ligatures w14:val="none"/>
            </w:rPr>
            <w:id w:val="87896117"/>
            <w:placeholder>
              <w:docPart w:val="69869538669348FB88B5AD64218540DC"/>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bl>
    <w:p w14:paraId="422BAEB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002D313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60C6EA8B"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794EBB0D" w14:textId="77777777" w:rsidR="006A5510" w:rsidRPr="00DD20DE" w:rsidRDefault="006A5510">
      <w:pPr>
        <w:rPr>
          <w:rFonts w:cstheme="minorHAnsi"/>
          <w:sz w:val="18"/>
          <w:szCs w:val="18"/>
        </w:rPr>
      </w:pPr>
    </w:p>
    <w:sectPr w:rsidR="006A5510" w:rsidRPr="00DD20DE" w:rsidSect="00D66A17">
      <w:headerReference w:type="even" r:id="rId7"/>
      <w:headerReference w:type="default" r:id="rId8"/>
      <w:footerReference w:type="even"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51D33" w14:textId="77777777" w:rsidR="004D1173" w:rsidRDefault="004D1173" w:rsidP="00D66A17">
      <w:pPr>
        <w:spacing w:after="0" w:line="240" w:lineRule="auto"/>
      </w:pPr>
      <w:r>
        <w:separator/>
      </w:r>
    </w:p>
  </w:endnote>
  <w:endnote w:type="continuationSeparator" w:id="0">
    <w:p w14:paraId="09826FB8" w14:textId="77777777" w:rsidR="004D1173" w:rsidRDefault="004D1173"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7E125" w14:textId="77777777" w:rsidR="004D1173" w:rsidRDefault="004D1173" w:rsidP="00D66A17">
      <w:pPr>
        <w:spacing w:after="0" w:line="240" w:lineRule="auto"/>
      </w:pPr>
      <w:r>
        <w:separator/>
      </w:r>
    </w:p>
  </w:footnote>
  <w:footnote w:type="continuationSeparator" w:id="0">
    <w:p w14:paraId="0B9AA4E8" w14:textId="77777777" w:rsidR="004D1173" w:rsidRDefault="004D1173"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641"/>
    <w:multiLevelType w:val="hybridMultilevel"/>
    <w:tmpl w:val="92E020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6F3818"/>
    <w:multiLevelType w:val="multilevel"/>
    <w:tmpl w:val="DCBEEE1A"/>
    <w:lvl w:ilvl="0">
      <w:start w:val="1"/>
      <w:numFmt w:val="decimal"/>
      <w:lvlText w:val="%1."/>
      <w:lvlJc w:val="left"/>
      <w:pPr>
        <w:ind w:left="360" w:hanging="360"/>
      </w:pPr>
    </w:lvl>
    <w:lvl w:ilvl="1">
      <w:start w:val="1"/>
      <w:numFmt w:val="decimal"/>
      <w:lvlText w:val="%1.%2."/>
      <w:lvlJc w:val="left"/>
      <w:pPr>
        <w:ind w:left="1709" w:hanging="432"/>
      </w:pPr>
    </w:lvl>
    <w:lvl w:ilvl="2">
      <w:start w:val="1"/>
      <w:numFmt w:val="decimal"/>
      <w:lvlText w:val="%1.%2.%3."/>
      <w:lvlJc w:val="left"/>
      <w:pPr>
        <w:ind w:left="1072" w:hanging="504"/>
      </w:pPr>
    </w:lvl>
    <w:lvl w:ilvl="3">
      <w:start w:val="1"/>
      <w:numFmt w:val="decimal"/>
      <w:lvlText w:val="%1.%2.%3.%4."/>
      <w:lvlJc w:val="left"/>
      <w:pPr>
        <w:ind w:left="1586" w:hanging="648"/>
      </w:pPr>
    </w:lvl>
    <w:lvl w:ilvl="4">
      <w:start w:val="1"/>
      <w:numFmt w:val="decimal"/>
      <w:lvlText w:val="%1.%2.%3.%4.%5."/>
      <w:lvlJc w:val="left"/>
      <w:pPr>
        <w:ind w:left="2090" w:hanging="792"/>
      </w:pPr>
    </w:lvl>
    <w:lvl w:ilvl="5">
      <w:start w:val="1"/>
      <w:numFmt w:val="decimal"/>
      <w:lvlText w:val="%1.%2.%3.%4.%5.%6."/>
      <w:lvlJc w:val="left"/>
      <w:pPr>
        <w:ind w:left="2594" w:hanging="936"/>
      </w:pPr>
    </w:lvl>
    <w:lvl w:ilvl="6">
      <w:start w:val="1"/>
      <w:numFmt w:val="decimal"/>
      <w:lvlText w:val="%1.%2.%3.%4.%5.%6.%7."/>
      <w:lvlJc w:val="left"/>
      <w:pPr>
        <w:ind w:left="3098" w:hanging="1080"/>
      </w:pPr>
    </w:lvl>
    <w:lvl w:ilvl="7">
      <w:start w:val="1"/>
      <w:numFmt w:val="decimal"/>
      <w:lvlText w:val="%1.%2.%3.%4.%5.%6.%7.%8."/>
      <w:lvlJc w:val="left"/>
      <w:pPr>
        <w:ind w:left="3602" w:hanging="1224"/>
      </w:pPr>
    </w:lvl>
    <w:lvl w:ilvl="8">
      <w:start w:val="1"/>
      <w:numFmt w:val="decimal"/>
      <w:lvlText w:val="%1.%2.%3.%4.%5.%6.%7.%8.%9."/>
      <w:lvlJc w:val="left"/>
      <w:pPr>
        <w:ind w:left="4178" w:hanging="1440"/>
      </w:pPr>
    </w:lvl>
  </w:abstractNum>
  <w:abstractNum w:abstractNumId="2" w15:restartNumberingAfterBreak="0">
    <w:nsid w:val="24120CD3"/>
    <w:multiLevelType w:val="hybridMultilevel"/>
    <w:tmpl w:val="44B8BC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B841C19"/>
    <w:multiLevelType w:val="hybridMultilevel"/>
    <w:tmpl w:val="D38652D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1275CEE"/>
    <w:multiLevelType w:val="hybridMultilevel"/>
    <w:tmpl w:val="A252C8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2C01DF3"/>
    <w:multiLevelType w:val="hybridMultilevel"/>
    <w:tmpl w:val="5F8ACE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38003216">
    <w:abstractNumId w:val="1"/>
  </w:num>
  <w:num w:numId="2" w16cid:durableId="1250773252">
    <w:abstractNumId w:val="5"/>
  </w:num>
  <w:num w:numId="3" w16cid:durableId="828448218">
    <w:abstractNumId w:val="3"/>
  </w:num>
  <w:num w:numId="4" w16cid:durableId="698698171">
    <w:abstractNumId w:val="4"/>
  </w:num>
  <w:num w:numId="5" w16cid:durableId="713621590">
    <w:abstractNumId w:val="2"/>
  </w:num>
  <w:num w:numId="6" w16cid:durableId="1274752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77011"/>
    <w:rsid w:val="000B5F8E"/>
    <w:rsid w:val="000D6A72"/>
    <w:rsid w:val="00105CA2"/>
    <w:rsid w:val="00195339"/>
    <w:rsid w:val="00292249"/>
    <w:rsid w:val="00292828"/>
    <w:rsid w:val="002B2F95"/>
    <w:rsid w:val="00302D19"/>
    <w:rsid w:val="0030436F"/>
    <w:rsid w:val="00330016"/>
    <w:rsid w:val="0036520A"/>
    <w:rsid w:val="00396664"/>
    <w:rsid w:val="003B67C3"/>
    <w:rsid w:val="00410632"/>
    <w:rsid w:val="004D1173"/>
    <w:rsid w:val="005117BB"/>
    <w:rsid w:val="00512E87"/>
    <w:rsid w:val="005133CE"/>
    <w:rsid w:val="00547C78"/>
    <w:rsid w:val="00575317"/>
    <w:rsid w:val="00575CDD"/>
    <w:rsid w:val="005963DE"/>
    <w:rsid w:val="00597B99"/>
    <w:rsid w:val="005A7841"/>
    <w:rsid w:val="005B6A4D"/>
    <w:rsid w:val="005D0865"/>
    <w:rsid w:val="005F02EE"/>
    <w:rsid w:val="006238AE"/>
    <w:rsid w:val="006A5510"/>
    <w:rsid w:val="006C557A"/>
    <w:rsid w:val="006C566A"/>
    <w:rsid w:val="00754211"/>
    <w:rsid w:val="007B5292"/>
    <w:rsid w:val="007C4587"/>
    <w:rsid w:val="00863D34"/>
    <w:rsid w:val="008F0D18"/>
    <w:rsid w:val="009472A2"/>
    <w:rsid w:val="009B1F7B"/>
    <w:rsid w:val="00A05DFA"/>
    <w:rsid w:val="00A108D7"/>
    <w:rsid w:val="00A978F8"/>
    <w:rsid w:val="00AD2B84"/>
    <w:rsid w:val="00AE1778"/>
    <w:rsid w:val="00AE2296"/>
    <w:rsid w:val="00B25930"/>
    <w:rsid w:val="00B424D4"/>
    <w:rsid w:val="00B55086"/>
    <w:rsid w:val="00B558B2"/>
    <w:rsid w:val="00B75A61"/>
    <w:rsid w:val="00B77483"/>
    <w:rsid w:val="00B93874"/>
    <w:rsid w:val="00BB30FA"/>
    <w:rsid w:val="00BE7471"/>
    <w:rsid w:val="00C85D65"/>
    <w:rsid w:val="00CC06E6"/>
    <w:rsid w:val="00CD5F5F"/>
    <w:rsid w:val="00D103C1"/>
    <w:rsid w:val="00D37AB2"/>
    <w:rsid w:val="00D66A17"/>
    <w:rsid w:val="00D8300E"/>
    <w:rsid w:val="00D8377B"/>
    <w:rsid w:val="00D93E5B"/>
    <w:rsid w:val="00DD20DE"/>
    <w:rsid w:val="00E54A32"/>
    <w:rsid w:val="00EB6593"/>
    <w:rsid w:val="00ED66BB"/>
    <w:rsid w:val="00F04E13"/>
    <w:rsid w:val="00F62EC7"/>
    <w:rsid w:val="00F75501"/>
    <w:rsid w:val="00FD17E5"/>
    <w:rsid w:val="00FE3B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table" w:styleId="Tablaconcuadrcula">
    <w:name w:val="Table Grid"/>
    <w:basedOn w:val="Tablanormal"/>
    <w:uiPriority w:val="39"/>
    <w:rsid w:val="00105CA2"/>
    <w:pPr>
      <w:spacing w:before="240" w:after="120" w:line="276" w:lineRule="auto"/>
      <w:jc w:val="both"/>
    </w:pPr>
    <w:rPr>
      <w:rFonts w:ascii="Arial" w:eastAsia="Arial" w:hAnsi="Arial" w:cs="Arial"/>
      <w:kern w:val="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75A61"/>
    <w:rPr>
      <w:color w:val="467886" w:themeColor="hyperlink"/>
      <w:u w:val="single"/>
    </w:rPr>
  </w:style>
  <w:style w:type="character" w:styleId="Mencinsinresolver">
    <w:name w:val="Unresolved Mention"/>
    <w:basedOn w:val="Fuentedeprrafopredeter"/>
    <w:uiPriority w:val="99"/>
    <w:semiHidden/>
    <w:unhideWhenUsed/>
    <w:rsid w:val="00B75A61"/>
    <w:rPr>
      <w:color w:val="605E5C"/>
      <w:shd w:val="clear" w:color="auto" w:fill="E1DFDD"/>
    </w:rPr>
  </w:style>
  <w:style w:type="table" w:styleId="Tabladelista4-nfasis6">
    <w:name w:val="List Table 4 Accent 6"/>
    <w:basedOn w:val="Tablanormal"/>
    <w:uiPriority w:val="49"/>
    <w:rsid w:val="00CD5F5F"/>
    <w:pPr>
      <w:spacing w:after="0" w:line="240" w:lineRule="auto"/>
    </w:pPr>
    <w:rPr>
      <w:rFonts w:ascii="Arial Narrow" w:eastAsia="Arial Narrow" w:hAnsi="Arial Narrow" w:cs="Times New Roman"/>
      <w:kern w:val="0"/>
      <w:sz w:val="20"/>
      <w:szCs w:val="20"/>
      <w:lang w:eastAsia="es-CO"/>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63992">
      <w:bodyDiv w:val="1"/>
      <w:marLeft w:val="0"/>
      <w:marRight w:val="0"/>
      <w:marTop w:val="0"/>
      <w:marBottom w:val="0"/>
      <w:divBdr>
        <w:top w:val="none" w:sz="0" w:space="0" w:color="auto"/>
        <w:left w:val="none" w:sz="0" w:space="0" w:color="auto"/>
        <w:bottom w:val="none" w:sz="0" w:space="0" w:color="auto"/>
        <w:right w:val="none" w:sz="0" w:space="0" w:color="auto"/>
      </w:divBdr>
    </w:div>
    <w:div w:id="181479955">
      <w:bodyDiv w:val="1"/>
      <w:marLeft w:val="0"/>
      <w:marRight w:val="0"/>
      <w:marTop w:val="0"/>
      <w:marBottom w:val="0"/>
      <w:divBdr>
        <w:top w:val="none" w:sz="0" w:space="0" w:color="auto"/>
        <w:left w:val="none" w:sz="0" w:space="0" w:color="auto"/>
        <w:bottom w:val="none" w:sz="0" w:space="0" w:color="auto"/>
        <w:right w:val="none" w:sz="0" w:space="0" w:color="auto"/>
      </w:divBdr>
    </w:div>
    <w:div w:id="365788275">
      <w:bodyDiv w:val="1"/>
      <w:marLeft w:val="0"/>
      <w:marRight w:val="0"/>
      <w:marTop w:val="0"/>
      <w:marBottom w:val="0"/>
      <w:divBdr>
        <w:top w:val="none" w:sz="0" w:space="0" w:color="auto"/>
        <w:left w:val="none" w:sz="0" w:space="0" w:color="auto"/>
        <w:bottom w:val="none" w:sz="0" w:space="0" w:color="auto"/>
        <w:right w:val="none" w:sz="0" w:space="0" w:color="auto"/>
      </w:divBdr>
    </w:div>
    <w:div w:id="491020683">
      <w:bodyDiv w:val="1"/>
      <w:marLeft w:val="0"/>
      <w:marRight w:val="0"/>
      <w:marTop w:val="0"/>
      <w:marBottom w:val="0"/>
      <w:divBdr>
        <w:top w:val="none" w:sz="0" w:space="0" w:color="auto"/>
        <w:left w:val="none" w:sz="0" w:space="0" w:color="auto"/>
        <w:bottom w:val="none" w:sz="0" w:space="0" w:color="auto"/>
        <w:right w:val="none" w:sz="0" w:space="0" w:color="auto"/>
      </w:divBdr>
    </w:div>
    <w:div w:id="497355100">
      <w:bodyDiv w:val="1"/>
      <w:marLeft w:val="0"/>
      <w:marRight w:val="0"/>
      <w:marTop w:val="0"/>
      <w:marBottom w:val="0"/>
      <w:divBdr>
        <w:top w:val="none" w:sz="0" w:space="0" w:color="auto"/>
        <w:left w:val="none" w:sz="0" w:space="0" w:color="auto"/>
        <w:bottom w:val="none" w:sz="0" w:space="0" w:color="auto"/>
        <w:right w:val="none" w:sz="0" w:space="0" w:color="auto"/>
      </w:divBdr>
    </w:div>
    <w:div w:id="625893284">
      <w:bodyDiv w:val="1"/>
      <w:marLeft w:val="0"/>
      <w:marRight w:val="0"/>
      <w:marTop w:val="0"/>
      <w:marBottom w:val="0"/>
      <w:divBdr>
        <w:top w:val="none" w:sz="0" w:space="0" w:color="auto"/>
        <w:left w:val="none" w:sz="0" w:space="0" w:color="auto"/>
        <w:bottom w:val="none" w:sz="0" w:space="0" w:color="auto"/>
        <w:right w:val="none" w:sz="0" w:space="0" w:color="auto"/>
      </w:divBdr>
    </w:div>
    <w:div w:id="680012636">
      <w:bodyDiv w:val="1"/>
      <w:marLeft w:val="0"/>
      <w:marRight w:val="0"/>
      <w:marTop w:val="0"/>
      <w:marBottom w:val="0"/>
      <w:divBdr>
        <w:top w:val="none" w:sz="0" w:space="0" w:color="auto"/>
        <w:left w:val="none" w:sz="0" w:space="0" w:color="auto"/>
        <w:bottom w:val="none" w:sz="0" w:space="0" w:color="auto"/>
        <w:right w:val="none" w:sz="0" w:space="0" w:color="auto"/>
      </w:divBdr>
    </w:div>
    <w:div w:id="1445074046">
      <w:bodyDiv w:val="1"/>
      <w:marLeft w:val="0"/>
      <w:marRight w:val="0"/>
      <w:marTop w:val="0"/>
      <w:marBottom w:val="0"/>
      <w:divBdr>
        <w:top w:val="none" w:sz="0" w:space="0" w:color="auto"/>
        <w:left w:val="none" w:sz="0" w:space="0" w:color="auto"/>
        <w:bottom w:val="none" w:sz="0" w:space="0" w:color="auto"/>
        <w:right w:val="none" w:sz="0" w:space="0" w:color="auto"/>
      </w:divBdr>
    </w:div>
    <w:div w:id="1451121723">
      <w:bodyDiv w:val="1"/>
      <w:marLeft w:val="0"/>
      <w:marRight w:val="0"/>
      <w:marTop w:val="0"/>
      <w:marBottom w:val="0"/>
      <w:divBdr>
        <w:top w:val="none" w:sz="0" w:space="0" w:color="auto"/>
        <w:left w:val="none" w:sz="0" w:space="0" w:color="auto"/>
        <w:bottom w:val="none" w:sz="0" w:space="0" w:color="auto"/>
        <w:right w:val="none" w:sz="0" w:space="0" w:color="auto"/>
      </w:divBdr>
    </w:div>
    <w:div w:id="1493643863">
      <w:bodyDiv w:val="1"/>
      <w:marLeft w:val="0"/>
      <w:marRight w:val="0"/>
      <w:marTop w:val="0"/>
      <w:marBottom w:val="0"/>
      <w:divBdr>
        <w:top w:val="none" w:sz="0" w:space="0" w:color="auto"/>
        <w:left w:val="none" w:sz="0" w:space="0" w:color="auto"/>
        <w:bottom w:val="none" w:sz="0" w:space="0" w:color="auto"/>
        <w:right w:val="none" w:sz="0" w:space="0" w:color="auto"/>
      </w:divBdr>
    </w:div>
    <w:div w:id="1503086374">
      <w:bodyDiv w:val="1"/>
      <w:marLeft w:val="0"/>
      <w:marRight w:val="0"/>
      <w:marTop w:val="0"/>
      <w:marBottom w:val="0"/>
      <w:divBdr>
        <w:top w:val="none" w:sz="0" w:space="0" w:color="auto"/>
        <w:left w:val="none" w:sz="0" w:space="0" w:color="auto"/>
        <w:bottom w:val="none" w:sz="0" w:space="0" w:color="auto"/>
        <w:right w:val="none" w:sz="0" w:space="0" w:color="auto"/>
      </w:divBdr>
    </w:div>
    <w:div w:id="1523783774">
      <w:bodyDiv w:val="1"/>
      <w:marLeft w:val="0"/>
      <w:marRight w:val="0"/>
      <w:marTop w:val="0"/>
      <w:marBottom w:val="0"/>
      <w:divBdr>
        <w:top w:val="none" w:sz="0" w:space="0" w:color="auto"/>
        <w:left w:val="none" w:sz="0" w:space="0" w:color="auto"/>
        <w:bottom w:val="none" w:sz="0" w:space="0" w:color="auto"/>
        <w:right w:val="none" w:sz="0" w:space="0" w:color="auto"/>
      </w:divBdr>
    </w:div>
    <w:div w:id="1646743548">
      <w:bodyDiv w:val="1"/>
      <w:marLeft w:val="0"/>
      <w:marRight w:val="0"/>
      <w:marTop w:val="0"/>
      <w:marBottom w:val="0"/>
      <w:divBdr>
        <w:top w:val="none" w:sz="0" w:space="0" w:color="auto"/>
        <w:left w:val="none" w:sz="0" w:space="0" w:color="auto"/>
        <w:bottom w:val="none" w:sz="0" w:space="0" w:color="auto"/>
        <w:right w:val="none" w:sz="0" w:space="0" w:color="auto"/>
      </w:divBdr>
    </w:div>
    <w:div w:id="1721317008">
      <w:bodyDiv w:val="1"/>
      <w:marLeft w:val="0"/>
      <w:marRight w:val="0"/>
      <w:marTop w:val="0"/>
      <w:marBottom w:val="0"/>
      <w:divBdr>
        <w:top w:val="none" w:sz="0" w:space="0" w:color="auto"/>
        <w:left w:val="none" w:sz="0" w:space="0" w:color="auto"/>
        <w:bottom w:val="none" w:sz="0" w:space="0" w:color="auto"/>
        <w:right w:val="none" w:sz="0" w:space="0" w:color="auto"/>
      </w:divBdr>
    </w:div>
    <w:div w:id="1850370251">
      <w:bodyDiv w:val="1"/>
      <w:marLeft w:val="0"/>
      <w:marRight w:val="0"/>
      <w:marTop w:val="0"/>
      <w:marBottom w:val="0"/>
      <w:divBdr>
        <w:top w:val="none" w:sz="0" w:space="0" w:color="auto"/>
        <w:left w:val="none" w:sz="0" w:space="0" w:color="auto"/>
        <w:bottom w:val="none" w:sz="0" w:space="0" w:color="auto"/>
        <w:right w:val="none" w:sz="0" w:space="0" w:color="auto"/>
      </w:divBdr>
    </w:div>
    <w:div w:id="1879198467">
      <w:bodyDiv w:val="1"/>
      <w:marLeft w:val="0"/>
      <w:marRight w:val="0"/>
      <w:marTop w:val="0"/>
      <w:marBottom w:val="0"/>
      <w:divBdr>
        <w:top w:val="none" w:sz="0" w:space="0" w:color="auto"/>
        <w:left w:val="none" w:sz="0" w:space="0" w:color="auto"/>
        <w:bottom w:val="none" w:sz="0" w:space="0" w:color="auto"/>
        <w:right w:val="none" w:sz="0" w:space="0" w:color="auto"/>
      </w:divBdr>
    </w:div>
    <w:div w:id="2033602423">
      <w:bodyDiv w:val="1"/>
      <w:marLeft w:val="0"/>
      <w:marRight w:val="0"/>
      <w:marTop w:val="0"/>
      <w:marBottom w:val="0"/>
      <w:divBdr>
        <w:top w:val="none" w:sz="0" w:space="0" w:color="auto"/>
        <w:left w:val="none" w:sz="0" w:space="0" w:color="auto"/>
        <w:bottom w:val="none" w:sz="0" w:space="0" w:color="auto"/>
        <w:right w:val="none" w:sz="0" w:space="0" w:color="auto"/>
      </w:divBdr>
    </w:div>
    <w:div w:id="2043357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1602C2" w:rsidRDefault="00BF11EF" w:rsidP="00BF11EF">
          <w:pPr>
            <w:pStyle w:val="3BE27AEC12FA4DFC9ED36A609EF70256"/>
          </w:pPr>
          <w:r w:rsidRPr="00DD20DE">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1602C2" w:rsidRDefault="00BF11EF" w:rsidP="00BF11EF">
          <w:pPr>
            <w:pStyle w:val="98B72DCB7EA94485A1F5E38625EF7200"/>
          </w:pPr>
          <w:r w:rsidRPr="00DD20DE">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1602C2" w:rsidRDefault="00BF11EF" w:rsidP="00BF11EF">
          <w:pPr>
            <w:pStyle w:val="5592A8CF688C41C6B32CFE8E7692B985"/>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1602C2" w:rsidRDefault="00BF11EF" w:rsidP="00BF11EF">
          <w:pPr>
            <w:pStyle w:val="1A30CA260B14423DB971DE16B7BDA1AA"/>
          </w:pPr>
          <w:r w:rsidRPr="00DD20DE">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1602C2" w:rsidRDefault="00BF11EF" w:rsidP="00BF11EF">
          <w:pPr>
            <w:pStyle w:val="110092479D2E43D89778F72603628337"/>
          </w:pPr>
          <w:r w:rsidRPr="00DD20DE">
            <w:rPr>
              <w:rFonts w:eastAsia="Calibri" w:cstheme="minorHAnsi"/>
              <w:color w:val="666666"/>
              <w:sz w:val="18"/>
              <w:szCs w:val="18"/>
              <w:lang w:val="es-ES"/>
            </w:rPr>
            <w:t>Haga clic o pulse aquí para indicar la ubicación digital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1602C2" w:rsidRDefault="00BF11EF" w:rsidP="00BF11EF">
          <w:pPr>
            <w:pStyle w:val="1F0C7E7419604C5BB18D55BFA84C3848"/>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1602C2" w:rsidRDefault="00BF11EF" w:rsidP="00BF11EF">
          <w:pPr>
            <w:pStyle w:val="152EF001063D484E8E00E20EFC4269AB"/>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1602C2" w:rsidRDefault="00BF11EF" w:rsidP="00BF11EF">
          <w:pPr>
            <w:pStyle w:val="8F9DC2E2DF4748D59BCC64C2BBEA52CF"/>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1602C2" w:rsidRDefault="00BF11EF" w:rsidP="00BF11EF">
          <w:pPr>
            <w:pStyle w:val="EC78BA78638840829F5A40F0740ABC6C"/>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1602C2" w:rsidRDefault="00BF11EF" w:rsidP="00BF11EF">
          <w:pPr>
            <w:pStyle w:val="401A16323CFE441E9437AFB03AB97D9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1602C2" w:rsidRDefault="00BF11EF" w:rsidP="00BF11EF">
          <w:pPr>
            <w:pStyle w:val="8A57AEFB37074A63A7B525AB16FD379A"/>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EB113F0ACC814F63842C12EDBA19549B"/>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D03A8CDDA45C4DB6928457ADFD01C5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pPr>
            <w:pStyle w:val="4D16C1EB1CE749D7BE64B9BD9F4CCF6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pPr>
            <w:pStyle w:val="A3F864595BCB4DBCB979C37E7EAF69AC"/>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pPr>
            <w:pStyle w:val="1E4282EDA42546D999A849772B941DE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pPr>
            <w:pStyle w:val="2CE989F7530146AD8213A4F365EF98B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58071E4E09DB40F59E1BFB3077F8B003"/>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pPr>
            <w:pStyle w:val="69869538669348FB88B5AD64218540DC"/>
          </w:pPr>
          <w:r w:rsidRPr="00DD20DE">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F11EF" w:rsidRDefault="00BF11EF" w:rsidP="00BF11EF">
          <w:pPr>
            <w:pStyle w:val="C1229ADD2930476889E910AD249F584C1"/>
          </w:pPr>
          <w:r w:rsidRPr="00DD20DE">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1F7DBD"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7FA9F360A0A04DB19FEB90D5F42ED565"/>
        <w:category>
          <w:name w:val="General"/>
          <w:gallery w:val="placeholder"/>
        </w:category>
        <w:types>
          <w:type w:val="bbPlcHdr"/>
        </w:types>
        <w:behaviors>
          <w:behavior w:val="content"/>
        </w:behaviors>
        <w:guid w:val="{85FA9FFE-6072-4292-A365-BB293D5DEF7B}"/>
      </w:docPartPr>
      <w:docPartBody>
        <w:p w:rsidR="001F7DBD" w:rsidRDefault="00BF11EF" w:rsidP="00BF11EF">
          <w:pPr>
            <w:pStyle w:val="7FA9F360A0A04DB19FEB90D5F42ED5651"/>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1F7DBD"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1F7DBD"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1F7DBD"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2AE8C7FE3A86492EABE9DD377E882B7C"/>
        <w:category>
          <w:name w:val="General"/>
          <w:gallery w:val="placeholder"/>
        </w:category>
        <w:types>
          <w:type w:val="bbPlcHdr"/>
        </w:types>
        <w:behaviors>
          <w:behavior w:val="content"/>
        </w:behaviors>
        <w:guid w:val="{87C428AC-5536-4986-AF43-0B8C4A0A8413}"/>
      </w:docPartPr>
      <w:docPartBody>
        <w:p w:rsidR="007A334E" w:rsidRDefault="001F7DBD" w:rsidP="001F7DBD">
          <w:pPr>
            <w:pStyle w:val="2AE8C7FE3A86492EABE9DD377E882B7C"/>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962905A215984AE7885149DEEE4F7D6F"/>
        <w:category>
          <w:name w:val="General"/>
          <w:gallery w:val="placeholder"/>
        </w:category>
        <w:types>
          <w:type w:val="bbPlcHdr"/>
        </w:types>
        <w:behaviors>
          <w:behavior w:val="content"/>
        </w:behaviors>
        <w:guid w:val="{73B30A99-6379-4871-B09C-18700EB3E501}"/>
      </w:docPartPr>
      <w:docPartBody>
        <w:p w:rsidR="007A334E" w:rsidRDefault="001F7DBD" w:rsidP="001F7DBD">
          <w:pPr>
            <w:pStyle w:val="962905A215984AE7885149DEEE4F7D6F"/>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4F5E199F59934E7288A55952BCE39FA8"/>
        <w:category>
          <w:name w:val="General"/>
          <w:gallery w:val="placeholder"/>
        </w:category>
        <w:types>
          <w:type w:val="bbPlcHdr"/>
        </w:types>
        <w:behaviors>
          <w:behavior w:val="content"/>
        </w:behaviors>
        <w:guid w:val="{E01DB4E6-9400-4C12-87DA-39F37CC7D845}"/>
      </w:docPartPr>
      <w:docPartBody>
        <w:p w:rsidR="007A334E" w:rsidRDefault="001F7DBD" w:rsidP="001F7DBD">
          <w:pPr>
            <w:pStyle w:val="4F5E199F59934E7288A55952BCE39FA8"/>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FDF671025F774C4A86627D02C24B6BF4"/>
        <w:category>
          <w:name w:val="General"/>
          <w:gallery w:val="placeholder"/>
        </w:category>
        <w:types>
          <w:type w:val="bbPlcHdr"/>
        </w:types>
        <w:behaviors>
          <w:behavior w:val="content"/>
        </w:behaviors>
        <w:guid w:val="{9F51BC87-A69C-47A2-AE21-B7A9119A8CD1}"/>
      </w:docPartPr>
      <w:docPartBody>
        <w:p w:rsidR="007A334E" w:rsidRDefault="001F7DBD" w:rsidP="001F7DBD">
          <w:pPr>
            <w:pStyle w:val="FDF671025F774C4A86627D02C24B6BF4"/>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ingresar 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96C936B36B0A4053910FE74BE004D328"/>
        <w:category>
          <w:name w:val="General"/>
          <w:gallery w:val="placeholder"/>
        </w:category>
        <w:types>
          <w:type w:val="bbPlcHdr"/>
        </w:types>
        <w:behaviors>
          <w:behavior w:val="content"/>
        </w:behaviors>
        <w:guid w:val="{F68C2FEC-4E4D-412E-8F60-C8EB7E30BF8D}"/>
      </w:docPartPr>
      <w:docPartBody>
        <w:p w:rsidR="007A334E" w:rsidRDefault="001F7DBD" w:rsidP="001F7DBD">
          <w:pPr>
            <w:pStyle w:val="96C936B36B0A4053910FE74BE004D328"/>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el teléfono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75F9247DB4804B099880B1723AC60C59"/>
        <w:category>
          <w:name w:val="General"/>
          <w:gallery w:val="placeholder"/>
        </w:category>
        <w:types>
          <w:type w:val="bbPlcHdr"/>
        </w:types>
        <w:behaviors>
          <w:behavior w:val="content"/>
        </w:behaviors>
        <w:guid w:val="{4D34E2F0-7F95-45D5-B7D3-D58A7B454ED4}"/>
      </w:docPartPr>
      <w:docPartBody>
        <w:p w:rsidR="007A334E" w:rsidRDefault="001F7DBD" w:rsidP="001F7DBD">
          <w:pPr>
            <w:pStyle w:val="75F9247DB4804B099880B1723AC60C59"/>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7FA7FF79FD9046AB86B177F6EE116512"/>
        <w:category>
          <w:name w:val="General"/>
          <w:gallery w:val="placeholder"/>
        </w:category>
        <w:types>
          <w:type w:val="bbPlcHdr"/>
        </w:types>
        <w:behaviors>
          <w:behavior w:val="content"/>
        </w:behaviors>
        <w:guid w:val="{5582D518-B1EB-4560-8CC9-923CC018BF21}"/>
      </w:docPartPr>
      <w:docPartBody>
        <w:p w:rsidR="007A334E" w:rsidRDefault="001F7DBD" w:rsidP="001F7DBD">
          <w:pPr>
            <w:pStyle w:val="7FA7FF79FD9046AB86B177F6EE116512"/>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la dirección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93759232273E47B7889D3719812AD7E6"/>
        <w:category>
          <w:name w:val="General"/>
          <w:gallery w:val="placeholder"/>
        </w:category>
        <w:types>
          <w:type w:val="bbPlcHdr"/>
        </w:types>
        <w:behaviors>
          <w:behavior w:val="content"/>
        </w:behaviors>
        <w:guid w:val="{004E07F2-EA86-4110-90EA-C10CBA6A2103}"/>
      </w:docPartPr>
      <w:docPartBody>
        <w:p w:rsidR="007A334E" w:rsidRDefault="001F7DBD" w:rsidP="001F7DBD">
          <w:pPr>
            <w:pStyle w:val="93759232273E47B7889D3719812AD7E6"/>
          </w:pPr>
          <w:r w:rsidRPr="00DD20DE">
            <w:rPr>
              <w:rFonts w:eastAsia="Calibri" w:cstheme="minorHAnsi"/>
              <w:color w:val="666666"/>
              <w:sz w:val="18"/>
              <w:szCs w:val="18"/>
              <w:lang w:val="es-ES"/>
            </w:rPr>
            <w:t>Haga clic o pulse aquí para indicar el nombre de origen del indicador.</w:t>
          </w:r>
        </w:p>
      </w:docPartBody>
    </w:docPart>
    <w:docPart>
      <w:docPartPr>
        <w:name w:val="F16FD5F9C787446F81FE694E34361DFE"/>
        <w:category>
          <w:name w:val="General"/>
          <w:gallery w:val="placeholder"/>
        </w:category>
        <w:types>
          <w:type w:val="bbPlcHdr"/>
        </w:types>
        <w:behaviors>
          <w:behavior w:val="content"/>
        </w:behaviors>
        <w:guid w:val="{B0EEFECB-700B-42E4-B0F6-D3A5230903C3}"/>
      </w:docPartPr>
      <w:docPartBody>
        <w:p w:rsidR="007A334E" w:rsidRDefault="001F7DBD" w:rsidP="001F7DBD">
          <w:pPr>
            <w:pStyle w:val="F16FD5F9C787446F81FE694E34361DFE"/>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CC48F09B75AB4769BE55B9EECB20F715"/>
        <w:category>
          <w:name w:val="General"/>
          <w:gallery w:val="placeholder"/>
        </w:category>
        <w:types>
          <w:type w:val="bbPlcHdr"/>
        </w:types>
        <w:behaviors>
          <w:behavior w:val="content"/>
        </w:behaviors>
        <w:guid w:val="{0B1BB897-A836-432C-9CBD-BACC092761BE}"/>
      </w:docPartPr>
      <w:docPartBody>
        <w:p w:rsidR="007A334E" w:rsidRDefault="001F7DBD" w:rsidP="001F7DBD">
          <w:pPr>
            <w:pStyle w:val="CC48F09B75AB4769BE55B9EECB20F715"/>
          </w:pPr>
          <w:r w:rsidRPr="00DD20DE">
            <w:rPr>
              <w:rFonts w:eastAsia="Calibri" w:cstheme="minorHAnsi"/>
              <w:color w:val="666666"/>
              <w:sz w:val="18"/>
              <w:szCs w:val="18"/>
              <w:lang w:val="es-ES"/>
            </w:rPr>
            <w:t>Haga clic o pulse aquí para indicar la ubicación física del indicador.</w:t>
          </w:r>
        </w:p>
      </w:docPartBody>
    </w:docPart>
    <w:docPart>
      <w:docPartPr>
        <w:name w:val="C583D3C8CB0147AB9D897F5F1D495840"/>
        <w:category>
          <w:name w:val="General"/>
          <w:gallery w:val="placeholder"/>
        </w:category>
        <w:types>
          <w:type w:val="bbPlcHdr"/>
        </w:types>
        <w:behaviors>
          <w:behavior w:val="content"/>
        </w:behaviors>
        <w:guid w:val="{24ED1426-CA6D-46CA-8B59-BD332BDF6814}"/>
      </w:docPartPr>
      <w:docPartBody>
        <w:p w:rsidR="007A334E" w:rsidRDefault="001F7DBD" w:rsidP="001F7DBD">
          <w:pPr>
            <w:pStyle w:val="C583D3C8CB0147AB9D897F5F1D495840"/>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371E4106B90A4DBBADF10DFD6608FB9E"/>
        <w:category>
          <w:name w:val="General"/>
          <w:gallery w:val="placeholder"/>
        </w:category>
        <w:types>
          <w:type w:val="bbPlcHdr"/>
        </w:types>
        <w:behaviors>
          <w:behavior w:val="content"/>
        </w:behaviors>
        <w:guid w:val="{0192F196-A5DB-4353-BA88-07FAE521F217}"/>
      </w:docPartPr>
      <w:docPartBody>
        <w:p w:rsidR="007A334E" w:rsidRDefault="001F7DBD" w:rsidP="001F7DBD">
          <w:pPr>
            <w:pStyle w:val="371E4106B90A4DBBADF10DFD6608FB9E"/>
          </w:pPr>
          <w:r w:rsidRPr="00DD20DE">
            <w:rPr>
              <w:rFonts w:eastAsia="Calibri" w:cstheme="minorHAnsi"/>
              <w:color w:val="666666"/>
              <w:sz w:val="18"/>
              <w:szCs w:val="18"/>
              <w:lang w:val="es-ES"/>
            </w:rPr>
            <w:t>Haga clic o pulse aquí para indicar la ubicación digital del indicador.</w:t>
          </w:r>
        </w:p>
      </w:docPartBody>
    </w:docPart>
    <w:docPart>
      <w:docPartPr>
        <w:name w:val="E2752B97293E4177A5EB81BA5C5B0B5A"/>
        <w:category>
          <w:name w:val="General"/>
          <w:gallery w:val="placeholder"/>
        </w:category>
        <w:types>
          <w:type w:val="bbPlcHdr"/>
        </w:types>
        <w:behaviors>
          <w:behavior w:val="content"/>
        </w:behaviors>
        <w:guid w:val="{35F30071-1666-4048-B6F3-6EEF1F2381E0}"/>
      </w:docPartPr>
      <w:docPartBody>
        <w:p w:rsidR="007A334E" w:rsidRDefault="001F7DBD" w:rsidP="001F7DBD">
          <w:pPr>
            <w:pStyle w:val="E2752B97293E4177A5EB81BA5C5B0B5A"/>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1602C2"/>
    <w:rsid w:val="001B38AF"/>
    <w:rsid w:val="001F7DBD"/>
    <w:rsid w:val="00292249"/>
    <w:rsid w:val="0030436F"/>
    <w:rsid w:val="00363162"/>
    <w:rsid w:val="00512E87"/>
    <w:rsid w:val="005655ED"/>
    <w:rsid w:val="005C3F03"/>
    <w:rsid w:val="006C673C"/>
    <w:rsid w:val="00726773"/>
    <w:rsid w:val="00754211"/>
    <w:rsid w:val="0079679F"/>
    <w:rsid w:val="007A334E"/>
    <w:rsid w:val="007A3F09"/>
    <w:rsid w:val="00A05DFA"/>
    <w:rsid w:val="00BF11EF"/>
    <w:rsid w:val="00C85D65"/>
    <w:rsid w:val="00D37AB2"/>
    <w:rsid w:val="00D67E92"/>
    <w:rsid w:val="00D932EC"/>
    <w:rsid w:val="00E26029"/>
    <w:rsid w:val="00F04E13"/>
    <w:rsid w:val="00F62EC7"/>
    <w:rsid w:val="00F75501"/>
    <w:rsid w:val="00FF52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F11EF"/>
    <w:rPr>
      <w:color w:val="666666"/>
    </w:rPr>
  </w:style>
  <w:style w:type="paragraph" w:customStyle="1" w:styleId="FB2552EA81744637A1A821CDCF287AC4">
    <w:name w:val="FB2552EA81744637A1A821CDCF287AC4"/>
    <w:rsid w:val="00BF11EF"/>
  </w:style>
  <w:style w:type="paragraph" w:customStyle="1" w:styleId="5C5C1144A6624E3CAE0E29EB015F8B95">
    <w:name w:val="5C5C1144A6624E3CAE0E29EB015F8B95"/>
    <w:rsid w:val="00BF11EF"/>
  </w:style>
  <w:style w:type="paragraph" w:customStyle="1" w:styleId="7FA9F360A0A04DB19FEB90D5F42ED565">
    <w:name w:val="7FA9F360A0A04DB19FEB90D5F42ED565"/>
    <w:rsid w:val="00BF11EF"/>
  </w:style>
  <w:style w:type="paragraph" w:customStyle="1" w:styleId="B2986A0066CC47CCB6D1C45C68A058AA">
    <w:name w:val="B2986A0066CC47CCB6D1C45C68A058AA"/>
    <w:rsid w:val="00BF11EF"/>
  </w:style>
  <w:style w:type="paragraph" w:customStyle="1" w:styleId="FFBB09F0661144FD831B89F1F57313E6">
    <w:name w:val="FFBB09F0661144FD831B89F1F57313E6"/>
    <w:rsid w:val="00BF11EF"/>
  </w:style>
  <w:style w:type="paragraph" w:customStyle="1" w:styleId="6824ADC50B354010BB79C1CF937D7D83">
    <w:name w:val="6824ADC50B354010BB79C1CF937D7D83"/>
    <w:rsid w:val="00BF11EF"/>
  </w:style>
  <w:style w:type="paragraph" w:customStyle="1" w:styleId="02AA4AEB26074054B9CA4E260CC17A00">
    <w:name w:val="02AA4AEB26074054B9CA4E260CC17A00"/>
    <w:rsid w:val="00BF11EF"/>
  </w:style>
  <w:style w:type="paragraph" w:customStyle="1" w:styleId="0EF2CCC5FECF4FE4A24FFD32D77FB69D">
    <w:name w:val="0EF2CCC5FECF4FE4A24FFD32D77FB69D"/>
    <w:rsid w:val="00BF11EF"/>
  </w:style>
  <w:style w:type="paragraph" w:customStyle="1" w:styleId="DAFDDD64A16B4167969A4D6E3BBBCAE6">
    <w:name w:val="DAFDDD64A16B4167969A4D6E3BBBCAE6"/>
    <w:rsid w:val="00BF11EF"/>
  </w:style>
  <w:style w:type="paragraph" w:customStyle="1" w:styleId="9C54C0F3149C43628C3B47657E12D8E4">
    <w:name w:val="9C54C0F3149C43628C3B47657E12D8E4"/>
    <w:rsid w:val="00BF11EF"/>
  </w:style>
  <w:style w:type="paragraph" w:customStyle="1" w:styleId="05CF1FC4C749440EB511F18E81D32AC2">
    <w:name w:val="05CF1FC4C749440EB511F18E81D32AC2"/>
    <w:rsid w:val="00BF11EF"/>
  </w:style>
  <w:style w:type="paragraph" w:customStyle="1" w:styleId="E31395CADA5D4BFE986D8BF3C49A8E39">
    <w:name w:val="E31395CADA5D4BFE986D8BF3C49A8E39"/>
    <w:rsid w:val="00BF11EF"/>
  </w:style>
  <w:style w:type="paragraph" w:customStyle="1" w:styleId="4FC76554E21741948BD93265B3DF774A">
    <w:name w:val="4FC76554E21741948BD93265B3DF774A"/>
    <w:rsid w:val="00BF11EF"/>
  </w:style>
  <w:style w:type="paragraph" w:customStyle="1" w:styleId="72D76CDDEBEF4DE3A35864270D328A01">
    <w:name w:val="72D76CDDEBEF4DE3A35864270D328A01"/>
    <w:rsid w:val="00BF11EF"/>
  </w:style>
  <w:style w:type="paragraph" w:customStyle="1" w:styleId="051FAAC3693D496986A4CE0154280DDB">
    <w:name w:val="051FAAC3693D496986A4CE0154280DDB"/>
    <w:rsid w:val="00BF11EF"/>
  </w:style>
  <w:style w:type="paragraph" w:customStyle="1" w:styleId="CF255E2B2936472CAF96846B2AEAD8C6">
    <w:name w:val="CF255E2B2936472CAF96846B2AEAD8C6"/>
    <w:rsid w:val="00BF11EF"/>
  </w:style>
  <w:style w:type="paragraph" w:customStyle="1" w:styleId="6997509437454F9680974D30E3B45C04">
    <w:name w:val="6997509437454F9680974D30E3B45C04"/>
    <w:rsid w:val="00BF11EF"/>
  </w:style>
  <w:style w:type="paragraph" w:customStyle="1" w:styleId="2407BB23B52A4E6E985D21CA8E70B6F5">
    <w:name w:val="2407BB23B52A4E6E985D21CA8E70B6F5"/>
    <w:rsid w:val="00BF11EF"/>
  </w:style>
  <w:style w:type="paragraph" w:customStyle="1" w:styleId="FC6E50DF2D8B4D56B653C8B35465B4E3">
    <w:name w:val="FC6E50DF2D8B4D56B653C8B35465B4E3"/>
    <w:rsid w:val="00BF11EF"/>
  </w:style>
  <w:style w:type="paragraph" w:customStyle="1" w:styleId="71BAA9ADE0344944AF6B6B8C115F3FB1">
    <w:name w:val="71BAA9ADE0344944AF6B6B8C115F3FB1"/>
    <w:rsid w:val="00BF11EF"/>
  </w:style>
  <w:style w:type="paragraph" w:customStyle="1" w:styleId="9183460EE2474FE388CE9F7A0141E9DE">
    <w:name w:val="9183460EE2474FE388CE9F7A0141E9DE"/>
    <w:rsid w:val="00BF11EF"/>
  </w:style>
  <w:style w:type="paragraph" w:customStyle="1" w:styleId="8430512A7284402CAD7DD9ED5AC24AB3">
    <w:name w:val="8430512A7284402CAD7DD9ED5AC24AB3"/>
    <w:rsid w:val="00BF11EF"/>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98B72DCB7EA94485A1F5E38625EF7200">
    <w:name w:val="98B72DCB7EA94485A1F5E38625EF7200"/>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7FA9F360A0A04DB19FEB90D5F42ED5651">
    <w:name w:val="7FA9F360A0A04DB19FEB90D5F42ED56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CF255E2B2936472CAF96846B2AEAD8C61">
    <w:name w:val="CF255E2B2936472CAF96846B2AEAD8C61"/>
    <w:rsid w:val="00BF11EF"/>
    <w:pPr>
      <w:spacing w:line="259" w:lineRule="auto"/>
    </w:pPr>
    <w:rPr>
      <w:rFonts w:eastAsiaTheme="minorHAnsi"/>
      <w:sz w:val="22"/>
      <w:szCs w:val="22"/>
      <w:lang w:eastAsia="en-US"/>
    </w:rPr>
  </w:style>
  <w:style w:type="paragraph" w:customStyle="1" w:styleId="6997509437454F9680974D30E3B45C041">
    <w:name w:val="6997509437454F9680974D30E3B45C041"/>
    <w:rsid w:val="00BF11EF"/>
    <w:pPr>
      <w:spacing w:line="259" w:lineRule="auto"/>
    </w:pPr>
    <w:rPr>
      <w:rFonts w:eastAsiaTheme="minorHAnsi"/>
      <w:sz w:val="22"/>
      <w:szCs w:val="22"/>
      <w:lang w:eastAsia="en-US"/>
    </w:rPr>
  </w:style>
  <w:style w:type="paragraph" w:customStyle="1" w:styleId="2407BB23B52A4E6E985D21CA8E70B6F51">
    <w:name w:val="2407BB23B52A4E6E985D21CA8E70B6F51"/>
    <w:rsid w:val="00BF11EF"/>
    <w:pPr>
      <w:spacing w:line="259" w:lineRule="auto"/>
    </w:pPr>
    <w:rPr>
      <w:rFonts w:eastAsiaTheme="minorHAnsi"/>
      <w:sz w:val="22"/>
      <w:szCs w:val="22"/>
      <w:lang w:eastAsia="en-US"/>
    </w:rPr>
  </w:style>
  <w:style w:type="paragraph" w:customStyle="1" w:styleId="FC6E50DF2D8B4D56B653C8B35465B4E31">
    <w:name w:val="FC6E50DF2D8B4D56B653C8B35465B4E31"/>
    <w:rsid w:val="00BF11EF"/>
    <w:pPr>
      <w:spacing w:line="259" w:lineRule="auto"/>
    </w:pPr>
    <w:rPr>
      <w:rFonts w:eastAsiaTheme="minorHAnsi"/>
      <w:sz w:val="22"/>
      <w:szCs w:val="22"/>
      <w:lang w:eastAsia="en-US"/>
    </w:rPr>
  </w:style>
  <w:style w:type="paragraph" w:customStyle="1" w:styleId="71BAA9ADE0344944AF6B6B8C115F3FB11">
    <w:name w:val="71BAA9ADE0344944AF6B6B8C115F3FB11"/>
    <w:rsid w:val="00BF11EF"/>
    <w:pPr>
      <w:spacing w:line="259" w:lineRule="auto"/>
    </w:pPr>
    <w:rPr>
      <w:rFonts w:eastAsiaTheme="minorHAnsi"/>
      <w:sz w:val="22"/>
      <w:szCs w:val="22"/>
      <w:lang w:eastAsia="en-US"/>
    </w:rPr>
  </w:style>
  <w:style w:type="paragraph" w:customStyle="1" w:styleId="9183460EE2474FE388CE9F7A0141E9DE1">
    <w:name w:val="9183460EE2474FE388CE9F7A0141E9DE1"/>
    <w:rsid w:val="00BF11EF"/>
    <w:pPr>
      <w:spacing w:line="259" w:lineRule="auto"/>
    </w:pPr>
    <w:rPr>
      <w:rFonts w:eastAsiaTheme="minorHAnsi"/>
      <w:sz w:val="22"/>
      <w:szCs w:val="22"/>
      <w:lang w:eastAsia="en-US"/>
    </w:rPr>
  </w:style>
  <w:style w:type="paragraph" w:customStyle="1" w:styleId="8430512A7284402CAD7DD9ED5AC24AB31">
    <w:name w:val="8430512A7284402CAD7DD9ED5AC24AB3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8F9DC2E2DF4748D59BCC64C2BBEA52CF">
    <w:name w:val="8F9DC2E2DF4748D59BCC64C2BBEA52CF"/>
    <w:rsid w:val="00BF11EF"/>
    <w:pPr>
      <w:spacing w:line="259" w:lineRule="auto"/>
    </w:pPr>
    <w:rPr>
      <w:rFonts w:eastAsiaTheme="minorHAnsi"/>
      <w:sz w:val="22"/>
      <w:szCs w:val="22"/>
      <w:lang w:eastAsia="en-US"/>
    </w:rPr>
  </w:style>
  <w:style w:type="paragraph" w:customStyle="1" w:styleId="C1229ADD2930476889E910AD249F584C1">
    <w:name w:val="C1229ADD2930476889E910AD249F584C1"/>
    <w:rsid w:val="00BF11EF"/>
    <w:pPr>
      <w:spacing w:line="259" w:lineRule="auto"/>
    </w:pPr>
    <w:rPr>
      <w:rFonts w:eastAsiaTheme="minorHAnsi"/>
      <w:sz w:val="22"/>
      <w:szCs w:val="22"/>
      <w:lang w:eastAsia="en-US"/>
    </w:rPr>
  </w:style>
  <w:style w:type="paragraph" w:customStyle="1" w:styleId="8A57AEFB37074A63A7B525AB16FD379A">
    <w:name w:val="8A57AEFB37074A63A7B525AB16FD379A"/>
    <w:rsid w:val="00BF11EF"/>
    <w:pPr>
      <w:spacing w:line="259" w:lineRule="auto"/>
    </w:pPr>
    <w:rPr>
      <w:rFonts w:eastAsiaTheme="minorHAnsi"/>
      <w:sz w:val="22"/>
      <w:szCs w:val="22"/>
      <w:lang w:eastAsia="en-US"/>
    </w:rPr>
  </w:style>
  <w:style w:type="paragraph" w:customStyle="1" w:styleId="EC78BA78638840829F5A40F0740ABC6C">
    <w:name w:val="EC78BA78638840829F5A40F0740ABC6C"/>
    <w:rsid w:val="00BF11EF"/>
    <w:pPr>
      <w:spacing w:line="259" w:lineRule="auto"/>
    </w:pPr>
    <w:rPr>
      <w:rFonts w:eastAsiaTheme="minorHAnsi"/>
      <w:sz w:val="22"/>
      <w:szCs w:val="22"/>
      <w:lang w:eastAsia="en-US"/>
    </w:rPr>
  </w:style>
  <w:style w:type="paragraph" w:customStyle="1" w:styleId="401A16323CFE441E9437AFB03AB97D95">
    <w:name w:val="401A16323CFE441E9437AFB03AB97D95"/>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EC5C9935F7244C13A95294C6484BF31F2">
    <w:name w:val="EC5C9935F7244C13A95294C6484BF31F2"/>
    <w:rsid w:val="005C3F03"/>
    <w:pPr>
      <w:spacing w:line="259" w:lineRule="auto"/>
    </w:pPr>
    <w:rPr>
      <w:rFonts w:eastAsiaTheme="minorHAnsi"/>
      <w:sz w:val="22"/>
      <w:szCs w:val="22"/>
      <w:lang w:eastAsia="en-US"/>
    </w:rPr>
  </w:style>
  <w:style w:type="paragraph" w:customStyle="1" w:styleId="4694201BBDBD40378287A936038BB6442">
    <w:name w:val="4694201BBDBD40378287A936038BB6442"/>
    <w:rsid w:val="005C3F03"/>
    <w:pPr>
      <w:spacing w:line="259" w:lineRule="auto"/>
    </w:pPr>
    <w:rPr>
      <w:rFonts w:eastAsiaTheme="minorHAnsi"/>
      <w:sz w:val="22"/>
      <w:szCs w:val="22"/>
      <w:lang w:eastAsia="en-US"/>
    </w:rPr>
  </w:style>
  <w:style w:type="paragraph" w:customStyle="1" w:styleId="978B8118E7F14F1A88B0F1D8374F8A872">
    <w:name w:val="978B8118E7F14F1A88B0F1D8374F8A872"/>
    <w:rsid w:val="005C3F03"/>
    <w:pPr>
      <w:spacing w:line="259" w:lineRule="auto"/>
    </w:pPr>
    <w:rPr>
      <w:rFonts w:eastAsiaTheme="minorHAnsi"/>
      <w:sz w:val="22"/>
      <w:szCs w:val="22"/>
      <w:lang w:eastAsia="en-US"/>
    </w:rPr>
  </w:style>
  <w:style w:type="paragraph" w:customStyle="1" w:styleId="AC213C9474184BF1B005AB5ED35E2CC82">
    <w:name w:val="AC213C9474184BF1B005AB5ED35E2CC82"/>
    <w:rsid w:val="005C3F03"/>
    <w:pPr>
      <w:spacing w:line="259" w:lineRule="auto"/>
    </w:pPr>
    <w:rPr>
      <w:rFonts w:eastAsiaTheme="minorHAnsi"/>
      <w:sz w:val="22"/>
      <w:szCs w:val="22"/>
      <w:lang w:eastAsia="en-US"/>
    </w:rPr>
  </w:style>
  <w:style w:type="paragraph" w:customStyle="1" w:styleId="9021890809594A5FB1B561CC4AA104812">
    <w:name w:val="9021890809594A5FB1B561CC4AA104812"/>
    <w:rsid w:val="005C3F03"/>
    <w:pPr>
      <w:spacing w:line="259" w:lineRule="auto"/>
    </w:pPr>
    <w:rPr>
      <w:rFonts w:eastAsiaTheme="minorHAnsi"/>
      <w:sz w:val="22"/>
      <w:szCs w:val="22"/>
      <w:lang w:eastAsia="en-US"/>
    </w:rPr>
  </w:style>
  <w:style w:type="paragraph" w:customStyle="1" w:styleId="552CFB2EED32452E80CF132A7F4856642">
    <w:name w:val="552CFB2EED32452E80CF132A7F4856642"/>
    <w:rsid w:val="005C3F03"/>
    <w:pPr>
      <w:spacing w:line="259" w:lineRule="auto"/>
    </w:pPr>
    <w:rPr>
      <w:rFonts w:eastAsiaTheme="minorHAnsi"/>
      <w:sz w:val="22"/>
      <w:szCs w:val="22"/>
      <w:lang w:eastAsia="en-US"/>
    </w:rPr>
  </w:style>
  <w:style w:type="paragraph" w:customStyle="1" w:styleId="30627D7362FD4523B6A090E45AD53B392">
    <w:name w:val="30627D7362FD4523B6A090E45AD53B392"/>
    <w:rsid w:val="005C3F03"/>
    <w:pPr>
      <w:spacing w:line="259" w:lineRule="auto"/>
    </w:pPr>
    <w:rPr>
      <w:rFonts w:eastAsiaTheme="minorHAnsi"/>
      <w:sz w:val="22"/>
      <w:szCs w:val="22"/>
      <w:lang w:eastAsia="en-US"/>
    </w:rPr>
  </w:style>
  <w:style w:type="paragraph" w:customStyle="1" w:styleId="3BE27AEC12FA4DFC9ED36A609EF702562">
    <w:name w:val="3BE27AEC12FA4DFC9ED36A609EF702562"/>
    <w:rsid w:val="005C3F03"/>
    <w:pPr>
      <w:spacing w:line="259" w:lineRule="auto"/>
    </w:pPr>
    <w:rPr>
      <w:rFonts w:eastAsiaTheme="minorHAnsi"/>
      <w:sz w:val="22"/>
      <w:szCs w:val="22"/>
      <w:lang w:eastAsia="en-US"/>
    </w:rPr>
  </w:style>
  <w:style w:type="paragraph" w:customStyle="1" w:styleId="5DAAFE4A7B1246A58211E0D8494F92182">
    <w:name w:val="5DAAFE4A7B1246A58211E0D8494F92182"/>
    <w:rsid w:val="005C3F03"/>
    <w:pPr>
      <w:spacing w:line="259" w:lineRule="auto"/>
    </w:pPr>
    <w:rPr>
      <w:rFonts w:eastAsiaTheme="minorHAnsi"/>
      <w:sz w:val="22"/>
      <w:szCs w:val="22"/>
      <w:lang w:eastAsia="en-US"/>
    </w:rPr>
  </w:style>
  <w:style w:type="paragraph" w:customStyle="1" w:styleId="98B72DCB7EA94485A1F5E38625EF72002">
    <w:name w:val="98B72DCB7EA94485A1F5E38625EF72002"/>
    <w:rsid w:val="005C3F03"/>
    <w:pPr>
      <w:spacing w:line="259" w:lineRule="auto"/>
    </w:pPr>
    <w:rPr>
      <w:rFonts w:eastAsiaTheme="minorHAnsi"/>
      <w:sz w:val="22"/>
      <w:szCs w:val="22"/>
      <w:lang w:eastAsia="en-US"/>
    </w:rPr>
  </w:style>
  <w:style w:type="paragraph" w:customStyle="1" w:styleId="6A9D2F96818B47688DB6AB67E3E92E4C2">
    <w:name w:val="6A9D2F96818B47688DB6AB67E3E92E4C2"/>
    <w:rsid w:val="005C3F03"/>
    <w:pPr>
      <w:spacing w:line="259" w:lineRule="auto"/>
    </w:pPr>
    <w:rPr>
      <w:rFonts w:eastAsiaTheme="minorHAnsi"/>
      <w:sz w:val="22"/>
      <w:szCs w:val="22"/>
      <w:lang w:eastAsia="en-US"/>
    </w:rPr>
  </w:style>
  <w:style w:type="paragraph" w:customStyle="1" w:styleId="5592A8CF688C41C6B32CFE8E7692B9852">
    <w:name w:val="5592A8CF688C41C6B32CFE8E7692B9852"/>
    <w:rsid w:val="005C3F03"/>
    <w:pPr>
      <w:spacing w:line="259" w:lineRule="auto"/>
    </w:pPr>
    <w:rPr>
      <w:rFonts w:eastAsiaTheme="minorHAnsi"/>
      <w:sz w:val="22"/>
      <w:szCs w:val="22"/>
      <w:lang w:eastAsia="en-US"/>
    </w:rPr>
  </w:style>
  <w:style w:type="paragraph" w:customStyle="1" w:styleId="C2215B274AF1478EB37CCEFE11B672551">
    <w:name w:val="C2215B274AF1478EB37CCEFE11B672551"/>
    <w:rsid w:val="005C3F03"/>
    <w:pPr>
      <w:spacing w:line="259" w:lineRule="auto"/>
    </w:pPr>
    <w:rPr>
      <w:rFonts w:eastAsiaTheme="minorHAnsi"/>
      <w:sz w:val="22"/>
      <w:szCs w:val="22"/>
      <w:lang w:eastAsia="en-US"/>
    </w:rPr>
  </w:style>
  <w:style w:type="paragraph" w:customStyle="1" w:styleId="43400B48A95F41EBA5C79B7A20B5ED001">
    <w:name w:val="43400B48A95F41EBA5C79B7A20B5ED001"/>
    <w:rsid w:val="005C3F03"/>
    <w:pPr>
      <w:spacing w:line="259" w:lineRule="auto"/>
    </w:pPr>
    <w:rPr>
      <w:rFonts w:eastAsiaTheme="minorHAnsi"/>
      <w:sz w:val="22"/>
      <w:szCs w:val="22"/>
      <w:lang w:eastAsia="en-US"/>
    </w:rPr>
  </w:style>
  <w:style w:type="paragraph" w:customStyle="1" w:styleId="1F91CEEC3EDB452EAE8A3CBCEBCEFC271">
    <w:name w:val="1F91CEEC3EDB452EAE8A3CBCEBCEFC271"/>
    <w:rsid w:val="005C3F03"/>
    <w:pPr>
      <w:spacing w:line="259" w:lineRule="auto"/>
    </w:pPr>
    <w:rPr>
      <w:rFonts w:eastAsiaTheme="minorHAnsi"/>
      <w:sz w:val="22"/>
      <w:szCs w:val="22"/>
      <w:lang w:eastAsia="en-US"/>
    </w:rPr>
  </w:style>
  <w:style w:type="paragraph" w:customStyle="1" w:styleId="60151543038345248197EBAE61CAB5431">
    <w:name w:val="60151543038345248197EBAE61CAB5431"/>
    <w:rsid w:val="005C3F03"/>
    <w:pPr>
      <w:spacing w:line="259" w:lineRule="auto"/>
    </w:pPr>
    <w:rPr>
      <w:rFonts w:eastAsiaTheme="minorHAnsi"/>
      <w:sz w:val="22"/>
      <w:szCs w:val="22"/>
      <w:lang w:eastAsia="en-US"/>
    </w:rPr>
  </w:style>
  <w:style w:type="paragraph" w:customStyle="1" w:styleId="167F35CB642B4DD78B6559415E7A45701">
    <w:name w:val="167F35CB642B4DD78B6559415E7A45701"/>
    <w:rsid w:val="005C3F03"/>
    <w:pPr>
      <w:spacing w:line="259" w:lineRule="auto"/>
    </w:pPr>
    <w:rPr>
      <w:rFonts w:eastAsiaTheme="minorHAnsi"/>
      <w:sz w:val="22"/>
      <w:szCs w:val="22"/>
      <w:lang w:eastAsia="en-US"/>
    </w:rPr>
  </w:style>
  <w:style w:type="paragraph" w:customStyle="1" w:styleId="F9ACCA23C72F4F91876401F61DAFF30D1">
    <w:name w:val="F9ACCA23C72F4F91876401F61DAFF30D1"/>
    <w:rsid w:val="005C3F03"/>
    <w:pPr>
      <w:spacing w:line="259" w:lineRule="auto"/>
    </w:pPr>
    <w:rPr>
      <w:rFonts w:eastAsiaTheme="minorHAnsi"/>
      <w:sz w:val="22"/>
      <w:szCs w:val="22"/>
      <w:lang w:eastAsia="en-US"/>
    </w:rPr>
  </w:style>
  <w:style w:type="paragraph" w:customStyle="1" w:styleId="1B49A267862B47C9B07FCFFE661000641">
    <w:name w:val="1B49A267862B47C9B07FCFFE661000641"/>
    <w:rsid w:val="005C3F03"/>
    <w:pPr>
      <w:spacing w:line="259" w:lineRule="auto"/>
    </w:pPr>
    <w:rPr>
      <w:rFonts w:eastAsiaTheme="minorHAnsi"/>
      <w:sz w:val="22"/>
      <w:szCs w:val="22"/>
      <w:lang w:eastAsia="en-US"/>
    </w:rPr>
  </w:style>
  <w:style w:type="paragraph" w:customStyle="1" w:styleId="F5E114F39BDF475081014C5C284EB8D61">
    <w:name w:val="F5E114F39BDF475081014C5C284EB8D61"/>
    <w:rsid w:val="005C3F03"/>
    <w:pPr>
      <w:spacing w:line="259" w:lineRule="auto"/>
    </w:pPr>
    <w:rPr>
      <w:rFonts w:eastAsiaTheme="minorHAnsi"/>
      <w:sz w:val="22"/>
      <w:szCs w:val="22"/>
      <w:lang w:eastAsia="en-US"/>
    </w:rPr>
  </w:style>
  <w:style w:type="paragraph" w:customStyle="1" w:styleId="517304928F0F422F9E297E5555912F411">
    <w:name w:val="517304928F0F422F9E297E5555912F411"/>
    <w:rsid w:val="005C3F03"/>
    <w:pPr>
      <w:spacing w:line="259" w:lineRule="auto"/>
    </w:pPr>
    <w:rPr>
      <w:rFonts w:eastAsiaTheme="minorHAnsi"/>
      <w:sz w:val="22"/>
      <w:szCs w:val="22"/>
      <w:lang w:eastAsia="en-US"/>
    </w:rPr>
  </w:style>
  <w:style w:type="paragraph" w:customStyle="1" w:styleId="A9581664510B48BCAAD48458651D56621">
    <w:name w:val="A9581664510B48BCAAD48458651D56621"/>
    <w:rsid w:val="005C3F03"/>
    <w:pPr>
      <w:spacing w:line="259" w:lineRule="auto"/>
    </w:pPr>
    <w:rPr>
      <w:rFonts w:eastAsiaTheme="minorHAnsi"/>
      <w:sz w:val="22"/>
      <w:szCs w:val="22"/>
      <w:lang w:eastAsia="en-US"/>
    </w:rPr>
  </w:style>
  <w:style w:type="paragraph" w:customStyle="1" w:styleId="98A0C215C8664355A2102083999C69611">
    <w:name w:val="98A0C215C8664355A2102083999C69611"/>
    <w:rsid w:val="005C3F03"/>
    <w:pPr>
      <w:spacing w:line="259" w:lineRule="auto"/>
    </w:pPr>
    <w:rPr>
      <w:rFonts w:eastAsiaTheme="minorHAnsi"/>
      <w:sz w:val="22"/>
      <w:szCs w:val="22"/>
      <w:lang w:eastAsia="en-US"/>
    </w:rPr>
  </w:style>
  <w:style w:type="paragraph" w:customStyle="1" w:styleId="F3180E00E4B74624AAFC73DE53A3FF6A2">
    <w:name w:val="F3180E00E4B74624AAFC73DE53A3FF6A2"/>
    <w:rsid w:val="005C3F03"/>
    <w:pPr>
      <w:spacing w:line="259" w:lineRule="auto"/>
    </w:pPr>
    <w:rPr>
      <w:rFonts w:eastAsiaTheme="minorHAnsi"/>
      <w:sz w:val="22"/>
      <w:szCs w:val="22"/>
      <w:lang w:eastAsia="en-US"/>
    </w:rPr>
  </w:style>
  <w:style w:type="paragraph" w:customStyle="1" w:styleId="22F23215D2114FE7A63D5CEE9127D4122">
    <w:name w:val="22F23215D2114FE7A63D5CEE9127D4122"/>
    <w:rsid w:val="005C3F03"/>
    <w:pPr>
      <w:spacing w:line="259" w:lineRule="auto"/>
    </w:pPr>
    <w:rPr>
      <w:rFonts w:eastAsiaTheme="minorHAnsi"/>
      <w:sz w:val="22"/>
      <w:szCs w:val="22"/>
      <w:lang w:eastAsia="en-US"/>
    </w:rPr>
  </w:style>
  <w:style w:type="paragraph" w:customStyle="1" w:styleId="04DCA02D17514C08BB1AE527760755E32">
    <w:name w:val="04DCA02D17514C08BB1AE527760755E32"/>
    <w:rsid w:val="005C3F03"/>
    <w:pPr>
      <w:spacing w:line="259" w:lineRule="auto"/>
    </w:pPr>
    <w:rPr>
      <w:rFonts w:eastAsiaTheme="minorHAnsi"/>
      <w:sz w:val="22"/>
      <w:szCs w:val="22"/>
      <w:lang w:eastAsia="en-US"/>
    </w:rPr>
  </w:style>
  <w:style w:type="paragraph" w:customStyle="1" w:styleId="1A30CA260B14423DB971DE16B7BDA1AA2">
    <w:name w:val="1A30CA260B14423DB971DE16B7BDA1AA2"/>
    <w:rsid w:val="005C3F03"/>
    <w:pPr>
      <w:spacing w:line="259" w:lineRule="auto"/>
    </w:pPr>
    <w:rPr>
      <w:rFonts w:eastAsiaTheme="minorHAnsi"/>
      <w:sz w:val="22"/>
      <w:szCs w:val="22"/>
      <w:lang w:eastAsia="en-US"/>
    </w:rPr>
  </w:style>
  <w:style w:type="paragraph" w:customStyle="1" w:styleId="7C53818D3DBB431DBC3CA216F1716F1B2">
    <w:name w:val="7C53818D3DBB431DBC3CA216F1716F1B2"/>
    <w:rsid w:val="005C3F03"/>
    <w:pPr>
      <w:spacing w:line="259" w:lineRule="auto"/>
    </w:pPr>
    <w:rPr>
      <w:rFonts w:eastAsiaTheme="minorHAnsi"/>
      <w:sz w:val="22"/>
      <w:szCs w:val="22"/>
      <w:lang w:eastAsia="en-US"/>
    </w:rPr>
  </w:style>
  <w:style w:type="paragraph" w:customStyle="1" w:styleId="110092479D2E43D89778F726036283372">
    <w:name w:val="110092479D2E43D89778F726036283372"/>
    <w:rsid w:val="005C3F03"/>
    <w:pPr>
      <w:spacing w:line="259" w:lineRule="auto"/>
    </w:pPr>
    <w:rPr>
      <w:rFonts w:eastAsiaTheme="minorHAnsi"/>
      <w:sz w:val="22"/>
      <w:szCs w:val="22"/>
      <w:lang w:eastAsia="en-US"/>
    </w:rPr>
  </w:style>
  <w:style w:type="paragraph" w:customStyle="1" w:styleId="1F0C7E7419604C5BB18D55BFA84C38482">
    <w:name w:val="1F0C7E7419604C5BB18D55BFA84C38482"/>
    <w:rsid w:val="005C3F03"/>
    <w:pPr>
      <w:spacing w:line="259" w:lineRule="auto"/>
    </w:pPr>
    <w:rPr>
      <w:rFonts w:eastAsiaTheme="minorHAnsi"/>
      <w:sz w:val="22"/>
      <w:szCs w:val="22"/>
      <w:lang w:eastAsia="en-US"/>
    </w:rPr>
  </w:style>
  <w:style w:type="paragraph" w:customStyle="1" w:styleId="152EF001063D484E8E00E20EFC4269AB2">
    <w:name w:val="152EF001063D484E8E00E20EFC4269AB2"/>
    <w:rsid w:val="005C3F03"/>
    <w:pPr>
      <w:spacing w:line="259" w:lineRule="auto"/>
    </w:pPr>
    <w:rPr>
      <w:rFonts w:eastAsiaTheme="minorHAnsi"/>
      <w:sz w:val="22"/>
      <w:szCs w:val="22"/>
      <w:lang w:eastAsia="en-US"/>
    </w:rPr>
  </w:style>
  <w:style w:type="paragraph" w:customStyle="1" w:styleId="A0EEA44CCE89449DBA154CCDA49D5E4F2">
    <w:name w:val="A0EEA44CCE89449DBA154CCDA49D5E4F2"/>
    <w:rsid w:val="005C3F03"/>
    <w:pPr>
      <w:spacing w:line="259" w:lineRule="auto"/>
    </w:pPr>
    <w:rPr>
      <w:rFonts w:eastAsiaTheme="minorHAnsi"/>
      <w:sz w:val="22"/>
      <w:szCs w:val="22"/>
      <w:lang w:eastAsia="en-US"/>
    </w:rPr>
  </w:style>
  <w:style w:type="paragraph" w:customStyle="1" w:styleId="8F9DC2E2DF4748D59BCC64C2BBEA52CF2">
    <w:name w:val="8F9DC2E2DF4748D59BCC64C2BBEA52CF2"/>
    <w:rsid w:val="005C3F03"/>
    <w:pPr>
      <w:spacing w:line="259" w:lineRule="auto"/>
    </w:pPr>
    <w:rPr>
      <w:rFonts w:eastAsiaTheme="minorHAnsi"/>
      <w:sz w:val="22"/>
      <w:szCs w:val="22"/>
      <w:lang w:eastAsia="en-US"/>
    </w:rPr>
  </w:style>
  <w:style w:type="paragraph" w:customStyle="1" w:styleId="C1229ADD2930476889E910AD249F584C">
    <w:name w:val="C1229ADD2930476889E910AD249F584C"/>
    <w:rsid w:val="005C3F03"/>
    <w:pPr>
      <w:spacing w:line="259" w:lineRule="auto"/>
    </w:pPr>
    <w:rPr>
      <w:rFonts w:eastAsiaTheme="minorHAnsi"/>
      <w:sz w:val="22"/>
      <w:szCs w:val="22"/>
      <w:lang w:eastAsia="en-US"/>
    </w:rPr>
  </w:style>
  <w:style w:type="paragraph" w:customStyle="1" w:styleId="8A57AEFB37074A63A7B525AB16FD379A2">
    <w:name w:val="8A57AEFB37074A63A7B525AB16FD379A2"/>
    <w:rsid w:val="005C3F03"/>
    <w:pPr>
      <w:spacing w:line="259" w:lineRule="auto"/>
    </w:pPr>
    <w:rPr>
      <w:rFonts w:eastAsiaTheme="minorHAnsi"/>
      <w:sz w:val="22"/>
      <w:szCs w:val="22"/>
      <w:lang w:eastAsia="en-US"/>
    </w:rPr>
  </w:style>
  <w:style w:type="paragraph" w:customStyle="1" w:styleId="EC78BA78638840829F5A40F0740ABC6C2">
    <w:name w:val="EC78BA78638840829F5A40F0740ABC6C2"/>
    <w:rsid w:val="005C3F03"/>
    <w:pPr>
      <w:spacing w:line="259" w:lineRule="auto"/>
    </w:pPr>
    <w:rPr>
      <w:rFonts w:eastAsiaTheme="minorHAnsi"/>
      <w:sz w:val="22"/>
      <w:szCs w:val="22"/>
      <w:lang w:eastAsia="en-US"/>
    </w:rPr>
  </w:style>
  <w:style w:type="paragraph" w:customStyle="1" w:styleId="401A16323CFE441E9437AFB03AB97D952">
    <w:name w:val="401A16323CFE441E9437AFB03AB97D952"/>
    <w:rsid w:val="005C3F03"/>
    <w:pPr>
      <w:spacing w:line="259" w:lineRule="auto"/>
    </w:pPr>
    <w:rPr>
      <w:rFonts w:eastAsiaTheme="minorHAnsi"/>
      <w:sz w:val="22"/>
      <w:szCs w:val="22"/>
      <w:lang w:eastAsia="en-US"/>
    </w:rPr>
  </w:style>
  <w:style w:type="paragraph" w:customStyle="1" w:styleId="58071E4E09DB40F59E1BFB3077F8B0031">
    <w:name w:val="58071E4E09DB40F59E1BFB3077F8B0031"/>
    <w:rsid w:val="005C3F03"/>
    <w:pPr>
      <w:spacing w:line="259" w:lineRule="auto"/>
    </w:pPr>
    <w:rPr>
      <w:rFonts w:eastAsiaTheme="minorHAnsi"/>
      <w:sz w:val="22"/>
      <w:szCs w:val="22"/>
      <w:lang w:eastAsia="en-US"/>
    </w:rPr>
  </w:style>
  <w:style w:type="paragraph" w:customStyle="1" w:styleId="EB113F0ACC814F63842C12EDBA19549B1">
    <w:name w:val="EB113F0ACC814F63842C12EDBA19549B1"/>
    <w:rsid w:val="005C3F03"/>
    <w:pPr>
      <w:spacing w:line="259" w:lineRule="auto"/>
    </w:pPr>
    <w:rPr>
      <w:rFonts w:eastAsiaTheme="minorHAnsi"/>
      <w:sz w:val="22"/>
      <w:szCs w:val="22"/>
      <w:lang w:eastAsia="en-US"/>
    </w:rPr>
  </w:style>
  <w:style w:type="paragraph" w:customStyle="1" w:styleId="D03A8CDDA45C4DB6928457ADFD01C53A1">
    <w:name w:val="D03A8CDDA45C4DB6928457ADFD01C53A1"/>
    <w:rsid w:val="005C3F03"/>
    <w:pPr>
      <w:spacing w:line="259" w:lineRule="auto"/>
    </w:pPr>
    <w:rPr>
      <w:rFonts w:eastAsiaTheme="minorHAnsi"/>
      <w:sz w:val="22"/>
      <w:szCs w:val="22"/>
      <w:lang w:eastAsia="en-US"/>
    </w:rPr>
  </w:style>
  <w:style w:type="paragraph" w:customStyle="1" w:styleId="4D16C1EB1CE749D7BE64B9BD9F4CCF661">
    <w:name w:val="4D16C1EB1CE749D7BE64B9BD9F4CCF661"/>
    <w:rsid w:val="005C3F03"/>
    <w:pPr>
      <w:spacing w:line="259" w:lineRule="auto"/>
    </w:pPr>
    <w:rPr>
      <w:rFonts w:eastAsiaTheme="minorHAnsi"/>
      <w:sz w:val="22"/>
      <w:szCs w:val="22"/>
      <w:lang w:eastAsia="en-US"/>
    </w:rPr>
  </w:style>
  <w:style w:type="paragraph" w:customStyle="1" w:styleId="69869538669348FB88B5AD64218540DC1">
    <w:name w:val="69869538669348FB88B5AD64218540DC1"/>
    <w:rsid w:val="005C3F03"/>
    <w:pPr>
      <w:spacing w:line="259" w:lineRule="auto"/>
    </w:pPr>
    <w:rPr>
      <w:rFonts w:eastAsiaTheme="minorHAnsi"/>
      <w:sz w:val="22"/>
      <w:szCs w:val="22"/>
      <w:lang w:eastAsia="en-US"/>
    </w:rPr>
  </w:style>
  <w:style w:type="paragraph" w:customStyle="1" w:styleId="A3F864595BCB4DBCB979C37E7EAF69AC1">
    <w:name w:val="A3F864595BCB4DBCB979C37E7EAF69AC1"/>
    <w:rsid w:val="005C3F03"/>
    <w:pPr>
      <w:spacing w:line="259" w:lineRule="auto"/>
    </w:pPr>
    <w:rPr>
      <w:rFonts w:eastAsiaTheme="minorHAnsi"/>
      <w:sz w:val="22"/>
      <w:szCs w:val="22"/>
      <w:lang w:eastAsia="en-US"/>
    </w:rPr>
  </w:style>
  <w:style w:type="paragraph" w:customStyle="1" w:styleId="1E4282EDA42546D999A849772B941DE21">
    <w:name w:val="1E4282EDA42546D999A849772B941DE21"/>
    <w:rsid w:val="005C3F03"/>
    <w:pPr>
      <w:spacing w:line="259" w:lineRule="auto"/>
    </w:pPr>
    <w:rPr>
      <w:rFonts w:eastAsiaTheme="minorHAnsi"/>
      <w:sz w:val="22"/>
      <w:szCs w:val="22"/>
      <w:lang w:eastAsia="en-US"/>
    </w:rPr>
  </w:style>
  <w:style w:type="paragraph" w:customStyle="1" w:styleId="2CE989F7530146AD8213A4F365EF98B21">
    <w:name w:val="2CE989F7530146AD8213A4F365EF98B21"/>
    <w:rsid w:val="005C3F03"/>
    <w:pPr>
      <w:spacing w:line="259" w:lineRule="auto"/>
    </w:pPr>
    <w:rPr>
      <w:rFonts w:eastAsiaTheme="minorHAnsi"/>
      <w:sz w:val="22"/>
      <w:szCs w:val="22"/>
      <w:lang w:eastAsia="en-US"/>
    </w:rPr>
  </w:style>
  <w:style w:type="paragraph" w:customStyle="1" w:styleId="2AE8C7FE3A86492EABE9DD377E882B7C">
    <w:name w:val="2AE8C7FE3A86492EABE9DD377E882B7C"/>
    <w:rsid w:val="001F7DBD"/>
  </w:style>
  <w:style w:type="paragraph" w:customStyle="1" w:styleId="962905A215984AE7885149DEEE4F7D6F">
    <w:name w:val="962905A215984AE7885149DEEE4F7D6F"/>
    <w:rsid w:val="001F7DBD"/>
  </w:style>
  <w:style w:type="paragraph" w:customStyle="1" w:styleId="4F5E199F59934E7288A55952BCE39FA8">
    <w:name w:val="4F5E199F59934E7288A55952BCE39FA8"/>
    <w:rsid w:val="001F7DBD"/>
  </w:style>
  <w:style w:type="paragraph" w:customStyle="1" w:styleId="FDF671025F774C4A86627D02C24B6BF4">
    <w:name w:val="FDF671025F774C4A86627D02C24B6BF4"/>
    <w:rsid w:val="001F7DBD"/>
  </w:style>
  <w:style w:type="paragraph" w:customStyle="1" w:styleId="96C936B36B0A4053910FE74BE004D328">
    <w:name w:val="96C936B36B0A4053910FE74BE004D328"/>
    <w:rsid w:val="001F7DBD"/>
  </w:style>
  <w:style w:type="paragraph" w:customStyle="1" w:styleId="75F9247DB4804B099880B1723AC60C59">
    <w:name w:val="75F9247DB4804B099880B1723AC60C59"/>
    <w:rsid w:val="001F7DBD"/>
  </w:style>
  <w:style w:type="paragraph" w:customStyle="1" w:styleId="7FA7FF79FD9046AB86B177F6EE116512">
    <w:name w:val="7FA7FF79FD9046AB86B177F6EE116512"/>
    <w:rsid w:val="001F7DBD"/>
  </w:style>
  <w:style w:type="paragraph" w:customStyle="1" w:styleId="57F2C18964A8404ABC4C4615C5FDA4C8">
    <w:name w:val="57F2C18964A8404ABC4C4615C5FDA4C8"/>
    <w:rsid w:val="001F7DBD"/>
  </w:style>
  <w:style w:type="paragraph" w:customStyle="1" w:styleId="0FB9352225D14EC0B4C0B188D7AC99AB">
    <w:name w:val="0FB9352225D14EC0B4C0B188D7AC99AB"/>
    <w:rsid w:val="001F7DBD"/>
  </w:style>
  <w:style w:type="paragraph" w:customStyle="1" w:styleId="D7E56F513D48489180D5EB4BE3A103F8">
    <w:name w:val="D7E56F513D48489180D5EB4BE3A103F8"/>
    <w:rsid w:val="001F7DBD"/>
  </w:style>
  <w:style w:type="paragraph" w:customStyle="1" w:styleId="93759232273E47B7889D3719812AD7E6">
    <w:name w:val="93759232273E47B7889D3719812AD7E6"/>
    <w:rsid w:val="001F7DBD"/>
  </w:style>
  <w:style w:type="paragraph" w:customStyle="1" w:styleId="F16FD5F9C787446F81FE694E34361DFE">
    <w:name w:val="F16FD5F9C787446F81FE694E34361DFE"/>
    <w:rsid w:val="001F7DBD"/>
  </w:style>
  <w:style w:type="paragraph" w:customStyle="1" w:styleId="CC48F09B75AB4769BE55B9EECB20F715">
    <w:name w:val="CC48F09B75AB4769BE55B9EECB20F715"/>
    <w:rsid w:val="001F7DBD"/>
  </w:style>
  <w:style w:type="paragraph" w:customStyle="1" w:styleId="C583D3C8CB0147AB9D897F5F1D495840">
    <w:name w:val="C583D3C8CB0147AB9D897F5F1D495840"/>
    <w:rsid w:val="001F7DBD"/>
  </w:style>
  <w:style w:type="paragraph" w:customStyle="1" w:styleId="371E4106B90A4DBBADF10DFD6608FB9E">
    <w:name w:val="371E4106B90A4DBBADF10DFD6608FB9E"/>
    <w:rsid w:val="001F7DBD"/>
  </w:style>
  <w:style w:type="paragraph" w:customStyle="1" w:styleId="E2752B97293E4177A5EB81BA5C5B0B5A">
    <w:name w:val="E2752B97293E4177A5EB81BA5C5B0B5A"/>
    <w:rsid w:val="001F7D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2428</Words>
  <Characters>13357</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2025-04-02T16:13:00Z</dcterms:created>
  <dcterms:modified xsi:type="dcterms:W3CDTF">2025-04-02T16:13:00Z</dcterms:modified>
</cp:coreProperties>
</file>