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p w14:paraId="0C8721F2" w14:textId="5D627D7B"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932330" w:rsidRPr="00932330">
                  <w:rPr>
                    <w:rFonts w:eastAsia="Calibri" w:cstheme="minorHAnsi"/>
                    <w:sz w:val="18"/>
                    <w:szCs w:val="18"/>
                    <w:lang w:val="es-ES"/>
                  </w:rPr>
                  <w:t>DISPONIBILIDAD DE RESERVAS DE HIDROCARBUROS (R/P)</w:t>
                </w:r>
              </w:sdtContent>
            </w:sdt>
          </w:p>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131B6BFB" w14:textId="77777777" w:rsidR="00B93874" w:rsidRPr="00B93874" w:rsidRDefault="00B93874" w:rsidP="00B93874">
                <w:pPr>
                  <w:spacing w:line="199" w:lineRule="exact"/>
                  <w:jc w:val="both"/>
                  <w:rPr>
                    <w:rFonts w:eastAsia="Calibri" w:cstheme="minorHAnsi"/>
                    <w:sz w:val="18"/>
                    <w:szCs w:val="18"/>
                    <w:lang w:val="es-ES"/>
                  </w:rPr>
                </w:pPr>
                <w:r w:rsidRPr="00B93874">
                  <w:rPr>
                    <w:rFonts w:eastAsia="Calibri" w:cstheme="minorHAnsi"/>
                    <w:b/>
                    <w:bCs/>
                    <w:sz w:val="18"/>
                    <w:szCs w:val="18"/>
                    <w:lang w:val="es-ES"/>
                  </w:rPr>
                  <w:t>Internacionales:</w:t>
                </w:r>
                <w:r w:rsidRPr="00B93874">
                  <w:rPr>
                    <w:rFonts w:eastAsia="Calibri" w:cstheme="minorHAnsi"/>
                    <w:sz w:val="18"/>
                    <w:szCs w:val="18"/>
                    <w:lang w:val="es-ES"/>
                  </w:rPr>
                  <w:t xml:space="preserve"> Acuerdo de París (2015) sobre cambio climático; Objetivo de Desarrollo Sostenible 12.2 (gestión sostenible y uso eficiente de los recursos naturales) y ODS 7 (Energía asequible y no contaminante); Estrategia Climática de Largo Plazo a 2050 – E2050; Contribuciones Nacionalmente Determinadas (NDC); Sistema de Contabilidad Ambiental y Económica de la ONU (SEEA).</w:t>
                </w:r>
              </w:p>
              <w:p w14:paraId="1E0A4218" w14:textId="77777777" w:rsidR="00B93874" w:rsidRPr="00B93874" w:rsidRDefault="00B93874" w:rsidP="00B93874">
                <w:pPr>
                  <w:spacing w:line="199" w:lineRule="exact"/>
                  <w:jc w:val="both"/>
                  <w:rPr>
                    <w:rFonts w:eastAsia="Calibri" w:cstheme="minorHAnsi"/>
                    <w:sz w:val="18"/>
                    <w:szCs w:val="18"/>
                    <w:lang w:val="es-ES"/>
                  </w:rPr>
                </w:pPr>
              </w:p>
              <w:p w14:paraId="418C1983" w14:textId="0A965841" w:rsidR="006238AE" w:rsidRPr="00DD20DE" w:rsidRDefault="00B93874" w:rsidP="00B93874">
                <w:pPr>
                  <w:spacing w:line="199" w:lineRule="exact"/>
                  <w:jc w:val="both"/>
                  <w:rPr>
                    <w:rFonts w:eastAsia="Calibri" w:cstheme="minorHAnsi"/>
                    <w:color w:val="FF0000"/>
                    <w:sz w:val="18"/>
                    <w:szCs w:val="18"/>
                    <w:lang w:val="es-ES"/>
                  </w:rPr>
                </w:pPr>
                <w:r w:rsidRPr="00B93874">
                  <w:rPr>
                    <w:rFonts w:eastAsia="Calibri" w:cstheme="minorHAnsi"/>
                    <w:b/>
                    <w:bCs/>
                    <w:sz w:val="18"/>
                    <w:szCs w:val="18"/>
                    <w:lang w:val="es-ES"/>
                  </w:rPr>
                  <w:t>Nacionales:</w:t>
                </w:r>
                <w:r w:rsidRPr="00B93874">
                  <w:rPr>
                    <w:rFonts w:eastAsia="Calibri" w:cstheme="minorHAnsi"/>
                    <w:sz w:val="18"/>
                    <w:szCs w:val="18"/>
                    <w:lang w:val="es-ES"/>
                  </w:rPr>
                  <w:t xml:space="preserve"> Constitución Política de Colombia, artículo 80 (desarrollo sostenible y aprovechamiento responsable de los recursos naturales); Ley 1931 de 2018 (gestión del cambio climático); Ley 2169 de 2021 (Ley de Acción Climática); Estrategia Colombiana de Desarrollo Bajo en Carbono (ECDBC); Documento CONPES 4075 de 2022 (Política para la Transición Energética Justa); Documento CONPES 3934 de 2018 (Política de Crecimiento Verde); Cuenta Satélite Ambiental del DANE – Cuenta de Activos de Recursos Minerales y Energéticos (CAE-ARME).</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5A92AC26" w:rsidR="006238AE" w:rsidRPr="00D8377B" w:rsidRDefault="00A37860" w:rsidP="006238AE">
                <w:pPr>
                  <w:rPr>
                    <w:rFonts w:eastAsia="Calibri" w:cstheme="minorHAnsi"/>
                    <w:sz w:val="18"/>
                    <w:szCs w:val="18"/>
                    <w:lang w:val="es-ES"/>
                  </w:rPr>
                </w:pPr>
                <w:r w:rsidRPr="00A37860">
                  <w:rPr>
                    <w:rFonts w:eastAsia="Calibri" w:cstheme="minorHAnsi"/>
                    <w:sz w:val="18"/>
                    <w:szCs w:val="18"/>
                    <w:lang w:val="es-CO"/>
                  </w:rPr>
                  <w:t>Reservas de hidrocarburos – Disponibilidad o agotamiento de los recursos energéticos no renovables</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74DD49E3" w:rsidR="006238AE" w:rsidRPr="00DD20DE" w:rsidRDefault="00333B23" w:rsidP="006238AE">
                <w:pPr>
                  <w:rPr>
                    <w:rFonts w:eastAsia="Calibri" w:cstheme="minorHAnsi"/>
                    <w:color w:val="FF0000"/>
                    <w:sz w:val="18"/>
                    <w:szCs w:val="18"/>
                    <w:lang w:val="es-ES"/>
                  </w:rPr>
                </w:pPr>
                <w:r>
                  <w:rPr>
                    <w:rFonts w:eastAsia="Calibri" w:cstheme="minorHAnsi"/>
                    <w:sz w:val="18"/>
                    <w:szCs w:val="18"/>
                    <w:lang w:val="es-ES"/>
                  </w:rPr>
                  <w:t>Años</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265065B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42D3BCA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6417D25" w:rsidR="006238AE" w:rsidRPr="00DD20DE" w:rsidRDefault="00AE229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0B7740D6" w:rsidR="006238AE" w:rsidRPr="00DD20DE" w:rsidRDefault="00A37860" w:rsidP="00EB6593">
                <w:pPr>
                  <w:jc w:val="both"/>
                  <w:rPr>
                    <w:rFonts w:eastAsia="Calibri" w:cstheme="minorHAnsi"/>
                    <w:b/>
                    <w:color w:val="FF0000"/>
                    <w:sz w:val="18"/>
                    <w:szCs w:val="18"/>
                    <w:lang w:val="es-ES"/>
                  </w:rPr>
                </w:pPr>
                <w:r>
                  <w:rPr>
                    <w:rFonts w:eastAsia="Calibri" w:cstheme="minorHAnsi"/>
                    <w:sz w:val="18"/>
                    <w:szCs w:val="18"/>
                    <w:lang w:val="es-ES"/>
                  </w:rPr>
                  <w:t>R</w:t>
                </w:r>
                <w:proofErr w:type="spellStart"/>
                <w:r w:rsidRPr="00A37860">
                  <w:rPr>
                    <w:rFonts w:eastAsia="Calibri" w:cstheme="minorHAnsi"/>
                    <w:sz w:val="18"/>
                    <w:szCs w:val="18"/>
                    <w:lang w:val="es-CO"/>
                  </w:rPr>
                  <w:t>epresenta</w:t>
                </w:r>
                <w:proofErr w:type="spellEnd"/>
                <w:r w:rsidRPr="00A37860">
                  <w:rPr>
                    <w:rFonts w:eastAsia="Calibri" w:cstheme="minorHAnsi"/>
                    <w:sz w:val="18"/>
                    <w:szCs w:val="18"/>
                    <w:lang w:val="es-CO"/>
                  </w:rPr>
                  <w:t xml:space="preserve"> la relación </w:t>
                </w:r>
                <w:r w:rsidR="000301ED">
                  <w:rPr>
                    <w:rFonts w:eastAsia="Calibri" w:cstheme="minorHAnsi"/>
                    <w:sz w:val="18"/>
                    <w:szCs w:val="18"/>
                    <w:lang w:val="es-CO"/>
                  </w:rPr>
                  <w:t xml:space="preserve">porcentual </w:t>
                </w:r>
                <w:r w:rsidRPr="00A37860">
                  <w:rPr>
                    <w:rFonts w:eastAsia="Calibri" w:cstheme="minorHAnsi"/>
                    <w:sz w:val="18"/>
                    <w:szCs w:val="18"/>
                    <w:lang w:val="es-CO"/>
                  </w:rPr>
                  <w:t>entre las reservas probadas (1P) de petróleo y gas natural disponibles al final de un año y la producción anual de estos recursos. Su valor refleja la cantidad de años que durarían las reservas actuales si se mantiene el ritmo de extracción observado. Este indicador es estratégico para evaluar el horizonte de disponibilidad energética del país y analizar escenarios de agotamiento o abastecimiento en el mediano y largo plazo.</w:t>
                </w:r>
              </w:p>
            </w:tc>
          </w:sdtContent>
        </w:sdt>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47D65B63"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1F5FE31C"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778793D4" w:rsidR="006238AE" w:rsidRPr="00DD20DE" w:rsidRDefault="000301ED" w:rsidP="00EB6593">
                <w:pPr>
                  <w:jc w:val="both"/>
                  <w:rPr>
                    <w:rFonts w:eastAsia="Calibri" w:cstheme="minorHAnsi"/>
                    <w:b/>
                    <w:color w:val="FF0000"/>
                    <w:spacing w:val="-2"/>
                    <w:sz w:val="18"/>
                    <w:szCs w:val="18"/>
                    <w:lang w:val="es-ES"/>
                  </w:rPr>
                </w:pPr>
                <w:r w:rsidRPr="000301ED">
                  <w:rPr>
                    <w:rFonts w:eastAsia="Calibri" w:cstheme="minorHAnsi"/>
                    <w:sz w:val="18"/>
                    <w:szCs w:val="18"/>
                    <w:lang w:val="es-CO"/>
                  </w:rPr>
                  <w:t>Estimar cuántos años podrían mantenerse los niveles actuales de extracción de hidrocarburos en Colombia, a partir de la relación entre las reservas probadas de petróleo y gas natural y la producción anual. Este indicador aporta elementos clave para la planificación energética, al identificar la capacidad del país para sostener su abastecimiento interno, reducir riesgos de desabastecimiento y apoyar una transición energética ordenada y</w:t>
                </w:r>
                <w:r>
                  <w:rPr>
                    <w:rFonts w:eastAsia="Calibri" w:cstheme="minorHAnsi"/>
                    <w:sz w:val="18"/>
                    <w:szCs w:val="18"/>
                    <w:lang w:val="es-CO"/>
                  </w:rPr>
                  <w:t xml:space="preserve"> justa</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3F47585F" w14:textId="77777777" w:rsidR="00A37860" w:rsidRPr="00A37860" w:rsidRDefault="00A37860" w:rsidP="00A37860">
                <w:pPr>
                  <w:jc w:val="both"/>
                  <w:rPr>
                    <w:rFonts w:eastAsia="Calibri" w:cstheme="minorHAnsi"/>
                    <w:sz w:val="18"/>
                    <w:szCs w:val="18"/>
                    <w:lang w:val="es-ES"/>
                  </w:rPr>
                </w:pPr>
                <w:r w:rsidRPr="00A37860">
                  <w:rPr>
                    <w:rFonts w:eastAsia="Calibri" w:cstheme="minorHAnsi"/>
                    <w:sz w:val="18"/>
                    <w:szCs w:val="18"/>
                    <w:lang w:val="es-ES"/>
                  </w:rPr>
                  <w:t>Las reservas probadas de hidrocarburos (1P) constituyen un componente esencial del sistema energético nacional, al reflejar la cantidad de recursos disponibles que pueden ser explotados con certeza técnica y económica. Su análisis permite proyectar la sostenibilidad del abastecimiento energético, evaluar la autonomía del país frente a la demanda interna y anticipar posibles riesgos de agotamiento o dependencia de importaciones.</w:t>
                </w:r>
              </w:p>
              <w:p w14:paraId="2F15FBD8" w14:textId="77777777" w:rsidR="00A37860" w:rsidRPr="00A37860" w:rsidRDefault="00A37860" w:rsidP="00A37860">
                <w:pPr>
                  <w:jc w:val="both"/>
                  <w:rPr>
                    <w:rFonts w:eastAsia="Calibri" w:cstheme="minorHAnsi"/>
                    <w:sz w:val="18"/>
                    <w:szCs w:val="18"/>
                    <w:lang w:val="es-ES"/>
                  </w:rPr>
                </w:pPr>
              </w:p>
              <w:p w14:paraId="796B644F" w14:textId="77777777" w:rsidR="00A37860" w:rsidRPr="00A37860" w:rsidRDefault="00A37860" w:rsidP="00A37860">
                <w:pPr>
                  <w:jc w:val="both"/>
                  <w:rPr>
                    <w:rFonts w:eastAsia="Calibri" w:cstheme="minorHAnsi"/>
                    <w:sz w:val="18"/>
                    <w:szCs w:val="18"/>
                    <w:lang w:val="es-ES"/>
                  </w:rPr>
                </w:pPr>
                <w:r w:rsidRPr="00A37860">
                  <w:rPr>
                    <w:rFonts w:eastAsia="Calibri" w:cstheme="minorHAnsi"/>
                    <w:sz w:val="18"/>
                    <w:szCs w:val="18"/>
                    <w:lang w:val="es-ES"/>
                  </w:rPr>
                  <w:t xml:space="preserve">En Colombia, la relevancia de este indicador es aún mayor debido a la alta participación del petróleo y el gas natural en la matriz energética, lo que implica que su disponibilidad </w:t>
                </w:r>
                <w:r w:rsidRPr="00A37860">
                  <w:rPr>
                    <w:rFonts w:eastAsia="Calibri" w:cstheme="minorHAnsi"/>
                    <w:sz w:val="18"/>
                    <w:szCs w:val="18"/>
                    <w:lang w:val="es-ES"/>
                  </w:rPr>
                  <w:lastRenderedPageBreak/>
                  <w:t>condiciona directamente la estabilidad del sistema y el margen de maniobra para transitar hacia un modelo energético más resiliente. El indicador R/P (Reservas/Producción) permite estimar cuántos años pueden mantenerse los niveles actuales de extracción con base en las reservas existentes, siendo una herramienta crítica para la planificación sectorial.</w:t>
                </w:r>
              </w:p>
              <w:p w14:paraId="27F4188C" w14:textId="77777777" w:rsidR="00A37860" w:rsidRPr="00A37860" w:rsidRDefault="00A37860" w:rsidP="00A37860">
                <w:pPr>
                  <w:jc w:val="both"/>
                  <w:rPr>
                    <w:rFonts w:eastAsia="Calibri" w:cstheme="minorHAnsi"/>
                    <w:sz w:val="18"/>
                    <w:szCs w:val="18"/>
                    <w:lang w:val="es-ES"/>
                  </w:rPr>
                </w:pPr>
              </w:p>
              <w:p w14:paraId="5A5E716C" w14:textId="77777777" w:rsidR="00A37860" w:rsidRPr="00A37860" w:rsidRDefault="00A37860" w:rsidP="00A37860">
                <w:pPr>
                  <w:jc w:val="both"/>
                  <w:rPr>
                    <w:rFonts w:eastAsia="Calibri" w:cstheme="minorHAnsi"/>
                    <w:sz w:val="18"/>
                    <w:szCs w:val="18"/>
                    <w:lang w:val="es-ES"/>
                  </w:rPr>
                </w:pPr>
                <w:r w:rsidRPr="00A37860">
                  <w:rPr>
                    <w:rFonts w:eastAsia="Calibri" w:cstheme="minorHAnsi"/>
                    <w:sz w:val="18"/>
                    <w:szCs w:val="18"/>
                    <w:lang w:val="es-ES"/>
                  </w:rPr>
                  <w:t>El monitoreo constante del indicador R/P aporta información clave para evaluar si las reservas disponibles son suficientes para respaldar la producción futura y garantizar el suministro en el corto, mediano y largo plazo. Asimismo, permite identificar señales tempranas de agotamiento o subinversión en exploración, que podrían limitar la competitividad energética del país y aumentar su vulnerabilidad ante fluctuaciones del mercado internacional.</w:t>
                </w:r>
              </w:p>
              <w:p w14:paraId="74322FC5" w14:textId="77777777" w:rsidR="00A37860" w:rsidRPr="00A37860" w:rsidRDefault="00A37860" w:rsidP="00A37860">
                <w:pPr>
                  <w:jc w:val="both"/>
                  <w:rPr>
                    <w:rFonts w:eastAsia="Calibri" w:cstheme="minorHAnsi"/>
                    <w:sz w:val="18"/>
                    <w:szCs w:val="18"/>
                    <w:lang w:val="es-ES"/>
                  </w:rPr>
                </w:pPr>
              </w:p>
              <w:p w14:paraId="46D63AAB" w14:textId="445F9C37" w:rsidR="006238AE" w:rsidRPr="00DD20DE" w:rsidRDefault="00A37860" w:rsidP="00A37860">
                <w:pPr>
                  <w:spacing w:line="220" w:lineRule="atLeast"/>
                  <w:jc w:val="both"/>
                  <w:rPr>
                    <w:rFonts w:eastAsia="Calibri" w:cstheme="minorHAnsi"/>
                    <w:color w:val="FF0000"/>
                    <w:sz w:val="18"/>
                    <w:szCs w:val="18"/>
                    <w:lang w:val="es-ES"/>
                  </w:rPr>
                </w:pPr>
                <w:r w:rsidRPr="00A37860">
                  <w:rPr>
                    <w:rFonts w:eastAsia="Calibri" w:cstheme="minorHAnsi"/>
                    <w:sz w:val="18"/>
                    <w:szCs w:val="18"/>
                    <w:lang w:val="es-ES"/>
                  </w:rPr>
                  <w:t>En este sentido, la disponibilidad de reservas se convierte en un parámetro estratégico para diseñar políticas públicas orientadas al uso responsable de los hidrocarburos, la incorporación de nuevas tecnologías de recobro y el impulso a fuentes alternativas de energía que aseguren una transición gradual, equilibrada y con respaldo suficiente.</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41F3EC73" w14:textId="77777777" w:rsidR="00A37860" w:rsidRPr="003A157B" w:rsidRDefault="00105CA2" w:rsidP="00A37860">
                <w:pPr>
                  <w:rPr>
                    <w:rFonts w:eastAsia="Arial Narrow"/>
                    <w:lang w:eastAsia="es-CO"/>
                  </w:rPr>
                </w:pPr>
                <w:r w:rsidRPr="00105CA2">
                  <w:rPr>
                    <w:rFonts w:ascii="Cambria Math" w:eastAsia="Arial Narrow" w:hAnsi="Cambria Math"/>
                    <w:i/>
                    <w:sz w:val="18"/>
                    <w:szCs w:val="18"/>
                    <w:lang w:eastAsia="es-CO"/>
                  </w:rPr>
                  <w:br/>
                </w:r>
                <m:oMathPara>
                  <m:oMath>
                    <m:r>
                      <w:rPr>
                        <w:rFonts w:ascii="Cambria Math" w:eastAsia="Arial Narrow" w:hAnsi="Cambria Math"/>
                        <w:lang w:eastAsia="es-CO"/>
                      </w:rPr>
                      <m:t xml:space="preserve">R/P= </m:t>
                    </m:r>
                    <m:d>
                      <m:dPr>
                        <m:ctrlPr>
                          <w:rPr>
                            <w:rFonts w:ascii="Cambria Math" w:eastAsia="Arial Narrow" w:hAnsi="Cambria Math"/>
                            <w:i/>
                            <w:lang w:eastAsia="es-CO"/>
                          </w:rPr>
                        </m:ctrlPr>
                      </m:dPr>
                      <m:e>
                        <m:r>
                          <w:rPr>
                            <w:rFonts w:ascii="Cambria Math" w:eastAsia="Arial Narrow" w:hAnsi="Cambria Math"/>
                            <w:lang w:eastAsia="es-CO"/>
                          </w:rPr>
                          <m:t xml:space="preserve">  </m:t>
                        </m:r>
                        <m:f>
                          <m:fPr>
                            <m:ctrlPr>
                              <w:rPr>
                                <w:rFonts w:ascii="Cambria Math" w:eastAsia="Arial Narrow" w:hAnsi="Cambria Math"/>
                                <w:i/>
                                <w:lang w:eastAsia="es-CO"/>
                              </w:rPr>
                            </m:ctrlPr>
                          </m:fPr>
                          <m:num>
                            <m:r>
                              <w:rPr>
                                <w:rFonts w:ascii="Cambria Math" w:eastAsia="Arial Narrow" w:hAnsi="Cambria Math"/>
                                <w:lang w:eastAsia="es-CO"/>
                              </w:rPr>
                              <m:t>Reservas 1P de hidrocarburos al final del año</m:t>
                            </m:r>
                          </m:num>
                          <m:den>
                            <m:r>
                              <w:rPr>
                                <w:rFonts w:ascii="Cambria Math" w:eastAsia="Arial Narrow" w:hAnsi="Cambria Math"/>
                                <w:lang w:eastAsia="es-CO"/>
                              </w:rPr>
                              <m:t>Producción anual de hidrocarburos</m:t>
                            </m:r>
                          </m:den>
                        </m:f>
                      </m:e>
                    </m:d>
                    <m:r>
                      <w:rPr>
                        <w:rFonts w:ascii="Cambria Math" w:eastAsia="Arial Narrow" w:hAnsi="Cambria Math"/>
                        <w:lang w:eastAsia="es-CO"/>
                      </w:rPr>
                      <m:t xml:space="preserve"> x 100</m:t>
                    </m:r>
                  </m:oMath>
                </m:oMathPara>
              </w:p>
              <w:p w14:paraId="1FA9EBAA" w14:textId="45C2CD7F" w:rsidR="00105CA2" w:rsidRPr="00105CA2" w:rsidRDefault="00105CA2" w:rsidP="00105CA2">
                <w:pPr>
                  <w:rPr>
                    <w:rFonts w:eastAsia="Arial Narrow"/>
                    <w:sz w:val="18"/>
                    <w:szCs w:val="18"/>
                    <w:lang w:eastAsia="es-CO"/>
                  </w:rPr>
                </w:pPr>
              </w:p>
              <w:p w14:paraId="4BC180E8" w14:textId="77777777" w:rsidR="006238AE" w:rsidRDefault="006238AE" w:rsidP="00E54A32">
                <w:pPr>
                  <w:spacing w:line="276" w:lineRule="auto"/>
                  <w:ind w:right="90"/>
                  <w:jc w:val="both"/>
                  <w:rPr>
                    <w:rFonts w:eastAsia="Calibri" w:cstheme="minorHAnsi"/>
                    <w:kern w:val="2"/>
                    <w:sz w:val="18"/>
                    <w:szCs w:val="18"/>
                    <w:lang w:val="es-ES"/>
                    <w14:ligatures w14:val="standardContextual"/>
                  </w:rPr>
                </w:pPr>
              </w:p>
              <w:p w14:paraId="3C88D373" w14:textId="77777777" w:rsidR="00105CA2" w:rsidRDefault="00105CA2" w:rsidP="00E54A32">
                <w:pPr>
                  <w:spacing w:line="276" w:lineRule="auto"/>
                  <w:ind w:right="90"/>
                  <w:jc w:val="both"/>
                  <w:rPr>
                    <w:rFonts w:eastAsia="Calibri" w:cstheme="minorHAnsi"/>
                    <w:kern w:val="2"/>
                    <w:sz w:val="18"/>
                    <w:szCs w:val="18"/>
                    <w:lang w:val="es-ES"/>
                    <w14:ligatures w14:val="standardContextual"/>
                  </w:rPr>
                </w:pPr>
                <w:r>
                  <w:rPr>
                    <w:rFonts w:eastAsia="Calibri" w:cstheme="minorHAnsi"/>
                    <w:kern w:val="2"/>
                    <w:sz w:val="18"/>
                    <w:szCs w:val="18"/>
                    <w:lang w:val="es-ES"/>
                    <w14:ligatures w14:val="standardContextual"/>
                  </w:rPr>
                  <w:t xml:space="preserve">Donde,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7"/>
                  <w:gridCol w:w="5557"/>
                </w:tblGrid>
                <w:tr w:rsidR="00105CA2" w14:paraId="755650E3" w14:textId="77777777" w:rsidTr="001E25B4">
                  <w:tc>
                    <w:tcPr>
                      <w:tcW w:w="1980" w:type="dxa"/>
                    </w:tcPr>
                    <w:p w14:paraId="5F3847C1" w14:textId="452077A7" w:rsidR="00105CA2" w:rsidRPr="00105CA2" w:rsidRDefault="007D6A29" w:rsidP="00105CA2">
                      <w:pPr>
                        <w:pStyle w:val="Prrafodelista"/>
                        <w:ind w:left="0"/>
                        <w:rPr>
                          <w:rFonts w:eastAsia="Arial Narrow"/>
                          <w:sz w:val="18"/>
                          <w:szCs w:val="18"/>
                          <w:vertAlign w:val="subscript"/>
                        </w:rPr>
                      </w:pPr>
                      <w:r w:rsidRPr="007D6A29">
                        <w:rPr>
                          <w:rFonts w:eastAsia="Arial Narrow"/>
                          <w:sz w:val="18"/>
                          <w:szCs w:val="18"/>
                        </w:rPr>
                        <w:t>Reservas 1P de hidrocarburos</w:t>
                      </w:r>
                    </w:p>
                  </w:tc>
                  <w:tc>
                    <w:tcPr>
                      <w:tcW w:w="7080" w:type="dxa"/>
                    </w:tcPr>
                    <w:p w14:paraId="0D2591C8" w14:textId="4B9F9539" w:rsidR="00105CA2" w:rsidRPr="00105CA2" w:rsidRDefault="007D6A29" w:rsidP="00105CA2">
                      <w:pPr>
                        <w:pStyle w:val="Prrafodelista"/>
                        <w:ind w:left="0"/>
                        <w:rPr>
                          <w:rFonts w:eastAsia="Arial Narrow"/>
                          <w:sz w:val="18"/>
                          <w:szCs w:val="18"/>
                        </w:rPr>
                      </w:pPr>
                      <w:r w:rsidRPr="007D6A29">
                        <w:rPr>
                          <w:rFonts w:eastAsia="Arial Narrow"/>
                          <w:sz w:val="18"/>
                          <w:szCs w:val="18"/>
                        </w:rPr>
                        <w:t>Corresponde a la suma de las reservas probadas (1P) de petróleo crudo (en millones de barriles - MBL) y gas natural (en giga pies cúbicos - GPC) disponibles al final del año, convertidas a unidades de energía (</w:t>
                      </w:r>
                      <w:proofErr w:type="spellStart"/>
                      <w:r w:rsidRPr="007D6A29">
                        <w:rPr>
                          <w:rFonts w:eastAsia="Arial Narrow"/>
                          <w:sz w:val="18"/>
                          <w:szCs w:val="18"/>
                        </w:rPr>
                        <w:t>Terajulios</w:t>
                      </w:r>
                      <w:proofErr w:type="spellEnd"/>
                      <w:r w:rsidRPr="007D6A29">
                        <w:rPr>
                          <w:rFonts w:eastAsia="Arial Narrow"/>
                          <w:sz w:val="18"/>
                          <w:szCs w:val="18"/>
                        </w:rPr>
                        <w:t xml:space="preserve"> - TJ)</w:t>
                      </w:r>
                    </w:p>
                  </w:tc>
                </w:tr>
                <w:tr w:rsidR="00105CA2" w14:paraId="35D33704" w14:textId="77777777" w:rsidTr="001E25B4">
                  <w:tc>
                    <w:tcPr>
                      <w:tcW w:w="1980" w:type="dxa"/>
                    </w:tcPr>
                    <w:p w14:paraId="0B6A0D41" w14:textId="74D97486" w:rsidR="00105CA2" w:rsidRPr="00105CA2" w:rsidRDefault="007D6A29" w:rsidP="00105CA2">
                      <w:pPr>
                        <w:pStyle w:val="Prrafodelista"/>
                        <w:ind w:left="0"/>
                        <w:rPr>
                          <w:rFonts w:eastAsia="Arial Narrow"/>
                          <w:strike/>
                          <w:sz w:val="18"/>
                          <w:szCs w:val="18"/>
                          <w:vertAlign w:val="subscript"/>
                        </w:rPr>
                      </w:pPr>
                      <w:r w:rsidRPr="007D6A29">
                        <w:rPr>
                          <w:rFonts w:eastAsia="Arial Narrow"/>
                          <w:sz w:val="18"/>
                          <w:szCs w:val="18"/>
                        </w:rPr>
                        <w:t>Producción anual de hidrocarburos</w:t>
                      </w:r>
                    </w:p>
                  </w:tc>
                  <w:tc>
                    <w:tcPr>
                      <w:tcW w:w="7080" w:type="dxa"/>
                    </w:tcPr>
                    <w:p w14:paraId="7E8B2298" w14:textId="77777777" w:rsidR="00105CA2" w:rsidRPr="00105CA2" w:rsidRDefault="00105CA2" w:rsidP="00105CA2">
                      <w:pPr>
                        <w:pStyle w:val="Prrafodelista"/>
                        <w:ind w:left="0"/>
                        <w:rPr>
                          <w:rFonts w:eastAsia="Arial Narrow"/>
                          <w:sz w:val="18"/>
                          <w:szCs w:val="18"/>
                        </w:rPr>
                      </w:pPr>
                    </w:p>
                    <w:p w14:paraId="3ABB12F6" w14:textId="1FA419C0" w:rsidR="00105CA2" w:rsidRPr="00105CA2" w:rsidRDefault="007D6A29" w:rsidP="00105CA2">
                      <w:pPr>
                        <w:pStyle w:val="Prrafodelista"/>
                        <w:ind w:left="0"/>
                        <w:rPr>
                          <w:rFonts w:eastAsia="Arial Narrow"/>
                          <w:sz w:val="18"/>
                          <w:szCs w:val="18"/>
                        </w:rPr>
                      </w:pPr>
                      <w:r w:rsidRPr="007D6A29">
                        <w:rPr>
                          <w:rFonts w:eastAsia="Arial Narrow"/>
                          <w:sz w:val="18"/>
                          <w:szCs w:val="18"/>
                        </w:rPr>
                        <w:t xml:space="preserve">Corresponde a la suma total de petróleo crudo y gas natural extraídos en un año, expresada en </w:t>
                      </w:r>
                      <w:proofErr w:type="spellStart"/>
                      <w:r w:rsidRPr="007D6A29">
                        <w:rPr>
                          <w:rFonts w:eastAsia="Arial Narrow"/>
                          <w:sz w:val="18"/>
                          <w:szCs w:val="18"/>
                        </w:rPr>
                        <w:t>Terajulios</w:t>
                      </w:r>
                      <w:proofErr w:type="spellEnd"/>
                      <w:r w:rsidRPr="007D6A29">
                        <w:rPr>
                          <w:rFonts w:eastAsia="Arial Narrow"/>
                          <w:sz w:val="18"/>
                          <w:szCs w:val="18"/>
                        </w:rPr>
                        <w:t xml:space="preserve"> (TJ), a partir de la conversión de los volúmenes físicos de producción anual de ambos recursos.</w:t>
                      </w:r>
                    </w:p>
                  </w:tc>
                </w:tr>
              </w:tbl>
              <w:p w14:paraId="421B54E4" w14:textId="5EF93ACA" w:rsidR="00105CA2" w:rsidRPr="00E54A32" w:rsidRDefault="00000000" w:rsidP="00E54A32">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53490412" w14:textId="5B6E49F8"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Recolección de datos</w:t>
                </w:r>
              </w:p>
              <w:p w14:paraId="7AC1C7F5" w14:textId="77777777" w:rsidR="00CD5F5F" w:rsidRDefault="00CD5F5F" w:rsidP="00CD5F5F">
                <w:pPr>
                  <w:spacing w:line="276" w:lineRule="auto"/>
                  <w:ind w:right="90"/>
                  <w:jc w:val="both"/>
                  <w:rPr>
                    <w:rFonts w:eastAsia="Calibri" w:cstheme="minorHAnsi"/>
                    <w:sz w:val="18"/>
                    <w:szCs w:val="18"/>
                    <w:lang w:val="es-ES"/>
                  </w:rPr>
                </w:pPr>
              </w:p>
              <w:p w14:paraId="332E1522" w14:textId="05647AA5" w:rsidR="00CD5F5F" w:rsidRDefault="00CD5F5F" w:rsidP="00CD5F5F">
                <w:pPr>
                  <w:spacing w:line="276" w:lineRule="auto"/>
                  <w:ind w:right="90"/>
                  <w:jc w:val="both"/>
                  <w:rPr>
                    <w:rFonts w:eastAsia="Calibri" w:cstheme="minorHAnsi"/>
                    <w:sz w:val="18"/>
                    <w:szCs w:val="18"/>
                    <w:lang w:val="es-ES"/>
                  </w:rPr>
                </w:pPr>
                <w:r w:rsidRPr="00CD5F5F">
                  <w:rPr>
                    <w:rFonts w:eastAsia="Calibri" w:cstheme="minorHAnsi"/>
                    <w:sz w:val="18"/>
                    <w:szCs w:val="18"/>
                    <w:lang w:val="es-ES"/>
                  </w:rPr>
                  <w:t>Acceder a la Cuenta Ambiental y Económica de Activos de los Recursos Minerales y Energéticos (CAE-ARME) del DANE.</w:t>
                </w:r>
              </w:p>
              <w:p w14:paraId="3FA419A1" w14:textId="77777777" w:rsidR="00CD5F5F" w:rsidRPr="00CD5F5F" w:rsidRDefault="00CD5F5F" w:rsidP="00CD5F5F">
                <w:pPr>
                  <w:spacing w:line="276" w:lineRule="auto"/>
                  <w:ind w:right="90"/>
                  <w:jc w:val="both"/>
                  <w:rPr>
                    <w:rFonts w:eastAsia="Calibri" w:cstheme="minorHAnsi"/>
                    <w:sz w:val="18"/>
                    <w:szCs w:val="18"/>
                    <w:lang w:val="es-ES"/>
                  </w:rPr>
                </w:pPr>
              </w:p>
              <w:p w14:paraId="09ED9717" w14:textId="4575FE6C"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Ingresar al sitio web: https://www.dane.gov.co/index.php/estadisticas-por-tema/ambientales/cuenta-satelite-ambiental-csa#cuenta-ambiental-y-economica-de-activos-de-los-recursos-minerales-y-energeticos-cae-arme</w:t>
                </w:r>
              </w:p>
              <w:p w14:paraId="7ACA09BF" w14:textId="6B0869FD"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En la parte inferior de la página, hacer clic en la sección Anexos y descargar el documento “anex-CAEARME-2023p”.</w:t>
                </w:r>
              </w:p>
              <w:p w14:paraId="33E4CDA9" w14:textId="1D668B95"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Abrir el archivo y localizar los Cuadros 8 y 9, donde se encuentran los indicadores derivados del gas natural y del petróleo, respectivamente.</w:t>
                </w:r>
              </w:p>
              <w:p w14:paraId="6BB2AE2C" w14:textId="489CE37D" w:rsid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 xml:space="preserve">Extraer los valores de </w:t>
                </w:r>
                <w:r w:rsidR="007D6A29">
                  <w:rPr>
                    <w:rFonts w:eastAsia="Calibri" w:cstheme="minorHAnsi"/>
                    <w:sz w:val="18"/>
                    <w:szCs w:val="18"/>
                    <w:lang w:val="es-ES"/>
                  </w:rPr>
                  <w:t>disponibilidad de reservas en extracción y stock de cierre</w:t>
                </w:r>
                <w:r w:rsidRPr="00CD5F5F">
                  <w:rPr>
                    <w:rFonts w:eastAsia="Calibri" w:cstheme="minorHAnsi"/>
                    <w:sz w:val="18"/>
                    <w:szCs w:val="18"/>
                    <w:lang w:val="es-ES"/>
                  </w:rPr>
                  <w:t xml:space="preserve"> para el año de análisis.</w:t>
                </w:r>
              </w:p>
              <w:p w14:paraId="3767386A" w14:textId="77777777" w:rsidR="00CD5F5F" w:rsidRPr="00CD5F5F" w:rsidRDefault="00CD5F5F" w:rsidP="00CD5F5F">
                <w:pPr>
                  <w:pStyle w:val="Prrafodelista"/>
                  <w:spacing w:line="276" w:lineRule="auto"/>
                  <w:ind w:right="90"/>
                  <w:jc w:val="both"/>
                  <w:rPr>
                    <w:rFonts w:eastAsia="Calibri" w:cstheme="minorHAnsi"/>
                    <w:sz w:val="18"/>
                    <w:szCs w:val="18"/>
                    <w:lang w:val="es-ES"/>
                  </w:rPr>
                </w:pPr>
              </w:p>
              <w:p w14:paraId="40D0CFC3" w14:textId="10057CE3"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Cálculo del indicador</w:t>
                </w:r>
              </w:p>
              <w:p w14:paraId="39AC69F2" w14:textId="77777777" w:rsidR="00CD5F5F" w:rsidRDefault="00CD5F5F" w:rsidP="00CD5F5F">
                <w:pPr>
                  <w:spacing w:line="276" w:lineRule="auto"/>
                  <w:ind w:right="90"/>
                  <w:jc w:val="both"/>
                  <w:rPr>
                    <w:rFonts w:eastAsia="Calibri" w:cstheme="minorHAnsi"/>
                    <w:sz w:val="18"/>
                    <w:szCs w:val="18"/>
                    <w:lang w:val="es-ES"/>
                  </w:rPr>
                </w:pPr>
              </w:p>
              <w:p w14:paraId="25BF3665" w14:textId="03ADB2AE" w:rsidR="00CD5F5F" w:rsidRPr="00CD5F5F" w:rsidRDefault="00CD5F5F" w:rsidP="00CD5F5F">
                <w:pPr>
                  <w:pStyle w:val="Prrafodelista"/>
                  <w:numPr>
                    <w:ilvl w:val="0"/>
                    <w:numId w:val="6"/>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Se sugiere convertir los valores extraídos a unidades de energía (</w:t>
                </w:r>
                <w:proofErr w:type="spellStart"/>
                <w:r w:rsidRPr="00CD5F5F">
                  <w:rPr>
                    <w:rFonts w:eastAsia="Calibri" w:cstheme="minorHAnsi"/>
                    <w:sz w:val="18"/>
                    <w:szCs w:val="18"/>
                    <w:lang w:val="es-ES"/>
                  </w:rPr>
                  <w:t>Terajulios</w:t>
                </w:r>
                <w:proofErr w:type="spellEnd"/>
                <w:r w:rsidRPr="00CD5F5F">
                  <w:rPr>
                    <w:rFonts w:eastAsia="Calibri" w:cstheme="minorHAnsi"/>
                    <w:sz w:val="18"/>
                    <w:szCs w:val="18"/>
                    <w:lang w:val="es-ES"/>
                  </w:rPr>
                  <w:t xml:space="preserve"> - TJ), con el fin de unificar las magnitudes y permitir la agregación de reservas de gas y petróleo. Para ello, se pueden aplicar los siguientes factores de conversión:</w:t>
                </w:r>
              </w:p>
              <w:p w14:paraId="33969044" w14:textId="77777777" w:rsidR="00CD5F5F" w:rsidRP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t>Petróleo crudo: 1 millón de barriles (MBL) = 6.119 TJ</w:t>
                </w:r>
              </w:p>
              <w:p w14:paraId="322956CC" w14:textId="77777777" w:rsidR="00CD5F5F" w:rsidRP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t>Gas natural: 1 giga pie cúbico (GPC) = 1.055 TJ</w:t>
                </w:r>
              </w:p>
              <w:p w14:paraId="0E1F3574" w14:textId="77777777" w:rsidR="007D6A29" w:rsidRPr="007D6A29" w:rsidRDefault="007D6A29" w:rsidP="007D6A29">
                <w:pPr>
                  <w:pStyle w:val="Prrafodelista"/>
                  <w:numPr>
                    <w:ilvl w:val="0"/>
                    <w:numId w:val="5"/>
                  </w:numPr>
                  <w:spacing w:line="276" w:lineRule="auto"/>
                  <w:ind w:right="90"/>
                  <w:jc w:val="both"/>
                  <w:rPr>
                    <w:rFonts w:eastAsia="Calibri" w:cstheme="minorHAnsi"/>
                    <w:sz w:val="18"/>
                    <w:szCs w:val="18"/>
                    <w:lang w:val="es-ES"/>
                  </w:rPr>
                </w:pPr>
                <w:r w:rsidRPr="007D6A29">
                  <w:rPr>
                    <w:rFonts w:eastAsia="Calibri" w:cstheme="minorHAnsi"/>
                    <w:sz w:val="18"/>
                    <w:szCs w:val="18"/>
                    <w:lang w:val="es-ES"/>
                  </w:rPr>
                  <w:lastRenderedPageBreak/>
                  <w:t>Sumar las reservas de crudo y gas natural para el año de análisis:</w:t>
                </w:r>
              </w:p>
              <w:p w14:paraId="5E5252F1" w14:textId="702A55E0" w:rsidR="007D6A29" w:rsidRPr="007D6A29" w:rsidRDefault="007D6A29" w:rsidP="007D6A29">
                <w:pPr>
                  <w:pStyle w:val="Prrafodelista"/>
                  <w:numPr>
                    <w:ilvl w:val="0"/>
                    <w:numId w:val="5"/>
                  </w:numPr>
                  <w:spacing w:line="276" w:lineRule="auto"/>
                  <w:ind w:left="1113" w:right="90"/>
                  <w:jc w:val="both"/>
                  <w:rPr>
                    <w:rFonts w:eastAsia="Calibri" w:cstheme="minorHAnsi"/>
                    <w:sz w:val="18"/>
                    <w:szCs w:val="18"/>
                    <w:lang w:val="es-ES"/>
                  </w:rPr>
                </w:pPr>
                <w:r w:rsidRPr="007D6A29">
                  <w:rPr>
                    <w:rFonts w:eastAsia="Calibri" w:cstheme="minorHAnsi"/>
                    <w:sz w:val="18"/>
                    <w:szCs w:val="18"/>
                    <w:lang w:val="es-ES"/>
                  </w:rPr>
                  <w:t>Reservas 1P de hidrocarburos (TJ) = Suma de las reservas probadas de crudo y gas natural al final del año, en TJ.</w:t>
                </w:r>
              </w:p>
              <w:p w14:paraId="1744E369" w14:textId="77777777" w:rsidR="007D6A29" w:rsidRPr="007D6A29" w:rsidRDefault="007D6A29" w:rsidP="007D6A29">
                <w:pPr>
                  <w:spacing w:line="276" w:lineRule="auto"/>
                  <w:ind w:right="90"/>
                  <w:jc w:val="both"/>
                  <w:rPr>
                    <w:rFonts w:eastAsia="Calibri" w:cstheme="minorHAnsi"/>
                    <w:sz w:val="18"/>
                    <w:szCs w:val="18"/>
                    <w:lang w:val="es-ES"/>
                  </w:rPr>
                </w:pPr>
              </w:p>
              <w:p w14:paraId="48D4F049" w14:textId="614F4917" w:rsidR="007D6A29" w:rsidRPr="007D6A29" w:rsidRDefault="007D6A29" w:rsidP="007D6A29">
                <w:pPr>
                  <w:pStyle w:val="Prrafodelista"/>
                  <w:numPr>
                    <w:ilvl w:val="0"/>
                    <w:numId w:val="5"/>
                  </w:numPr>
                  <w:spacing w:line="276" w:lineRule="auto"/>
                  <w:ind w:right="90"/>
                  <w:jc w:val="both"/>
                  <w:rPr>
                    <w:rFonts w:eastAsia="Calibri" w:cstheme="minorHAnsi"/>
                    <w:sz w:val="18"/>
                    <w:szCs w:val="18"/>
                    <w:lang w:val="es-ES"/>
                  </w:rPr>
                </w:pPr>
                <w:r w:rsidRPr="007D6A29">
                  <w:rPr>
                    <w:rFonts w:eastAsia="Calibri" w:cstheme="minorHAnsi"/>
                    <w:sz w:val="18"/>
                    <w:szCs w:val="18"/>
                    <w:lang w:val="es-ES"/>
                  </w:rPr>
                  <w:t>Sumar la producción anual de crudo y gas natural:</w:t>
                </w:r>
              </w:p>
              <w:p w14:paraId="2C1302C1" w14:textId="5360E97D" w:rsidR="007D6A29" w:rsidRPr="007D6A29" w:rsidRDefault="007D6A29" w:rsidP="007D6A29">
                <w:pPr>
                  <w:pStyle w:val="Prrafodelista"/>
                  <w:numPr>
                    <w:ilvl w:val="0"/>
                    <w:numId w:val="5"/>
                  </w:numPr>
                  <w:spacing w:line="276" w:lineRule="auto"/>
                  <w:ind w:left="1113" w:right="90"/>
                  <w:jc w:val="both"/>
                  <w:rPr>
                    <w:rFonts w:eastAsia="Calibri" w:cstheme="minorHAnsi"/>
                    <w:sz w:val="18"/>
                    <w:szCs w:val="18"/>
                    <w:lang w:val="es-ES"/>
                  </w:rPr>
                </w:pPr>
                <w:r w:rsidRPr="007D6A29">
                  <w:rPr>
                    <w:rFonts w:eastAsia="Calibri" w:cstheme="minorHAnsi"/>
                    <w:sz w:val="18"/>
                    <w:szCs w:val="18"/>
                    <w:lang w:val="es-ES"/>
                  </w:rPr>
                  <w:t>Producción anual de hidrocarburos (TJ) = Suma de la producción anual de crudo y gas natural, convertida a TJ.</w:t>
                </w:r>
              </w:p>
              <w:p w14:paraId="705D5E9B" w14:textId="77777777" w:rsidR="007D6A29" w:rsidRPr="007D6A29" w:rsidRDefault="007D6A29" w:rsidP="007D6A29">
                <w:pPr>
                  <w:spacing w:line="276" w:lineRule="auto"/>
                  <w:ind w:right="90"/>
                  <w:jc w:val="both"/>
                  <w:rPr>
                    <w:rFonts w:eastAsia="Calibri" w:cstheme="minorHAnsi"/>
                    <w:sz w:val="18"/>
                    <w:szCs w:val="18"/>
                    <w:lang w:val="es-ES"/>
                  </w:rPr>
                </w:pPr>
              </w:p>
              <w:p w14:paraId="0AFDF6AD" w14:textId="7D03BB76" w:rsidR="00CD5F5F" w:rsidRPr="007D6A29" w:rsidRDefault="007D6A29" w:rsidP="007D6A29">
                <w:pPr>
                  <w:pStyle w:val="Prrafodelista"/>
                  <w:numPr>
                    <w:ilvl w:val="0"/>
                    <w:numId w:val="5"/>
                  </w:numPr>
                  <w:spacing w:line="276" w:lineRule="auto"/>
                  <w:ind w:right="90"/>
                  <w:jc w:val="both"/>
                  <w:rPr>
                    <w:rFonts w:eastAsia="Calibri" w:cstheme="minorHAnsi"/>
                    <w:sz w:val="18"/>
                    <w:szCs w:val="18"/>
                    <w:lang w:val="es-ES"/>
                  </w:rPr>
                </w:pPr>
                <w:r w:rsidRPr="007D6A29">
                  <w:rPr>
                    <w:rFonts w:eastAsia="Calibri" w:cstheme="minorHAnsi"/>
                    <w:sz w:val="18"/>
                    <w:szCs w:val="18"/>
                    <w:lang w:val="es-ES"/>
                  </w:rPr>
                  <w:t>Reemplazar los valores en la fórmula del indicador para obtener el número de años en los que, manteniendo el ritmo de producción actual, se agotarían las reservas probadas.</w:t>
                </w:r>
              </w:p>
              <w:p w14:paraId="53B1EABA" w14:textId="77777777" w:rsidR="00CD5F5F" w:rsidRDefault="00CD5F5F" w:rsidP="00CD5F5F">
                <w:pPr>
                  <w:spacing w:line="276" w:lineRule="auto"/>
                  <w:ind w:right="90"/>
                  <w:jc w:val="both"/>
                  <w:rPr>
                    <w:rFonts w:eastAsia="Calibri" w:cstheme="minorHAnsi"/>
                    <w:sz w:val="18"/>
                    <w:szCs w:val="18"/>
                    <w:lang w:val="es-ES"/>
                  </w:rPr>
                </w:pPr>
              </w:p>
              <w:p w14:paraId="4B3D8285" w14:textId="77777777" w:rsid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Presentación de resultados</w:t>
                </w:r>
              </w:p>
              <w:p w14:paraId="4D5B10ED" w14:textId="77777777" w:rsidR="00CD5F5F" w:rsidRDefault="00CD5F5F" w:rsidP="00CD5F5F">
                <w:pPr>
                  <w:spacing w:line="276" w:lineRule="auto"/>
                  <w:ind w:right="90"/>
                  <w:jc w:val="both"/>
                  <w:rPr>
                    <w:rFonts w:eastAsia="Calibri" w:cstheme="minorHAnsi"/>
                    <w:sz w:val="18"/>
                    <w:szCs w:val="18"/>
                    <w:lang w:val="es-ES"/>
                  </w:rPr>
                </w:pPr>
              </w:p>
              <w:p w14:paraId="3DBD7461" w14:textId="5DAEC3AC" w:rsidR="006238AE" w:rsidRPr="00CD5F5F" w:rsidRDefault="007D6A29" w:rsidP="00CD5F5F">
                <w:pPr>
                  <w:spacing w:line="276" w:lineRule="auto"/>
                  <w:ind w:right="90"/>
                  <w:jc w:val="both"/>
                  <w:rPr>
                    <w:rFonts w:eastAsia="Calibri" w:cstheme="minorHAnsi"/>
                    <w:sz w:val="18"/>
                    <w:szCs w:val="18"/>
                    <w:u w:val="single"/>
                    <w:lang w:val="es-ES"/>
                  </w:rPr>
                </w:pPr>
                <w:r w:rsidRPr="007D6A29">
                  <w:rPr>
                    <w:rFonts w:eastAsia="Calibri" w:cstheme="minorHAnsi"/>
                    <w:sz w:val="18"/>
                    <w:szCs w:val="18"/>
                    <w:lang w:val="es-CO"/>
                  </w:rPr>
                  <w:t>El indicador se expresa en número de años y representa el tiempo estimado en que podrían mantenerse las reservas probadas (1P) de hidrocarburos en Colombia, considerando el ritmo actual de extracción. Este resultado permite evidenciar la disponibilidad energética del país, aportando al análisis de sostenibilidad del sistema energético y a la planeación estratégica para la transición hacia fuentes más limpias y seguras.</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11B38D3B" w14:textId="77777777" w:rsidR="00F95B4E" w:rsidRPr="00F95B4E" w:rsidRDefault="00F95B4E" w:rsidP="00F95B4E">
                <w:pPr>
                  <w:jc w:val="both"/>
                  <w:rPr>
                    <w:rFonts w:eastAsia="Calibri" w:cstheme="minorHAnsi"/>
                    <w:sz w:val="18"/>
                    <w:szCs w:val="18"/>
                    <w:lang w:val="es-ES"/>
                  </w:rPr>
                </w:pPr>
                <w:r w:rsidRPr="00F95B4E">
                  <w:rPr>
                    <w:rFonts w:eastAsia="Calibri" w:cstheme="minorHAnsi"/>
                    <w:sz w:val="18"/>
                    <w:szCs w:val="18"/>
                    <w:lang w:val="es-ES"/>
                  </w:rPr>
                  <w:t>El valor obtenido permite identificar el horizonte de disponibilidad de las reservas probadas de hidrocarburos en Colombia, en función del ritmo actual de producción. Un valor alto del indicador refleja una alta disponibilidad energética, lo que otorga mayor estabilidad al sistema energético y margen para avanzar en una transición ordenada hacia fuentes más sostenibles. Por el contrario, un valor bajo indica un riesgo de agotamiento en el corto o mediano plazo, lo que puede comprometer la seguridad energética del país y requerir ajustes urgentes en las políticas de exploración, reposición y diversificación de la matriz energética.</w:t>
                </w:r>
              </w:p>
              <w:p w14:paraId="303DDE36" w14:textId="77777777" w:rsidR="00F95B4E" w:rsidRPr="00F95B4E" w:rsidRDefault="00F95B4E" w:rsidP="00F95B4E">
                <w:pPr>
                  <w:jc w:val="both"/>
                  <w:rPr>
                    <w:rFonts w:eastAsia="Calibri" w:cstheme="minorHAnsi"/>
                    <w:sz w:val="18"/>
                    <w:szCs w:val="18"/>
                    <w:lang w:val="es-ES"/>
                  </w:rPr>
                </w:pPr>
              </w:p>
              <w:p w14:paraId="2A2CB002" w14:textId="508285EC" w:rsidR="00CD5F5F" w:rsidRDefault="00F95B4E" w:rsidP="00F95B4E">
                <w:pPr>
                  <w:ind w:right="98"/>
                  <w:jc w:val="both"/>
                  <w:rPr>
                    <w:rFonts w:eastAsia="Calibri" w:cstheme="minorHAnsi"/>
                    <w:color w:val="FF0000"/>
                    <w:sz w:val="18"/>
                    <w:szCs w:val="18"/>
                    <w:lang w:val="es-ES"/>
                  </w:rPr>
                </w:pPr>
                <w:r w:rsidRPr="00F95B4E">
                  <w:rPr>
                    <w:rFonts w:eastAsia="Calibri" w:cstheme="minorHAnsi"/>
                    <w:sz w:val="18"/>
                    <w:szCs w:val="18"/>
                    <w:lang w:val="es-ES"/>
                  </w:rPr>
                  <w:t>A continuación, se presenta una tabla que categoriza los resultados del indicador según rangos temporales, facilitando su interpretación y aplicación en procesos de planeación energética y toma de decisiones.</w:t>
                </w:r>
              </w:p>
              <w:p w14:paraId="46EDDDDE" w14:textId="77777777" w:rsidR="00F95B4E" w:rsidRDefault="00F95B4E" w:rsidP="00CD5F5F">
                <w:pPr>
                  <w:ind w:right="98"/>
                  <w:jc w:val="both"/>
                  <w:rPr>
                    <w:rFonts w:eastAsia="Calibri" w:cstheme="minorHAnsi"/>
                    <w:color w:val="FF0000"/>
                    <w:sz w:val="18"/>
                    <w:szCs w:val="18"/>
                    <w:lang w:val="es-ES"/>
                  </w:rPr>
                </w:pPr>
              </w:p>
              <w:tbl>
                <w:tblPr>
                  <w:tblStyle w:val="Tabladelista4-nfasis6"/>
                  <w:tblW w:w="0" w:type="auto"/>
                  <w:tblCellMar>
                    <w:top w:w="57" w:type="dxa"/>
                    <w:left w:w="57" w:type="dxa"/>
                    <w:bottom w:w="57" w:type="dxa"/>
                    <w:right w:w="57" w:type="dxa"/>
                  </w:tblCellMar>
                  <w:tblLook w:val="04A0" w:firstRow="1" w:lastRow="0" w:firstColumn="1" w:lastColumn="0" w:noHBand="0" w:noVBand="1"/>
                </w:tblPr>
                <w:tblGrid>
                  <w:gridCol w:w="1390"/>
                  <w:gridCol w:w="4111"/>
                  <w:gridCol w:w="142"/>
                  <w:gridCol w:w="1711"/>
                </w:tblGrid>
                <w:tr w:rsidR="00F95B4E" w:rsidRPr="003A157B" w14:paraId="1940926B" w14:textId="3C684D2C" w:rsidTr="00F9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bottom w:val="single" w:sz="4" w:space="0" w:color="auto"/>
                      </w:tcBorders>
                      <w:shd w:val="clear" w:color="auto" w:fill="D9D9D9" w:themeFill="background1" w:themeFillShade="D9"/>
                      <w:vAlign w:val="center"/>
                    </w:tcPr>
                    <w:p w14:paraId="2E655774" w14:textId="77777777" w:rsidR="00F95B4E" w:rsidRPr="00F95B4E" w:rsidRDefault="00F95B4E" w:rsidP="00F95B4E">
                      <w:pPr>
                        <w:jc w:val="center"/>
                        <w:rPr>
                          <w:rFonts w:ascii="Arial" w:hAnsi="Arial" w:cs="Arial"/>
                          <w:color w:val="auto"/>
                          <w:sz w:val="18"/>
                          <w:szCs w:val="18"/>
                        </w:rPr>
                      </w:pPr>
                      <w:r w:rsidRPr="00F95B4E">
                        <w:rPr>
                          <w:rFonts w:ascii="Arial" w:hAnsi="Arial" w:cs="Arial"/>
                          <w:color w:val="auto"/>
                          <w:sz w:val="18"/>
                          <w:szCs w:val="18"/>
                        </w:rPr>
                        <w:t>R/P</w:t>
                      </w:r>
                    </w:p>
                  </w:tc>
                  <w:tc>
                    <w:tcPr>
                      <w:tcW w:w="4111" w:type="dxa"/>
                      <w:tcBorders>
                        <w:top w:val="single" w:sz="4" w:space="0" w:color="auto"/>
                        <w:bottom w:val="single" w:sz="4" w:space="0" w:color="auto"/>
                      </w:tcBorders>
                      <w:shd w:val="clear" w:color="auto" w:fill="D9D9D9" w:themeFill="background1" w:themeFillShade="D9"/>
                      <w:vAlign w:val="center"/>
                    </w:tcPr>
                    <w:p w14:paraId="00D8D3C3" w14:textId="77777777" w:rsidR="00F95B4E" w:rsidRPr="00F95B4E" w:rsidRDefault="00F95B4E" w:rsidP="00F95B4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rPr>
                      </w:pPr>
                      <w:r w:rsidRPr="00F95B4E">
                        <w:rPr>
                          <w:rFonts w:ascii="Arial" w:hAnsi="Arial" w:cs="Arial"/>
                          <w:color w:val="auto"/>
                          <w:sz w:val="18"/>
                          <w:szCs w:val="18"/>
                        </w:rPr>
                        <w:t>Interpretación</w:t>
                      </w:r>
                    </w:p>
                  </w:tc>
                  <w:tc>
                    <w:tcPr>
                      <w:tcW w:w="1853" w:type="dxa"/>
                      <w:gridSpan w:val="2"/>
                      <w:tcBorders>
                        <w:top w:val="single" w:sz="4" w:space="0" w:color="auto"/>
                        <w:bottom w:val="single" w:sz="4" w:space="0" w:color="auto"/>
                      </w:tcBorders>
                      <w:shd w:val="clear" w:color="auto" w:fill="D9D9D9" w:themeFill="background1" w:themeFillShade="D9"/>
                    </w:tcPr>
                    <w:p w14:paraId="086561FC" w14:textId="6E884660" w:rsidR="00F95B4E" w:rsidRPr="00F95B4E" w:rsidRDefault="000301ED" w:rsidP="00F95B4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301ED">
                        <w:rPr>
                          <w:rFonts w:ascii="Arial" w:hAnsi="Arial" w:cs="Arial"/>
                          <w:color w:val="auto"/>
                          <w:sz w:val="18"/>
                          <w:szCs w:val="18"/>
                        </w:rPr>
                        <w:t>Puntaje asignado para el índice de gobernanza</w:t>
                      </w:r>
                    </w:p>
                  </w:tc>
                </w:tr>
                <w:tr w:rsidR="00F95B4E" w:rsidRPr="003A157B" w14:paraId="596FDDEF" w14:textId="346CC196" w:rsidTr="00F9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8AB833"/>
                      <w:vAlign w:val="center"/>
                    </w:tcPr>
                    <w:p w14:paraId="5D3DDDA6" w14:textId="77777777" w:rsidR="00F95B4E" w:rsidRPr="00F95B4E" w:rsidRDefault="00F95B4E" w:rsidP="00F95B4E">
                      <w:pPr>
                        <w:jc w:val="center"/>
                        <w:rPr>
                          <w:rFonts w:ascii="Arial" w:hAnsi="Arial" w:cs="Arial"/>
                          <w:b w:val="0"/>
                          <w:bCs w:val="0"/>
                          <w:sz w:val="18"/>
                          <w:szCs w:val="18"/>
                        </w:rPr>
                      </w:pPr>
                      <w:r w:rsidRPr="00F95B4E">
                        <w:rPr>
                          <w:rFonts w:ascii="Arial" w:hAnsi="Arial" w:cs="Arial"/>
                          <w:b w:val="0"/>
                          <w:bCs w:val="0"/>
                          <w:color w:val="FFFFFF" w:themeColor="background1"/>
                          <w:sz w:val="18"/>
                          <w:szCs w:val="18"/>
                        </w:rPr>
                        <w:t>&gt; 50 años</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296D1949" w14:textId="77777777" w:rsidR="00F95B4E" w:rsidRPr="00F95B4E" w:rsidRDefault="00F95B4E" w:rsidP="00F95B4E">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95B4E">
                        <w:rPr>
                          <w:rFonts w:ascii="Arial" w:hAnsi="Arial" w:cs="Arial"/>
                          <w:sz w:val="18"/>
                          <w:szCs w:val="18"/>
                        </w:rPr>
                        <w:t>Alta disponibilidad energética. Brinda margen para inversiones y una transición energética estable.</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4B4B6471" w14:textId="0987FA99" w:rsidR="00F95B4E" w:rsidRPr="00F95B4E"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21</w:t>
                      </w:r>
                    </w:p>
                  </w:tc>
                </w:tr>
                <w:tr w:rsidR="00F95B4E" w:rsidRPr="003A157B" w14:paraId="2606848C" w14:textId="265931CC" w:rsidTr="00F95B4E">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FF00"/>
                      <w:vAlign w:val="center"/>
                    </w:tcPr>
                    <w:p w14:paraId="33A2008D" w14:textId="77777777" w:rsidR="00F95B4E" w:rsidRPr="00F95B4E" w:rsidRDefault="00F95B4E" w:rsidP="00F95B4E">
                      <w:pPr>
                        <w:jc w:val="center"/>
                        <w:rPr>
                          <w:rFonts w:ascii="Arial" w:hAnsi="Arial" w:cs="Arial"/>
                          <w:b w:val="0"/>
                          <w:bCs w:val="0"/>
                          <w:sz w:val="18"/>
                          <w:szCs w:val="18"/>
                        </w:rPr>
                      </w:pPr>
                      <w:r w:rsidRPr="00F95B4E">
                        <w:rPr>
                          <w:rFonts w:ascii="Arial" w:hAnsi="Arial" w:cs="Arial"/>
                          <w:b w:val="0"/>
                          <w:bCs w:val="0"/>
                          <w:sz w:val="18"/>
                          <w:szCs w:val="18"/>
                        </w:rPr>
                        <w:t>30 - 50 años</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68FBFC2F" w14:textId="77777777" w:rsidR="00F95B4E" w:rsidRPr="00F95B4E" w:rsidRDefault="00F95B4E" w:rsidP="00F95B4E">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95B4E">
                        <w:rPr>
                          <w:rFonts w:ascii="Arial" w:hAnsi="Arial" w:cs="Arial"/>
                          <w:sz w:val="18"/>
                          <w:szCs w:val="18"/>
                        </w:rPr>
                        <w:t>Disponibilidad moderada. Permite operación estable, pero requiere monitoreo para prevenir caídas en la seguridad energética.</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46D8246B" w14:textId="2955346E" w:rsidR="00F95B4E" w:rsidRPr="00F95B4E" w:rsidRDefault="00F95B4E" w:rsidP="00F95B4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16</w:t>
                      </w:r>
                    </w:p>
                  </w:tc>
                </w:tr>
                <w:tr w:rsidR="00F95B4E" w:rsidRPr="003A157B" w14:paraId="057C554D" w14:textId="6CF9F762" w:rsidTr="00F9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C000"/>
                      <w:vAlign w:val="center"/>
                    </w:tcPr>
                    <w:p w14:paraId="6317B0CB" w14:textId="77777777" w:rsidR="00F95B4E" w:rsidRPr="00F95B4E" w:rsidRDefault="00F95B4E" w:rsidP="00F95B4E">
                      <w:pPr>
                        <w:jc w:val="center"/>
                        <w:rPr>
                          <w:rFonts w:ascii="Arial" w:hAnsi="Arial" w:cs="Arial"/>
                          <w:b w:val="0"/>
                          <w:bCs w:val="0"/>
                          <w:sz w:val="18"/>
                          <w:szCs w:val="18"/>
                        </w:rPr>
                      </w:pPr>
                      <w:r w:rsidRPr="00F95B4E">
                        <w:rPr>
                          <w:rFonts w:ascii="Arial" w:hAnsi="Arial" w:cs="Arial"/>
                          <w:b w:val="0"/>
                          <w:bCs w:val="0"/>
                          <w:sz w:val="18"/>
                          <w:szCs w:val="18"/>
                        </w:rPr>
                        <w:t>15 - 30 años</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1EE655F5" w14:textId="77777777" w:rsidR="00F95B4E" w:rsidRPr="00F95B4E" w:rsidRDefault="00F95B4E" w:rsidP="00F95B4E">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95B4E">
                        <w:rPr>
                          <w:rFonts w:ascii="Arial" w:hAnsi="Arial" w:cs="Arial"/>
                          <w:sz w:val="18"/>
                          <w:szCs w:val="18"/>
                        </w:rPr>
                        <w:t>Atención necesaria. Se recomienda inversión en exploración para evitar riesgos de desabastecimiento a futuro.</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72EFAADB" w14:textId="4878A025" w:rsidR="00F95B4E"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11</w:t>
                      </w:r>
                    </w:p>
                    <w:p w14:paraId="4C9454A0" w14:textId="77777777" w:rsidR="00F95B4E" w:rsidRPr="00F95B4E" w:rsidRDefault="00F95B4E" w:rsidP="00F95B4E">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F95B4E" w:rsidRPr="003A157B" w14:paraId="3700D791" w14:textId="717F58DC" w:rsidTr="00F95B4E">
                  <w:tc>
                    <w:tcPr>
                      <w:cnfStyle w:val="001000000000" w:firstRow="0" w:lastRow="0" w:firstColumn="1" w:lastColumn="0" w:oddVBand="0" w:evenVBand="0" w:oddHBand="0" w:evenHBand="0" w:firstRowFirstColumn="0" w:firstRowLastColumn="0" w:lastRowFirstColumn="0" w:lastRowLastColumn="0"/>
                      <w:tcW w:w="1390" w:type="dxa"/>
                      <w:tcBorders>
                        <w:top w:val="single" w:sz="4" w:space="0" w:color="auto"/>
                        <w:left w:val="single" w:sz="4" w:space="0" w:color="auto"/>
                        <w:bottom w:val="single" w:sz="4" w:space="0" w:color="auto"/>
                        <w:right w:val="single" w:sz="4" w:space="0" w:color="auto"/>
                      </w:tcBorders>
                      <w:shd w:val="clear" w:color="auto" w:fill="FF0000"/>
                      <w:vAlign w:val="center"/>
                    </w:tcPr>
                    <w:p w14:paraId="0DE10E6B" w14:textId="77777777" w:rsidR="00F95B4E" w:rsidRPr="00F95B4E" w:rsidRDefault="00F95B4E" w:rsidP="00F95B4E">
                      <w:pPr>
                        <w:jc w:val="center"/>
                        <w:rPr>
                          <w:rFonts w:ascii="Arial" w:hAnsi="Arial" w:cs="Arial"/>
                          <w:b w:val="0"/>
                          <w:bCs w:val="0"/>
                          <w:sz w:val="18"/>
                          <w:szCs w:val="18"/>
                        </w:rPr>
                      </w:pPr>
                      <w:r w:rsidRPr="00F95B4E">
                        <w:rPr>
                          <w:rFonts w:ascii="Arial" w:hAnsi="Arial" w:cs="Arial"/>
                          <w:b w:val="0"/>
                          <w:bCs w:val="0"/>
                          <w:color w:val="FFFFFF" w:themeColor="background1"/>
                          <w:sz w:val="18"/>
                          <w:szCs w:val="18"/>
                        </w:rPr>
                        <w:t>&lt; 15 años</w:t>
                      </w:r>
                    </w:p>
                  </w:tc>
                  <w:tc>
                    <w:tcPr>
                      <w:tcW w:w="4253" w:type="dxa"/>
                      <w:gridSpan w:val="2"/>
                      <w:tcBorders>
                        <w:top w:val="single" w:sz="4" w:space="0" w:color="auto"/>
                        <w:left w:val="single" w:sz="4" w:space="0" w:color="auto"/>
                        <w:bottom w:val="single" w:sz="4" w:space="0" w:color="auto"/>
                        <w:right w:val="single" w:sz="4" w:space="0" w:color="auto"/>
                      </w:tcBorders>
                      <w:shd w:val="clear" w:color="auto" w:fill="auto"/>
                    </w:tcPr>
                    <w:p w14:paraId="0DF2CF21" w14:textId="77777777" w:rsidR="00F95B4E" w:rsidRPr="00F95B4E" w:rsidRDefault="00F95B4E" w:rsidP="00F95B4E">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95B4E">
                        <w:rPr>
                          <w:rFonts w:ascii="Arial" w:hAnsi="Arial" w:cs="Arial"/>
                          <w:sz w:val="18"/>
                          <w:szCs w:val="18"/>
                        </w:rPr>
                        <w:t>Riesgo de agotamiento. Es necesario reforzar estrategias de diversificación y sustitución energética.</w:t>
                      </w:r>
                    </w:p>
                  </w:tc>
                  <w:tc>
                    <w:tcPr>
                      <w:tcW w:w="1711" w:type="dxa"/>
                      <w:tcBorders>
                        <w:top w:val="single" w:sz="4" w:space="0" w:color="auto"/>
                        <w:left w:val="single" w:sz="4" w:space="0" w:color="auto"/>
                        <w:bottom w:val="single" w:sz="4" w:space="0" w:color="auto"/>
                        <w:right w:val="single" w:sz="4" w:space="0" w:color="auto"/>
                      </w:tcBorders>
                      <w:shd w:val="clear" w:color="auto" w:fill="auto"/>
                      <w:vAlign w:val="center"/>
                    </w:tcPr>
                    <w:p w14:paraId="3D80EEDA" w14:textId="56A47F49" w:rsidR="00F95B4E" w:rsidRPr="00F95B4E" w:rsidRDefault="00F95B4E" w:rsidP="00F95B4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6</w:t>
                      </w:r>
                    </w:p>
                  </w:tc>
                </w:tr>
              </w:tbl>
              <w:p w14:paraId="1797FCB7" w14:textId="7E9C22BE" w:rsidR="00077011" w:rsidRPr="00DD20DE" w:rsidRDefault="00077011" w:rsidP="00CD5F5F">
                <w:pPr>
                  <w:ind w:right="98"/>
                  <w:jc w:val="both"/>
                  <w:rPr>
                    <w:rFonts w:eastAsia="Calibri" w:cstheme="minorHAnsi"/>
                    <w:color w:val="FF0000"/>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0E9B730" w14:textId="64DC59C7" w:rsidR="00F95B4E" w:rsidRDefault="00171A1C" w:rsidP="00E54A32">
                <w:pPr>
                  <w:ind w:right="99"/>
                  <w:jc w:val="both"/>
                  <w:rPr>
                    <w:rFonts w:eastAsia="Calibri" w:cstheme="minorHAnsi"/>
                    <w:sz w:val="18"/>
                    <w:szCs w:val="18"/>
                    <w:lang w:val="es-CO"/>
                  </w:rPr>
                </w:pPr>
                <w:r w:rsidRPr="00171A1C">
                  <w:rPr>
                    <w:rFonts w:eastAsia="Calibri" w:cstheme="minorHAnsi"/>
                    <w:sz w:val="18"/>
                    <w:szCs w:val="18"/>
                    <w:lang w:val="es-CO"/>
                  </w:rPr>
                  <w:t>A continuación, se presenta el cálculo del indicador de disponibilidad de reservas de hidrocarburos (R/P) para la vigencia 2023. Se estiman de manera individual los valores del indicador para el petróleo crudo y el gas natural, y posteriormente se consolida el resultado agregado, el cual refleja el horizonte conjunto de disponibilidad de ambos recursos energéticos frente al ritmo actual de producción</w:t>
                </w:r>
              </w:p>
              <w:p w14:paraId="2F8ACBB1" w14:textId="77777777" w:rsidR="00171A1C" w:rsidRDefault="00171A1C" w:rsidP="00E54A32">
                <w:pPr>
                  <w:ind w:right="99"/>
                  <w:jc w:val="both"/>
                  <w:rPr>
                    <w:rFonts w:eastAsia="Calibri" w:cstheme="minorHAnsi"/>
                    <w:sz w:val="18"/>
                    <w:szCs w:val="18"/>
                    <w:lang w:val="es-ES"/>
                  </w:rPr>
                </w:pPr>
              </w:p>
              <w:p w14:paraId="1EB4CC8C" w14:textId="18998BBD" w:rsidR="006A29B2" w:rsidRPr="006A29B2" w:rsidRDefault="006A29B2" w:rsidP="00E54A32">
                <w:pPr>
                  <w:ind w:right="99"/>
                  <w:jc w:val="both"/>
                  <w:rPr>
                    <w:rFonts w:eastAsia="Calibri" w:cstheme="minorHAnsi"/>
                    <w:sz w:val="18"/>
                    <w:szCs w:val="18"/>
                    <w:lang w:val="es-ES"/>
                  </w:rPr>
                </w:pPr>
                <m:oMathPara>
                  <m:oMath>
                    <m:r>
                      <w:rPr>
                        <w:rFonts w:ascii="Cambria Math" w:eastAsia="Arial Narrow" w:hAnsi="Cambria Math"/>
                        <w:sz w:val="18"/>
                        <w:szCs w:val="18"/>
                        <w:lang w:eastAsia="es-CO"/>
                      </w:rPr>
                      <m:t xml:space="preserve">R/P=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Reservas 1P de hidrocarburos al final del año</m:t>
                            </m:r>
                          </m:num>
                          <m:den>
                            <m:r>
                              <w:rPr>
                                <w:rFonts w:ascii="Cambria Math" w:eastAsia="Arial Narrow" w:hAnsi="Cambria Math"/>
                                <w:sz w:val="18"/>
                                <w:szCs w:val="18"/>
                                <w:lang w:eastAsia="es-CO"/>
                              </w:rPr>
                              <m:t>Producción anual de hidrocarburos</m:t>
                            </m:r>
                          </m:den>
                        </m:f>
                      </m:e>
                    </m:d>
                    <m:r>
                      <w:rPr>
                        <w:rFonts w:ascii="Cambria Math" w:eastAsia="Arial Narrow" w:hAnsi="Cambria Math"/>
                        <w:sz w:val="18"/>
                        <w:szCs w:val="18"/>
                        <w:lang w:eastAsia="es-CO"/>
                      </w:rPr>
                      <m:t xml:space="preserve"> </m:t>
                    </m:r>
                  </m:oMath>
                </m:oMathPara>
              </w:p>
              <w:p w14:paraId="25BC8E0B" w14:textId="26358B1F" w:rsidR="00CD5F5F" w:rsidRPr="006A29B2" w:rsidRDefault="00000000" w:rsidP="00E54A32">
                <w:pPr>
                  <w:ind w:right="99"/>
                  <w:jc w:val="both"/>
                  <w:rPr>
                    <w:rFonts w:eastAsia="Calibri" w:cstheme="minorHAnsi"/>
                    <w:sz w:val="18"/>
                    <w:szCs w:val="18"/>
                    <w:lang w:eastAsia="es-CO"/>
                  </w:rPr>
                </w:pPr>
                <m:oMathPara>
                  <m:oMath>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R</m:t>
                        </m:r>
                      </m:num>
                      <m:den>
                        <m:r>
                          <w:rPr>
                            <w:rFonts w:ascii="Cambria Math" w:eastAsia="Arial Narrow" w:hAnsi="Cambria Math"/>
                            <w:sz w:val="18"/>
                            <w:szCs w:val="18"/>
                            <w:lang w:eastAsia="es-CO"/>
                          </w:rPr>
                          <m:t>P</m:t>
                        </m:r>
                      </m:den>
                    </m:f>
                    <m:r>
                      <w:rPr>
                        <w:rFonts w:ascii="Cambria Math" w:eastAsia="Arial Narrow" w:hAnsi="Cambria Math"/>
                        <w:sz w:val="18"/>
                        <w:szCs w:val="18"/>
                        <w:lang w:eastAsia="es-CO"/>
                      </w:rPr>
                      <m:t xml:space="preserve"> petróleo=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xml:space="preserve">12.354.066,26 </m:t>
                            </m:r>
                          </m:num>
                          <m:den>
                            <m:r>
                              <w:rPr>
                                <w:rFonts w:ascii="Cambria Math" w:eastAsia="Arial Narrow" w:hAnsi="Cambria Math"/>
                                <w:sz w:val="18"/>
                                <w:szCs w:val="18"/>
                                <w:lang w:eastAsia="es-CO"/>
                              </w:rPr>
                              <m:t xml:space="preserve">1.738.796,4 </m:t>
                            </m:r>
                          </m:den>
                        </m:f>
                      </m:e>
                    </m:d>
                    <m:r>
                      <w:rPr>
                        <w:rFonts w:ascii="Cambria Math" w:eastAsia="Arial Narrow" w:hAnsi="Cambria Math"/>
                        <w:sz w:val="18"/>
                        <w:szCs w:val="18"/>
                        <w:lang w:eastAsia="es-CO"/>
                      </w:rPr>
                      <m:t xml:space="preserve"> =7 años </m:t>
                    </m:r>
                  </m:oMath>
                </m:oMathPara>
              </w:p>
              <w:p w14:paraId="06F400BB" w14:textId="77777777" w:rsidR="006A29B2" w:rsidRDefault="006A29B2" w:rsidP="00E54A32">
                <w:pPr>
                  <w:ind w:right="99"/>
                  <w:jc w:val="both"/>
                  <w:rPr>
                    <w:rFonts w:eastAsia="Calibri" w:cstheme="minorHAnsi"/>
                    <w:sz w:val="18"/>
                    <w:szCs w:val="18"/>
                  </w:rPr>
                </w:pPr>
              </w:p>
              <w:p w14:paraId="2573C38A" w14:textId="70CE9B55" w:rsidR="006A29B2" w:rsidRPr="0011126D" w:rsidRDefault="00000000" w:rsidP="006A29B2">
                <w:pPr>
                  <w:ind w:right="99"/>
                  <w:jc w:val="both"/>
                  <w:rPr>
                    <w:rFonts w:eastAsia="Calibri" w:cstheme="minorHAnsi"/>
                    <w:sz w:val="18"/>
                    <w:szCs w:val="18"/>
                  </w:rPr>
                </w:pPr>
                <m:oMathPara>
                  <m:oMath>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R</m:t>
                        </m:r>
                      </m:num>
                      <m:den>
                        <m:r>
                          <w:rPr>
                            <w:rFonts w:ascii="Cambria Math" w:eastAsia="Arial Narrow" w:hAnsi="Cambria Math"/>
                            <w:sz w:val="18"/>
                            <w:szCs w:val="18"/>
                            <w:lang w:eastAsia="es-CO"/>
                          </w:rPr>
                          <m:t>P</m:t>
                        </m:r>
                      </m:den>
                    </m:f>
                    <m:r>
                      <w:rPr>
                        <w:rFonts w:ascii="Cambria Math" w:eastAsia="Arial Narrow" w:hAnsi="Cambria Math"/>
                        <w:sz w:val="18"/>
                        <w:szCs w:val="18"/>
                        <w:lang w:eastAsia="es-CO"/>
                      </w:rPr>
                      <m:t xml:space="preserve"> gas=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 xml:space="preserve">2.502.615 </m:t>
                            </m:r>
                          </m:num>
                          <m:den>
                            <m:r>
                              <w:rPr>
                                <w:rFonts w:ascii="Cambria Math" w:eastAsia="Arial Narrow" w:hAnsi="Cambria Math"/>
                                <w:sz w:val="18"/>
                                <w:szCs w:val="18"/>
                                <w:lang w:eastAsia="es-CO"/>
                              </w:rPr>
                              <m:t xml:space="preserve">437.825 </m:t>
                            </m:r>
                          </m:den>
                        </m:f>
                      </m:e>
                    </m:d>
                    <m:r>
                      <w:rPr>
                        <w:rFonts w:ascii="Cambria Math" w:eastAsia="Arial Narrow" w:hAnsi="Cambria Math"/>
                        <w:sz w:val="18"/>
                        <w:szCs w:val="18"/>
                        <w:lang w:eastAsia="es-CO"/>
                      </w:rPr>
                      <m:t xml:space="preserve">=5,71 años </m:t>
                    </m:r>
                  </m:oMath>
                </m:oMathPara>
              </w:p>
              <w:p w14:paraId="1F5BF286" w14:textId="77777777" w:rsidR="006A29B2" w:rsidRPr="0011126D" w:rsidRDefault="006A29B2" w:rsidP="00E54A32">
                <w:pPr>
                  <w:ind w:right="99"/>
                  <w:jc w:val="both"/>
                  <w:rPr>
                    <w:rFonts w:eastAsia="Calibri" w:cstheme="minorHAnsi"/>
                    <w:sz w:val="18"/>
                    <w:szCs w:val="18"/>
                  </w:rPr>
                </w:pPr>
              </w:p>
              <w:p w14:paraId="30A1ECBB" w14:textId="77777777" w:rsidR="00597B99" w:rsidRPr="00597B99" w:rsidRDefault="00597B99" w:rsidP="00CD5F5F">
                <w:pPr>
                  <w:ind w:right="99"/>
                  <w:jc w:val="both"/>
                  <w:rPr>
                    <w:rFonts w:eastAsia="Calibri" w:cstheme="minorHAnsi"/>
                    <w:sz w:val="18"/>
                    <w:szCs w:val="18"/>
                    <w:lang w:eastAsia="es-CO"/>
                  </w:rPr>
                </w:pPr>
              </w:p>
              <w:bookmarkStart w:id="0" w:name="_Hlk194072806"/>
              <w:p w14:paraId="2EB60B1A" w14:textId="0E7A61AD" w:rsidR="006A29B2" w:rsidRPr="006A29B2" w:rsidRDefault="00000000" w:rsidP="006A29B2">
                <w:pPr>
                  <w:ind w:right="99"/>
                  <w:jc w:val="both"/>
                  <w:rPr>
                    <w:rFonts w:eastAsia="Calibri" w:cstheme="minorHAnsi"/>
                    <w:sz w:val="18"/>
                    <w:szCs w:val="18"/>
                    <w:lang w:val="es-ES"/>
                  </w:rPr>
                </w:pPr>
                <m:oMathPara>
                  <m:oMath>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R</m:t>
                        </m:r>
                      </m:num>
                      <m:den>
                        <m:r>
                          <w:rPr>
                            <w:rFonts w:ascii="Cambria Math" w:eastAsia="Arial Narrow" w:hAnsi="Cambria Math"/>
                            <w:sz w:val="18"/>
                            <w:szCs w:val="18"/>
                            <w:lang w:eastAsia="es-CO"/>
                          </w:rPr>
                          <m:t>P</m:t>
                        </m:r>
                      </m:den>
                    </m:f>
                    <m:r>
                      <w:rPr>
                        <w:rFonts w:ascii="Cambria Math" w:eastAsia="Arial Narrow" w:hAnsi="Cambria Math"/>
                        <w:sz w:val="18"/>
                        <w:szCs w:val="18"/>
                        <w:lang w:eastAsia="es-CO"/>
                      </w:rPr>
                      <m:t xml:space="preserve">hidrocarburos=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14.856.681,26</m:t>
                            </m:r>
                          </m:num>
                          <m:den>
                            <m:r>
                              <w:rPr>
                                <w:rFonts w:ascii="Cambria Math" w:eastAsia="Arial Narrow" w:hAnsi="Cambria Math"/>
                                <w:sz w:val="18"/>
                                <w:szCs w:val="18"/>
                                <w:lang w:eastAsia="es-CO"/>
                              </w:rPr>
                              <m:t>2.176.621,4</m:t>
                            </m:r>
                          </m:den>
                        </m:f>
                      </m:e>
                    </m:d>
                    <m:r>
                      <w:rPr>
                        <w:rFonts w:ascii="Cambria Math" w:eastAsia="Arial Narrow" w:hAnsi="Cambria Math"/>
                        <w:sz w:val="18"/>
                        <w:szCs w:val="18"/>
                        <w:lang w:eastAsia="es-CO"/>
                      </w:rPr>
                      <m:t>=6,82 años</m:t>
                    </m:r>
                  </m:oMath>
                </m:oMathPara>
              </w:p>
              <w:p w14:paraId="424E736B" w14:textId="048E1D47" w:rsidR="00CD5F5F" w:rsidRDefault="00000000" w:rsidP="00E54A32">
                <w:pPr>
                  <w:ind w:right="99"/>
                  <w:jc w:val="both"/>
                  <w:rPr>
                    <w:rFonts w:eastAsia="Calibri" w:cstheme="minorHAnsi"/>
                    <w:sz w:val="18"/>
                    <w:szCs w:val="18"/>
                    <w:lang w:val="es-ES"/>
                  </w:rPr>
                </w:pPr>
              </w:p>
            </w:sdtContent>
          </w:sdt>
          <w:bookmarkEnd w:id="0" w:displacedByCustomXml="prev"/>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bookmarkStart w:id="1" w:name="_Hlk194073060" w:displacedByCustomXml="next"/>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62B29FA1" w14:textId="77777777" w:rsidR="000301ED" w:rsidRPr="000301ED" w:rsidRDefault="000301ED" w:rsidP="000301ED">
                <w:pPr>
                  <w:ind w:right="99"/>
                  <w:jc w:val="both"/>
                  <w:rPr>
                    <w:rFonts w:eastAsia="Calibri" w:cstheme="minorHAnsi"/>
                    <w:sz w:val="18"/>
                    <w:szCs w:val="18"/>
                    <w:lang w:val="es-CO"/>
                  </w:rPr>
                </w:pPr>
                <w:r w:rsidRPr="000301ED">
                  <w:rPr>
                    <w:rFonts w:eastAsia="Calibri" w:cstheme="minorHAnsi"/>
                    <w:sz w:val="18"/>
                    <w:szCs w:val="18"/>
                    <w:lang w:val="es-CO"/>
                  </w:rPr>
                  <w:t xml:space="preserve">Para el año 2023, la disponibilidad total de reservas de hidrocarburos fue de </w:t>
                </w:r>
                <w:r w:rsidRPr="000301ED">
                  <w:rPr>
                    <w:rFonts w:eastAsia="Calibri" w:cstheme="minorHAnsi"/>
                    <w:b/>
                    <w:bCs/>
                    <w:sz w:val="18"/>
                    <w:szCs w:val="18"/>
                    <w:lang w:val="es-CO"/>
                  </w:rPr>
                  <w:t>6,82 años</w:t>
                </w:r>
                <w:r w:rsidRPr="000301ED">
                  <w:rPr>
                    <w:rFonts w:eastAsia="Calibri" w:cstheme="minorHAnsi"/>
                    <w:sz w:val="18"/>
                    <w:szCs w:val="18"/>
                    <w:lang w:val="es-CO"/>
                  </w:rPr>
                  <w:t>, con 6 puntos asignados en el índice de gobernanza. Según la tabla de interpretación, este valor ubica al país en un escenario de riesgo de agotamiento. Este nivel de reservas indica que, de mantenerse el ritmo actual de extracción, Colombia solo contaría con reservas probadas suficientes para menos de siete años, lo cual genera alertas sobre la sostenibilidad del sistema energético en el corto y mediano plazo.</w:t>
                </w:r>
              </w:p>
              <w:p w14:paraId="79A2C6B1" w14:textId="77777777" w:rsidR="000301ED" w:rsidRPr="000301ED" w:rsidRDefault="000301ED" w:rsidP="000301ED">
                <w:pPr>
                  <w:ind w:right="99"/>
                  <w:jc w:val="both"/>
                  <w:rPr>
                    <w:rFonts w:eastAsia="Calibri" w:cstheme="minorHAnsi"/>
                    <w:sz w:val="18"/>
                    <w:szCs w:val="18"/>
                    <w:lang w:val="es-CO"/>
                  </w:rPr>
                </w:pPr>
              </w:p>
              <w:p w14:paraId="74AD6105" w14:textId="77777777" w:rsidR="000301ED" w:rsidRPr="000301ED" w:rsidRDefault="000301ED" w:rsidP="000301ED">
                <w:pPr>
                  <w:ind w:right="99"/>
                  <w:jc w:val="both"/>
                  <w:rPr>
                    <w:rFonts w:eastAsia="Calibri" w:cstheme="minorHAnsi"/>
                    <w:sz w:val="18"/>
                    <w:szCs w:val="18"/>
                    <w:lang w:val="es-CO"/>
                  </w:rPr>
                </w:pPr>
                <w:r w:rsidRPr="000301ED">
                  <w:rPr>
                    <w:rFonts w:eastAsia="Calibri" w:cstheme="minorHAnsi"/>
                    <w:sz w:val="18"/>
                    <w:szCs w:val="18"/>
                    <w:lang w:val="es-CO"/>
                  </w:rPr>
                  <w:t xml:space="preserve">Al desagregar el indicador por tipo de recurso, se observa que la disponibilidad de </w:t>
                </w:r>
                <w:r w:rsidRPr="000301ED">
                  <w:rPr>
                    <w:rFonts w:eastAsia="Calibri" w:cstheme="minorHAnsi"/>
                    <w:b/>
                    <w:bCs/>
                    <w:sz w:val="18"/>
                    <w:szCs w:val="18"/>
                    <w:lang w:val="es-CO"/>
                  </w:rPr>
                  <w:t>reservas de gas natural es de 5,71 años</w:t>
                </w:r>
                <w:r w:rsidRPr="000301ED">
                  <w:rPr>
                    <w:rFonts w:eastAsia="Calibri" w:cstheme="minorHAnsi"/>
                    <w:sz w:val="18"/>
                    <w:szCs w:val="18"/>
                    <w:lang w:val="es-CO"/>
                  </w:rPr>
                  <w:t>, una cifra crítica si se considera que este recurso representa una proporción significativa del consumo energético final nacional y cumple un papel clave en la transición hacia una matriz más limpia y eficiente. Esta baja disponibilidad incrementa la vulnerabilidad energética y limita las opciones de sustitución gradual.</w:t>
                </w:r>
              </w:p>
              <w:p w14:paraId="3A6FEC3C" w14:textId="77777777" w:rsidR="000301ED" w:rsidRPr="000301ED" w:rsidRDefault="000301ED" w:rsidP="000301ED">
                <w:pPr>
                  <w:ind w:right="99"/>
                  <w:jc w:val="both"/>
                  <w:rPr>
                    <w:rFonts w:eastAsia="Calibri" w:cstheme="minorHAnsi"/>
                    <w:sz w:val="18"/>
                    <w:szCs w:val="18"/>
                    <w:lang w:val="es-CO"/>
                  </w:rPr>
                </w:pPr>
              </w:p>
              <w:p w14:paraId="72C69788" w14:textId="77777777" w:rsidR="000301ED" w:rsidRPr="000301ED" w:rsidRDefault="000301ED" w:rsidP="000301ED">
                <w:pPr>
                  <w:ind w:right="99"/>
                  <w:jc w:val="both"/>
                  <w:rPr>
                    <w:rFonts w:eastAsia="Calibri" w:cstheme="minorHAnsi"/>
                    <w:sz w:val="18"/>
                    <w:szCs w:val="18"/>
                    <w:lang w:val="es-CO"/>
                  </w:rPr>
                </w:pPr>
                <w:r w:rsidRPr="000301ED">
                  <w:rPr>
                    <w:rFonts w:eastAsia="Calibri" w:cstheme="minorHAnsi"/>
                    <w:sz w:val="18"/>
                    <w:szCs w:val="18"/>
                    <w:lang w:val="es-CO"/>
                  </w:rPr>
                  <w:t xml:space="preserve">Por su parte, la disponibilidad de </w:t>
                </w:r>
                <w:r w:rsidRPr="000301ED">
                  <w:rPr>
                    <w:rFonts w:eastAsia="Calibri" w:cstheme="minorHAnsi"/>
                    <w:b/>
                    <w:bCs/>
                    <w:sz w:val="18"/>
                    <w:szCs w:val="18"/>
                    <w:lang w:val="es-CO"/>
                  </w:rPr>
                  <w:t>reservas de petróleo crudo fue de 7 años</w:t>
                </w:r>
                <w:r w:rsidRPr="000301ED">
                  <w:rPr>
                    <w:rFonts w:eastAsia="Calibri" w:cstheme="minorHAnsi"/>
                    <w:sz w:val="18"/>
                    <w:szCs w:val="18"/>
                    <w:lang w:val="es-CO"/>
                  </w:rPr>
                  <w:t>, una cifra apenas superior, pero que también refleja un escenario de presión sobre los recursos energéticos. Aunque el crudo tiene una participación menor en la matriz energética frente al gas, su agotamiento podría afectar los ingresos fiscales y las dinámicas económicas asociadas al sector extractivo.</w:t>
                </w:r>
              </w:p>
              <w:p w14:paraId="47B01F29" w14:textId="77777777" w:rsidR="000301ED" w:rsidRPr="000301ED" w:rsidRDefault="000301ED" w:rsidP="000301ED">
                <w:pPr>
                  <w:ind w:right="99"/>
                  <w:jc w:val="both"/>
                  <w:rPr>
                    <w:rFonts w:eastAsia="Calibri" w:cstheme="minorHAnsi"/>
                    <w:sz w:val="18"/>
                    <w:szCs w:val="18"/>
                    <w:lang w:val="es-CO"/>
                  </w:rPr>
                </w:pPr>
              </w:p>
              <w:p w14:paraId="5D5B15BC" w14:textId="4AA85151" w:rsidR="005133CE" w:rsidRDefault="000301ED" w:rsidP="000301ED">
                <w:pPr>
                  <w:ind w:right="99"/>
                  <w:jc w:val="both"/>
                  <w:rPr>
                    <w:rFonts w:eastAsia="Calibri" w:cstheme="minorHAnsi"/>
                    <w:sz w:val="18"/>
                    <w:szCs w:val="18"/>
                    <w:lang w:val="es-ES"/>
                  </w:rPr>
                </w:pPr>
                <w:r w:rsidRPr="000301ED">
                  <w:rPr>
                    <w:rFonts w:eastAsia="Calibri" w:cstheme="minorHAnsi"/>
                    <w:sz w:val="18"/>
                    <w:szCs w:val="18"/>
                    <w:lang w:val="es-CO"/>
                  </w:rPr>
                  <w:t>Estos resultados resaltan la urgencia de implementar estrategias de exploración, incorporación de nuevas reservas y diversificación energética, con el fin de garantizar un abastecimiento sostenible y mitigar los riesgos asociados al agotamiento progresivo de los recursos fósiles.</w:t>
                </w:r>
              </w:p>
            </w:sdtContent>
          </w:sdt>
          <w:bookmarkEnd w:id="1" w:displacedByCustomXml="prev"/>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6C38C750" w:rsidR="005133CE" w:rsidRPr="00DD20DE" w:rsidRDefault="00131B82" w:rsidP="005133CE">
                <w:pPr>
                  <w:ind w:right="99"/>
                  <w:jc w:val="both"/>
                  <w:rPr>
                    <w:rFonts w:eastAsia="Calibri" w:cstheme="minorHAnsi"/>
                    <w:color w:val="FF0000"/>
                    <w:sz w:val="18"/>
                    <w:szCs w:val="18"/>
                    <w:lang w:val="es-ES"/>
                  </w:rPr>
                </w:pPr>
                <w:r w:rsidRPr="00131B82">
                  <w:rPr>
                    <w:rFonts w:eastAsia="Calibri" w:cstheme="minorHAnsi"/>
                    <w:sz w:val="18"/>
                    <w:szCs w:val="18"/>
                    <w:lang w:val="es-CO"/>
                  </w:rPr>
                  <w:t>El indicador considera únicamente las reservas probadas (1P), es decir, aquellas con un alto grado de certeza técnica y económica (superior al 90%) de ser comercialmente recuperables bajo las condiciones actuales. No contempla las reservas probables (2P) ni posibles (3P), que aunque representan un volumen adicional de recursos identificados en el subsuelo, no ofrecen garantía suficiente de viabilidad técnica o comercial. En consecuencia, el indicador podría subestimar el horizonte real de disponibilidad de hidrocarburos en el país. No obstante, esta limitación es coherente con su propósito metodológico, ya que busca estimar la sostenibilidad del suministro a partir de recursos efectivamente asegurados</w:t>
                </w:r>
                <w:r w:rsidR="008F0D18" w:rsidRPr="008F0D18">
                  <w:rPr>
                    <w:rFonts w:eastAsia="Calibri" w:cstheme="minorHAnsi"/>
                    <w:sz w:val="18"/>
                    <w:szCs w:val="18"/>
                    <w:lang w:val="es-ES"/>
                  </w:rPr>
                  <w:t>.</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100E24AE"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6E55CC80" w:rsidR="005133CE" w:rsidRPr="00DD20DE" w:rsidRDefault="005133CE" w:rsidP="008F0D18">
            <w:pPr>
              <w:ind w:right="91"/>
              <w:jc w:val="both"/>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8F0D18" w:rsidRPr="008F0D18">
                  <w:rPr>
                    <w:rFonts w:eastAsia="Calibri" w:cstheme="minorHAnsi"/>
                    <w:sz w:val="18"/>
                    <w:szCs w:val="18"/>
                    <w:lang w:val="es-ES"/>
                  </w:rPr>
                  <w:t>La información requerida para el cálculo del indicador está disponible públicamente a través de la página web del DANE, específicamente en los anexos de la Cuenta Ambiental y Económica de Activos de los Recursos Minerales y Energéticos (CAE-ARME). Los datos están organizados en series históricas, clasificados por tipo de recurso (gas natural y petróleo) y en unidades consistentes. Además, el procedimiento metodológico es sencillo, ya que se basa en una fórmula básica de variación porcentual, lo que permite replicar el cálculo sin necesidad de herramientas estadísticas avanzadas.</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8F0D18" w:rsidRPr="00DD20DE" w14:paraId="1F6C19D8" w14:textId="77777777" w:rsidTr="00D66A17">
        <w:trPr>
          <w:trHeight w:val="20"/>
        </w:trPr>
        <w:tc>
          <w:tcPr>
            <w:tcW w:w="799" w:type="pct"/>
            <w:shd w:val="clear" w:color="auto" w:fill="D9D9D9"/>
            <w:vAlign w:val="center"/>
          </w:tcPr>
          <w:p w14:paraId="218E44D1"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2AE8C7FE3A86492EABE9DD377E882B7C"/>
            </w:placeholder>
          </w:sdtPr>
          <w:sdtEndPr>
            <w:rPr>
              <w:color w:val="FF0000"/>
            </w:rPr>
          </w:sdtEndPr>
          <w:sdtContent>
            <w:sdt>
              <w:sdtPr>
                <w:rPr>
                  <w:rFonts w:eastAsia="Calibri" w:cstheme="minorHAnsi"/>
                  <w:sz w:val="18"/>
                  <w:szCs w:val="18"/>
                </w:rPr>
                <w:alias w:val="Entidad"/>
                <w:tag w:val="Entidad"/>
                <w:id w:val="-1584295679"/>
                <w:placeholder>
                  <w:docPart w:val="962905A215984AE7885149DEEE4F7D6F"/>
                </w:placeholder>
              </w:sdtPr>
              <w:sdtEndPr>
                <w:rPr>
                  <w:color w:val="FF0000"/>
                </w:rPr>
              </w:sdtEndPr>
              <w:sdtContent>
                <w:tc>
                  <w:tcPr>
                    <w:tcW w:w="4201" w:type="pct"/>
                    <w:gridSpan w:val="8"/>
                  </w:tcPr>
                  <w:p w14:paraId="69F2B73A" w14:textId="78601407"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Ministerio de Minas y Energía</w:t>
                    </w:r>
                  </w:p>
                </w:tc>
              </w:sdtContent>
            </w:sdt>
          </w:sdtContent>
        </w:sdt>
      </w:tr>
      <w:tr w:rsidR="008F0D18" w:rsidRPr="00DD20DE" w14:paraId="103DB717" w14:textId="77777777" w:rsidTr="00D66A17">
        <w:trPr>
          <w:trHeight w:val="20"/>
        </w:trPr>
        <w:tc>
          <w:tcPr>
            <w:tcW w:w="799" w:type="pct"/>
            <w:shd w:val="clear" w:color="auto" w:fill="D9D9D9"/>
            <w:vAlign w:val="center"/>
          </w:tcPr>
          <w:p w14:paraId="11282AEB"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4F5E199F59934E7288A55952BCE39FA8"/>
            </w:placeholder>
          </w:sdtPr>
          <w:sdtEndPr>
            <w:rPr>
              <w:color w:val="FF0000"/>
            </w:rPr>
          </w:sdtEndPr>
          <w:sdtContent>
            <w:sdt>
              <w:sdtPr>
                <w:rPr>
                  <w:rFonts w:eastAsia="Calibri" w:cstheme="minorHAnsi"/>
                  <w:sz w:val="18"/>
                  <w:szCs w:val="18"/>
                </w:rPr>
                <w:alias w:val="Dependencia"/>
                <w:tag w:val="Dependencia"/>
                <w:id w:val="-1680651163"/>
                <w:placeholder>
                  <w:docPart w:val="FDF671025F774C4A86627D02C24B6BF4"/>
                </w:placeholder>
              </w:sdtPr>
              <w:sdtEndPr>
                <w:rPr>
                  <w:color w:val="FF0000"/>
                </w:rPr>
              </w:sdtEndPr>
              <w:sdtContent>
                <w:tc>
                  <w:tcPr>
                    <w:tcW w:w="4201" w:type="pct"/>
                    <w:gridSpan w:val="8"/>
                  </w:tcPr>
                  <w:p w14:paraId="4D033CBB" w14:textId="15FCC31F"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Oficina de Asuntos Ambientales y Sociales</w:t>
                    </w:r>
                  </w:p>
                </w:tc>
              </w:sdtContent>
            </w:sdt>
          </w:sdtContent>
        </w:sdt>
      </w:tr>
      <w:tr w:rsidR="008F0D18" w:rsidRPr="00DD20DE" w14:paraId="23C99516" w14:textId="77777777" w:rsidTr="00D66A17">
        <w:trPr>
          <w:trHeight w:val="20"/>
        </w:trPr>
        <w:tc>
          <w:tcPr>
            <w:tcW w:w="799" w:type="pct"/>
            <w:shd w:val="clear" w:color="auto" w:fill="D9D9D9"/>
            <w:vAlign w:val="center"/>
          </w:tcPr>
          <w:p w14:paraId="2AA5A913"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96C936B36B0A4053910FE74BE004D328"/>
            </w:placeholder>
          </w:sdtPr>
          <w:sdtEndPr>
            <w:rPr>
              <w:color w:val="FF0000"/>
            </w:rPr>
          </w:sdtEndPr>
          <w:sdtContent>
            <w:tc>
              <w:tcPr>
                <w:tcW w:w="4201" w:type="pct"/>
                <w:gridSpan w:val="8"/>
              </w:tcPr>
              <w:p w14:paraId="30540ED4" w14:textId="37E84835"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601 2200 300</w:t>
                </w:r>
              </w:p>
            </w:tc>
          </w:sdtContent>
        </w:sdt>
      </w:tr>
      <w:tr w:rsidR="008F0D18" w:rsidRPr="00DD20DE" w14:paraId="7C8505E7" w14:textId="77777777" w:rsidTr="00D66A17">
        <w:trPr>
          <w:trHeight w:val="20"/>
        </w:trPr>
        <w:tc>
          <w:tcPr>
            <w:tcW w:w="799" w:type="pct"/>
            <w:shd w:val="clear" w:color="auto" w:fill="D9D9D9"/>
            <w:vAlign w:val="center"/>
          </w:tcPr>
          <w:p w14:paraId="07693E12" w14:textId="0DCE259A" w:rsidR="008F0D18" w:rsidRPr="00DD20DE" w:rsidRDefault="008F0D18" w:rsidP="008F0D18">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75F9247DB4804B099880B1723AC60C59"/>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7FA7FF79FD9046AB86B177F6EE116512"/>
                </w:placeholder>
              </w:sdtPr>
              <w:sdtEndPr>
                <w:rPr>
                  <w:color w:val="FF0000"/>
                </w:rPr>
              </w:sdtEndPr>
              <w:sdtContent>
                <w:tc>
                  <w:tcPr>
                    <w:tcW w:w="4201" w:type="pct"/>
                    <w:gridSpan w:val="8"/>
                  </w:tcPr>
                  <w:p w14:paraId="6B7EDA2E" w14:textId="6D5894CD"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Calle 43 No. 57 - 31 – Centro Administrativo Nacional Bogotá D.C - Colombia.</w:t>
                    </w:r>
                  </w:p>
                </w:tc>
              </w:sdtContent>
            </w:sdt>
          </w:sdtContent>
        </w:sdt>
      </w:tr>
      <w:tr w:rsidR="008F0D18" w:rsidRPr="00DD20DE" w14:paraId="3E64677F" w14:textId="77777777" w:rsidTr="00D66A17">
        <w:trPr>
          <w:trHeight w:val="20"/>
        </w:trPr>
        <w:tc>
          <w:tcPr>
            <w:tcW w:w="5000" w:type="pct"/>
            <w:gridSpan w:val="9"/>
            <w:shd w:val="clear" w:color="auto" w:fill="A6A6A6" w:themeFill="background1" w:themeFillShade="A6"/>
          </w:tcPr>
          <w:p w14:paraId="16405E0A" w14:textId="77777777" w:rsidR="008F0D18" w:rsidRPr="00DD20DE" w:rsidRDefault="008F0D18" w:rsidP="008F0D18">
            <w:pPr>
              <w:jc w:val="center"/>
              <w:rPr>
                <w:rFonts w:eastAsia="Calibri" w:cstheme="minorHAnsi"/>
                <w:b/>
                <w:sz w:val="18"/>
                <w:szCs w:val="18"/>
                <w:lang w:val="es-ES"/>
              </w:rPr>
            </w:pPr>
            <w:r w:rsidRPr="00DD20DE">
              <w:rPr>
                <w:rFonts w:eastAsia="Calibri" w:cstheme="minorHAnsi"/>
                <w:b/>
                <w:bCs/>
                <w:sz w:val="18"/>
                <w:szCs w:val="18"/>
                <w:lang w:val="es-ES"/>
              </w:rPr>
              <w:lastRenderedPageBreak/>
              <w:t>UBICACIÓN PRINCIPAL PARA LA CONSULTA DEL INDICADOR</w:t>
            </w:r>
          </w:p>
        </w:tc>
      </w:tr>
      <w:tr w:rsidR="008F0D18" w:rsidRPr="00DD20DE" w14:paraId="2F110014" w14:textId="77777777" w:rsidTr="00D66A17">
        <w:trPr>
          <w:trHeight w:val="20"/>
        </w:trPr>
        <w:tc>
          <w:tcPr>
            <w:tcW w:w="799" w:type="pct"/>
            <w:shd w:val="clear" w:color="auto" w:fill="D9D9D9"/>
            <w:vAlign w:val="center"/>
          </w:tcPr>
          <w:p w14:paraId="2CE34004"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93759232273E47B7889D3719812AD7E6"/>
            </w:placeholder>
          </w:sdtPr>
          <w:sdtEndPr>
            <w:rPr>
              <w:color w:val="FF0000"/>
            </w:rPr>
          </w:sdtEndPr>
          <w:sdtContent>
            <w:sdt>
              <w:sdtPr>
                <w:rPr>
                  <w:rFonts w:eastAsia="Calibri" w:cstheme="minorHAnsi"/>
                  <w:sz w:val="18"/>
                  <w:szCs w:val="18"/>
                </w:rPr>
                <w:alias w:val="Nombre"/>
                <w:tag w:val="Nombre"/>
                <w:id w:val="-1739242353"/>
                <w:placeholder>
                  <w:docPart w:val="F16FD5F9C787446F81FE694E34361DFE"/>
                </w:placeholder>
              </w:sdtPr>
              <w:sdtEndPr>
                <w:rPr>
                  <w:color w:val="FF0000"/>
                </w:rPr>
              </w:sdtEndPr>
              <w:sdtContent>
                <w:tc>
                  <w:tcPr>
                    <w:tcW w:w="4201" w:type="pct"/>
                    <w:gridSpan w:val="8"/>
                  </w:tcPr>
                  <w:p w14:paraId="251B9ADE" w14:textId="06C40EB6" w:rsidR="008F0D18" w:rsidRPr="000301ED" w:rsidRDefault="008F0D18" w:rsidP="008F0D18">
                    <w:pPr>
                      <w:spacing w:line="199" w:lineRule="exact"/>
                      <w:jc w:val="both"/>
                      <w:rPr>
                        <w:rFonts w:eastAsia="Calibri" w:cstheme="minorHAnsi"/>
                        <w:color w:val="FF0000"/>
                        <w:sz w:val="18"/>
                        <w:szCs w:val="18"/>
                        <w:lang w:val="es-ES"/>
                      </w:rPr>
                    </w:pPr>
                    <w:r w:rsidRPr="000301ED">
                      <w:rPr>
                        <w:rFonts w:eastAsia="Calibri" w:cstheme="minorHAnsi"/>
                        <w:sz w:val="18"/>
                        <w:szCs w:val="18"/>
                        <w:lang w:val="es-CO"/>
                      </w:rPr>
                      <w:t>A definir por la OAAS</w:t>
                    </w:r>
                  </w:p>
                </w:tc>
              </w:sdtContent>
            </w:sdt>
          </w:sdtContent>
        </w:sdt>
      </w:tr>
      <w:tr w:rsidR="008F0D18" w:rsidRPr="00DD20DE" w14:paraId="372299A3" w14:textId="77777777" w:rsidTr="00D66A17">
        <w:trPr>
          <w:trHeight w:val="20"/>
        </w:trPr>
        <w:tc>
          <w:tcPr>
            <w:tcW w:w="799" w:type="pct"/>
            <w:shd w:val="clear" w:color="auto" w:fill="D9D9D9"/>
            <w:vAlign w:val="center"/>
          </w:tcPr>
          <w:p w14:paraId="3A3CD968"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Física"/>
            <w:tag w:val="Física"/>
            <w:id w:val="-529420571"/>
            <w:placeholder>
              <w:docPart w:val="CC48F09B75AB4769BE55B9EECB20F715"/>
            </w:placeholder>
          </w:sdtPr>
          <w:sdtEndPr>
            <w:rPr>
              <w:color w:val="FF0000"/>
            </w:rPr>
          </w:sdtEndPr>
          <w:sdtContent>
            <w:sdt>
              <w:sdtPr>
                <w:rPr>
                  <w:rFonts w:eastAsia="Calibri" w:cstheme="minorHAnsi"/>
                  <w:sz w:val="18"/>
                  <w:szCs w:val="18"/>
                </w:rPr>
                <w:alias w:val="Nombre"/>
                <w:tag w:val="Nombre"/>
                <w:id w:val="-1188908382"/>
                <w:placeholder>
                  <w:docPart w:val="C583D3C8CB0147AB9D897F5F1D495840"/>
                </w:placeholder>
              </w:sdtPr>
              <w:sdtEndPr>
                <w:rPr>
                  <w:color w:val="FF0000"/>
                </w:rPr>
              </w:sdtEndPr>
              <w:sdtContent>
                <w:tc>
                  <w:tcPr>
                    <w:tcW w:w="4201" w:type="pct"/>
                    <w:gridSpan w:val="8"/>
                  </w:tcPr>
                  <w:p w14:paraId="4B6D31F6" w14:textId="7C2AA3AC"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A definir por la OAAS</w:t>
                    </w:r>
                  </w:p>
                </w:tc>
              </w:sdtContent>
            </w:sdt>
          </w:sdtContent>
        </w:sdt>
      </w:tr>
      <w:tr w:rsidR="008F0D18" w:rsidRPr="00DD20DE" w14:paraId="0413D2A1" w14:textId="77777777" w:rsidTr="00D66A17">
        <w:trPr>
          <w:trHeight w:val="20"/>
        </w:trPr>
        <w:tc>
          <w:tcPr>
            <w:tcW w:w="799" w:type="pct"/>
            <w:shd w:val="clear" w:color="auto" w:fill="D9D9D9"/>
            <w:vAlign w:val="center"/>
          </w:tcPr>
          <w:p w14:paraId="456CD1F0"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URL"/>
            <w:tag w:val="URL"/>
            <w:id w:val="705301387"/>
            <w:placeholder>
              <w:docPart w:val="371E4106B90A4DBBADF10DFD6608FB9E"/>
            </w:placeholder>
          </w:sdtPr>
          <w:sdtEndPr>
            <w:rPr>
              <w:color w:val="FF0000"/>
            </w:rPr>
          </w:sdtEndPr>
          <w:sdtContent>
            <w:sdt>
              <w:sdtPr>
                <w:rPr>
                  <w:rFonts w:eastAsia="Calibri" w:cstheme="minorHAnsi"/>
                  <w:sz w:val="18"/>
                  <w:szCs w:val="18"/>
                </w:rPr>
                <w:alias w:val="Nombre"/>
                <w:tag w:val="Nombre"/>
                <w:id w:val="503328498"/>
                <w:placeholder>
                  <w:docPart w:val="E2752B97293E4177A5EB81BA5C5B0B5A"/>
                </w:placeholder>
              </w:sdtPr>
              <w:sdtEndPr>
                <w:rPr>
                  <w:color w:val="FF0000"/>
                </w:rPr>
              </w:sdtEndPr>
              <w:sdtContent>
                <w:tc>
                  <w:tcPr>
                    <w:tcW w:w="4201" w:type="pct"/>
                    <w:gridSpan w:val="8"/>
                  </w:tcPr>
                  <w:p w14:paraId="7ABEC837" w14:textId="6901A1C1" w:rsidR="008F0D18" w:rsidRPr="000301ED" w:rsidRDefault="008F0D18" w:rsidP="008F0D18">
                    <w:pPr>
                      <w:rPr>
                        <w:rFonts w:eastAsia="Calibri" w:cstheme="minorHAnsi"/>
                        <w:color w:val="FF0000"/>
                        <w:sz w:val="18"/>
                        <w:szCs w:val="18"/>
                        <w:lang w:val="es-ES"/>
                      </w:rPr>
                    </w:pPr>
                    <w:r w:rsidRPr="000301ED">
                      <w:rPr>
                        <w:rFonts w:eastAsia="Calibri" w:cstheme="minorHAnsi"/>
                        <w:sz w:val="18"/>
                        <w:szCs w:val="18"/>
                        <w:lang w:val="es-CO"/>
                      </w:rPr>
                      <w:t>A definir por la OAAS</w:t>
                    </w:r>
                  </w:p>
                </w:tc>
              </w:sdtContent>
            </w:sdt>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4122FBFC" w:rsidR="006238AE" w:rsidRPr="00DD20DE" w:rsidRDefault="008F0D18" w:rsidP="00B558B2">
                <w:pPr>
                  <w:rPr>
                    <w:rFonts w:eastAsia="Calibri" w:cstheme="minorHAnsi"/>
                    <w:b/>
                    <w:sz w:val="18"/>
                    <w:szCs w:val="18"/>
                    <w:lang w:val="es-ES"/>
                  </w:rPr>
                </w:pPr>
                <w:r>
                  <w:rPr>
                    <w:rFonts w:eastAsia="Calibri" w:cstheme="minorHAnsi"/>
                    <w:sz w:val="18"/>
                    <w:szCs w:val="18"/>
                    <w:lang w:val="es-ES"/>
                  </w:rPr>
                  <w:t>2</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7E9F1399" w14:textId="77777777" w:rsidR="000A40A7" w:rsidRPr="000A40A7" w:rsidRDefault="000A40A7" w:rsidP="00B558B2">
                <w:pPr>
                  <w:rPr>
                    <w:rFonts w:eastAsia="Arial Narrow"/>
                    <w:sz w:val="18"/>
                    <w:szCs w:val="18"/>
                  </w:rPr>
                </w:pPr>
                <w:proofErr w:type="spellStart"/>
                <w:r w:rsidRPr="000A40A7">
                  <w:rPr>
                    <w:rFonts w:eastAsia="Arial Narrow"/>
                    <w:sz w:val="18"/>
                    <w:szCs w:val="18"/>
                  </w:rPr>
                  <w:t>Reservas</w:t>
                </w:r>
                <w:proofErr w:type="spellEnd"/>
                <w:r w:rsidRPr="000A40A7">
                  <w:rPr>
                    <w:rFonts w:eastAsia="Arial Narrow"/>
                    <w:sz w:val="18"/>
                    <w:szCs w:val="18"/>
                  </w:rPr>
                  <w:t xml:space="preserve"> 1P de </w:t>
                </w:r>
                <w:proofErr w:type="spellStart"/>
                <w:r w:rsidRPr="000A40A7">
                  <w:rPr>
                    <w:rFonts w:eastAsia="Arial Narrow"/>
                    <w:sz w:val="18"/>
                    <w:szCs w:val="18"/>
                  </w:rPr>
                  <w:t>hidrocarburos</w:t>
                </w:r>
                <w:proofErr w:type="spellEnd"/>
                <w:r w:rsidRPr="000A40A7">
                  <w:rPr>
                    <w:rFonts w:eastAsia="Arial Narrow"/>
                    <w:sz w:val="18"/>
                    <w:szCs w:val="18"/>
                  </w:rPr>
                  <w:t xml:space="preserve"> </w:t>
                </w:r>
              </w:p>
              <w:p w14:paraId="572C623A" w14:textId="4CCBCCE0" w:rsidR="006238AE" w:rsidRPr="00DD20DE" w:rsidRDefault="000A40A7" w:rsidP="00B558B2">
                <w:pPr>
                  <w:rPr>
                    <w:rFonts w:eastAsia="Calibri" w:cstheme="minorHAnsi"/>
                    <w:b/>
                    <w:sz w:val="18"/>
                    <w:szCs w:val="18"/>
                    <w:lang w:val="es-ES"/>
                  </w:rPr>
                </w:pPr>
                <w:r w:rsidRPr="000A40A7">
                  <w:rPr>
                    <w:rFonts w:eastAsia="Calibri" w:cstheme="minorHAnsi"/>
                    <w:sz w:val="18"/>
                    <w:szCs w:val="18"/>
                    <w:lang w:val="es-ES"/>
                  </w:rPr>
                  <w:t>Producción anual de hidrocarburos</w:t>
                </w:r>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1BAF4192"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6EDFB4FA" w:rsidR="006238AE" w:rsidRPr="00DD20DE" w:rsidRDefault="00AE1778" w:rsidP="006238AE">
                <w:pPr>
                  <w:spacing w:line="216" w:lineRule="exact"/>
                  <w:ind w:right="111"/>
                  <w:rPr>
                    <w:rFonts w:eastAsia="Calibri" w:cstheme="minorHAnsi"/>
                    <w:sz w:val="18"/>
                    <w:szCs w:val="18"/>
                    <w:lang w:val="es-ES"/>
                  </w:rPr>
                </w:pPr>
                <w:r w:rsidRPr="00AE1778">
                  <w:rPr>
                    <w:rFonts w:eastAsia="Calibri" w:cstheme="minorHAnsi"/>
                    <w:sz w:val="18"/>
                    <w:szCs w:val="18"/>
                    <w:lang w:val="es-ES"/>
                  </w:rPr>
                  <w:t>Cuenta Ambiental y Económica de Activos de los Recursos Minerales y Energéticos (CAE-ARME)</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317F43E1" w:rsidR="006238AE" w:rsidRPr="00DD20DE" w:rsidRDefault="00AE1778"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1693AA6D" w:rsidR="006238AE" w:rsidRPr="00DD20DE" w:rsidRDefault="00AE1778" w:rsidP="006238AE">
                <w:pPr>
                  <w:ind w:right="111"/>
                  <w:rPr>
                    <w:rFonts w:eastAsia="Calibri" w:cstheme="minorHAnsi"/>
                    <w:sz w:val="18"/>
                    <w:szCs w:val="18"/>
                    <w:lang w:val="es-ES"/>
                  </w:rPr>
                </w:pPr>
                <w:r w:rsidRPr="00AE1778">
                  <w:rPr>
                    <w:rFonts w:eastAsia="Calibri" w:cstheme="minorHAnsi"/>
                    <w:sz w:val="18"/>
                    <w:szCs w:val="18"/>
                    <w:lang w:val="es-ES"/>
                  </w:rPr>
                  <w:t>https://www.dane.gov.co/index.php/estadisticas-por-tema/ambientales/cuenta-satelite-ambiental-csa#cuenta-ambiental-y-economica-de-activos-de-los-recursos-minerales-y-energeticos-cae-arme</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06F4DDA1" w14:textId="594600D8" w:rsidR="00AE1778" w:rsidRPr="00AE1778" w:rsidRDefault="00AE1778" w:rsidP="00AE1778">
                <w:pPr>
                  <w:rPr>
                    <w:rFonts w:eastAsia="Calibri" w:cstheme="minorHAnsi"/>
                    <w:sz w:val="18"/>
                    <w:szCs w:val="18"/>
                    <w:lang w:val="es-CO"/>
                  </w:rPr>
                </w:pPr>
                <w:r>
                  <w:rPr>
                    <w:rFonts w:eastAsia="Calibri" w:cstheme="minorHAnsi"/>
                    <w:sz w:val="18"/>
                    <w:szCs w:val="18"/>
                    <w:lang w:val="es-ES"/>
                  </w:rPr>
                  <w:t>D</w:t>
                </w:r>
                <w:proofErr w:type="spellStart"/>
                <w:r w:rsidRPr="00AE1778">
                  <w:rPr>
                    <w:rFonts w:eastAsia="Calibri" w:cstheme="minorHAnsi"/>
                    <w:sz w:val="18"/>
                    <w:szCs w:val="18"/>
                    <w:lang w:val="es-CO"/>
                  </w:rPr>
                  <w:t>epartamento</w:t>
                </w:r>
                <w:proofErr w:type="spellEnd"/>
                <w:r w:rsidRPr="00AE1778">
                  <w:rPr>
                    <w:rFonts w:eastAsia="Calibri" w:cstheme="minorHAnsi"/>
                    <w:sz w:val="18"/>
                    <w:szCs w:val="18"/>
                    <w:lang w:val="es-CO"/>
                  </w:rPr>
                  <w:t xml:space="preserve"> Administrativo Nacional de Estadística - DANE</w:t>
                </w:r>
              </w:p>
              <w:p w14:paraId="5E6EA820" w14:textId="7AE72115" w:rsidR="006238AE" w:rsidRPr="00DD20DE" w:rsidRDefault="006238AE" w:rsidP="006238AE">
                <w:pPr>
                  <w:rPr>
                    <w:rFonts w:eastAsia="Calibri" w:cstheme="minorHAnsi"/>
                    <w:sz w:val="18"/>
                    <w:szCs w:val="18"/>
                    <w:lang w:val="es-ES"/>
                  </w:rPr>
                </w:pP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063C9A13" w14:textId="111A447C" w:rsidR="00AE1778" w:rsidRPr="00AE1778" w:rsidRDefault="00AE1778" w:rsidP="00AE1778">
                <w:pPr>
                  <w:rPr>
                    <w:rFonts w:eastAsia="Calibri" w:cstheme="minorHAnsi"/>
                    <w:sz w:val="18"/>
                    <w:szCs w:val="18"/>
                    <w:lang w:val="es-CO"/>
                  </w:rPr>
                </w:pPr>
                <w:r w:rsidRPr="00AE1778">
                  <w:rPr>
                    <w:rFonts w:eastAsia="Calibri" w:cstheme="minorHAnsi"/>
                    <w:sz w:val="18"/>
                    <w:szCs w:val="18"/>
                    <w:lang w:val="es-CO"/>
                  </w:rPr>
                  <w:t xml:space="preserve">Dirección de Síntesis y Cuentas </w:t>
                </w:r>
                <w:proofErr w:type="spellStart"/>
                <w:r w:rsidRPr="00AE1778">
                  <w:rPr>
                    <w:rFonts w:eastAsia="Calibri" w:cstheme="minorHAnsi"/>
                    <w:sz w:val="18"/>
                    <w:szCs w:val="18"/>
                    <w:lang w:val="es-CO"/>
                  </w:rPr>
                  <w:t>NacionalesGIT</w:t>
                </w:r>
                <w:proofErr w:type="spellEnd"/>
                <w:r w:rsidRPr="00AE1778">
                  <w:rPr>
                    <w:rFonts w:eastAsia="Calibri" w:cstheme="minorHAnsi"/>
                    <w:sz w:val="18"/>
                    <w:szCs w:val="18"/>
                    <w:lang w:val="es-CO"/>
                  </w:rPr>
                  <w:t xml:space="preserve"> Cuentas del Marco Central del Sistema de Contabilidad Ambiental y Económica - SCAE</w:t>
                </w:r>
              </w:p>
              <w:p w14:paraId="64F209FF" w14:textId="5DEF6C52" w:rsidR="006238AE" w:rsidRPr="00DD20DE" w:rsidRDefault="006238AE" w:rsidP="006238AE">
                <w:pPr>
                  <w:rPr>
                    <w:rFonts w:eastAsia="Calibri" w:cstheme="minorHAnsi"/>
                    <w:sz w:val="18"/>
                    <w:szCs w:val="18"/>
                    <w:lang w:val="es-ES"/>
                  </w:rPr>
                </w:pP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818"/>
        <w:gridCol w:w="2408"/>
        <w:gridCol w:w="2471"/>
        <w:gridCol w:w="2135"/>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000D6A72" w:rsidRPr="00DD20DE">
                  <w:rPr>
                    <w:rFonts w:eastAsia="Calibri" w:cstheme="minorHAnsi"/>
                    <w:color w:val="666666"/>
                    <w:kern w:val="0"/>
                    <w:sz w:val="18"/>
                    <w:szCs w:val="18"/>
                    <w:lang w:val="es-ES"/>
                    <w14:ligatures w14:val="none"/>
                  </w:rPr>
                  <w:t>agregar observaciones generales sobre el indicador en caso de ser necesarias</w:t>
                </w:r>
                <w:r w:rsidRPr="00DD20DE">
                  <w:rPr>
                    <w:rFonts w:eastAsia="Calibri" w:cstheme="minorHAnsi"/>
                    <w:color w:val="666666"/>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color w:val="FF0000"/>
            </w:rPr>
          </w:sdtEndPr>
          <w:sdtContent>
            <w:tc>
              <w:tcPr>
                <w:tcW w:w="0" w:type="auto"/>
                <w:gridSpan w:val="4"/>
              </w:tcPr>
              <w:p w14:paraId="7EF5CC36"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Agencia Nacional de Hidrocarburos – ANH. (2024). Informe de reservas de hidrocarburos 2023. Ministerio de Minas y Energía.</w:t>
                </w:r>
              </w:p>
              <w:p w14:paraId="36A83EFC"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https://anh.gov.co/documents/24758/Informe_de_Reservas_y_Recursos_2023.pdf</w:t>
                </w:r>
              </w:p>
              <w:p w14:paraId="6F851DB0"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60D0E877"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Comisión Económica para América Latina y el Caribe – CEPAL. (2023). La seguridad energética de Centroamérica: propuesta para una estimación integrada. Revista CEPAL, (139), 119–145.</w:t>
                </w:r>
              </w:p>
              <w:p w14:paraId="4972FD10"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https://repositorio.cepal.org/bitstream/handle/11362/48619/1/RVI139_Escalante.pdf</w:t>
                </w:r>
              </w:p>
              <w:p w14:paraId="5B6334DD"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07EFEB43"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Departamento Administrativo Nacional de Estadística – DANE. (2024). Cuenta ambiental y económica de activos de los recursos minerales y energéticos, 2022–2023.</w:t>
                </w:r>
              </w:p>
              <w:p w14:paraId="4B6EAF59" w14:textId="1A212F2D" w:rsidR="006238AE" w:rsidRPr="00B75A61" w:rsidRDefault="00B75A61" w:rsidP="00B75A61">
                <w:pPr>
                  <w:pStyle w:val="Prrafodelista"/>
                  <w:widowControl w:val="0"/>
                  <w:autoSpaceDE w:val="0"/>
                  <w:autoSpaceDN w:val="0"/>
                  <w:spacing w:after="0" w:line="240" w:lineRule="auto"/>
                  <w:jc w:val="both"/>
                  <w:rPr>
                    <w:rFonts w:eastAsia="Arial MT" w:cstheme="minorHAnsi"/>
                    <w:kern w:val="0"/>
                    <w:sz w:val="18"/>
                    <w:szCs w:val="18"/>
                    <w:lang w:val="es-ES"/>
                    <w14:ligatures w14:val="none"/>
                  </w:rPr>
                </w:pPr>
                <w:r w:rsidRPr="00B75A61">
                  <w:rPr>
                    <w:rFonts w:eastAsia="Calibri" w:cstheme="minorHAnsi"/>
                    <w:kern w:val="0"/>
                    <w:sz w:val="18"/>
                    <w:szCs w:val="18"/>
                    <w:lang w:val="es-ES"/>
                    <w14:ligatures w14:val="none"/>
                  </w:rPr>
                  <w:t>https://www.dane.gov.co/files/operaciones/CAE-ARME/bol-CAEARME-2023p.pdf</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1554BDE" w:rsidR="006238AE" w:rsidRPr="00DD20DE" w:rsidRDefault="00AE1778"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5B8207CD"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3D90757"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Laura Paola Rincón</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751C27E8"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992F" w14:textId="77777777" w:rsidR="00EE0F64" w:rsidRDefault="00EE0F64" w:rsidP="00D66A17">
      <w:pPr>
        <w:spacing w:after="0" w:line="240" w:lineRule="auto"/>
      </w:pPr>
      <w:r>
        <w:separator/>
      </w:r>
    </w:p>
  </w:endnote>
  <w:endnote w:type="continuationSeparator" w:id="0">
    <w:p w14:paraId="7B90E11A" w14:textId="77777777" w:rsidR="00EE0F64" w:rsidRDefault="00EE0F64"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FEC7E" w14:textId="77777777" w:rsidR="00EE0F64" w:rsidRDefault="00EE0F64" w:rsidP="00D66A17">
      <w:pPr>
        <w:spacing w:after="0" w:line="240" w:lineRule="auto"/>
      </w:pPr>
      <w:r>
        <w:separator/>
      </w:r>
    </w:p>
  </w:footnote>
  <w:footnote w:type="continuationSeparator" w:id="0">
    <w:p w14:paraId="10A77CD6" w14:textId="77777777" w:rsidR="00EE0F64" w:rsidRDefault="00EE0F64"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41"/>
    <w:multiLevelType w:val="hybridMultilevel"/>
    <w:tmpl w:val="92E020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2" w15:restartNumberingAfterBreak="0">
    <w:nsid w:val="24120CD3"/>
    <w:multiLevelType w:val="hybridMultilevel"/>
    <w:tmpl w:val="FFB8E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841C19"/>
    <w:multiLevelType w:val="hybridMultilevel"/>
    <w:tmpl w:val="D38652D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1275CEE"/>
    <w:multiLevelType w:val="hybridMultilevel"/>
    <w:tmpl w:val="A252C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2C01DF3"/>
    <w:multiLevelType w:val="hybridMultilevel"/>
    <w:tmpl w:val="5F8ACE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8003216">
    <w:abstractNumId w:val="1"/>
  </w:num>
  <w:num w:numId="2" w16cid:durableId="1250773252">
    <w:abstractNumId w:val="5"/>
  </w:num>
  <w:num w:numId="3" w16cid:durableId="828448218">
    <w:abstractNumId w:val="3"/>
  </w:num>
  <w:num w:numId="4" w16cid:durableId="698698171">
    <w:abstractNumId w:val="4"/>
  </w:num>
  <w:num w:numId="5" w16cid:durableId="713621590">
    <w:abstractNumId w:val="2"/>
  </w:num>
  <w:num w:numId="6" w16cid:durableId="127475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301ED"/>
    <w:rsid w:val="00077011"/>
    <w:rsid w:val="000A40A7"/>
    <w:rsid w:val="000B5F8E"/>
    <w:rsid w:val="000D6A72"/>
    <w:rsid w:val="00105CA2"/>
    <w:rsid w:val="0011126D"/>
    <w:rsid w:val="001232D6"/>
    <w:rsid w:val="00131B82"/>
    <w:rsid w:val="00171A1C"/>
    <w:rsid w:val="00173E60"/>
    <w:rsid w:val="00292249"/>
    <w:rsid w:val="00292828"/>
    <w:rsid w:val="00302D19"/>
    <w:rsid w:val="0030436F"/>
    <w:rsid w:val="00333B23"/>
    <w:rsid w:val="0036520A"/>
    <w:rsid w:val="00386340"/>
    <w:rsid w:val="00396664"/>
    <w:rsid w:val="003F6E92"/>
    <w:rsid w:val="00410632"/>
    <w:rsid w:val="00450A10"/>
    <w:rsid w:val="00512E87"/>
    <w:rsid w:val="005133CE"/>
    <w:rsid w:val="00547C78"/>
    <w:rsid w:val="00575317"/>
    <w:rsid w:val="00575CDD"/>
    <w:rsid w:val="005963DE"/>
    <w:rsid w:val="00597B99"/>
    <w:rsid w:val="005B6A4D"/>
    <w:rsid w:val="005D0865"/>
    <w:rsid w:val="005F02EE"/>
    <w:rsid w:val="006238AE"/>
    <w:rsid w:val="00641B0B"/>
    <w:rsid w:val="006A29B2"/>
    <w:rsid w:val="006A5510"/>
    <w:rsid w:val="006B14A0"/>
    <w:rsid w:val="006C557A"/>
    <w:rsid w:val="006C566A"/>
    <w:rsid w:val="00754211"/>
    <w:rsid w:val="007B5292"/>
    <w:rsid w:val="007C4587"/>
    <w:rsid w:val="007D6A29"/>
    <w:rsid w:val="008F0D18"/>
    <w:rsid w:val="00932330"/>
    <w:rsid w:val="009472A2"/>
    <w:rsid w:val="009B1F7B"/>
    <w:rsid w:val="00A05DFA"/>
    <w:rsid w:val="00A108D7"/>
    <w:rsid w:val="00A37860"/>
    <w:rsid w:val="00A978F8"/>
    <w:rsid w:val="00AD2B84"/>
    <w:rsid w:val="00AE1778"/>
    <w:rsid w:val="00AE2296"/>
    <w:rsid w:val="00B25930"/>
    <w:rsid w:val="00B424D4"/>
    <w:rsid w:val="00B558B2"/>
    <w:rsid w:val="00B75A61"/>
    <w:rsid w:val="00B77483"/>
    <w:rsid w:val="00B93874"/>
    <w:rsid w:val="00BB30FA"/>
    <w:rsid w:val="00BE7471"/>
    <w:rsid w:val="00C85D65"/>
    <w:rsid w:val="00CC06E6"/>
    <w:rsid w:val="00CD5F5F"/>
    <w:rsid w:val="00D103C1"/>
    <w:rsid w:val="00D66A17"/>
    <w:rsid w:val="00D8300E"/>
    <w:rsid w:val="00D8377B"/>
    <w:rsid w:val="00DD20DE"/>
    <w:rsid w:val="00E36919"/>
    <w:rsid w:val="00E54A32"/>
    <w:rsid w:val="00EB6593"/>
    <w:rsid w:val="00EC497B"/>
    <w:rsid w:val="00ED66BB"/>
    <w:rsid w:val="00EE0F64"/>
    <w:rsid w:val="00F04E13"/>
    <w:rsid w:val="00F452CE"/>
    <w:rsid w:val="00F54D91"/>
    <w:rsid w:val="00F62EC7"/>
    <w:rsid w:val="00F75501"/>
    <w:rsid w:val="00F95B4E"/>
    <w:rsid w:val="00FD17E5"/>
    <w:rsid w:val="00FD74FB"/>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styleId="Tablaconcuadrcula">
    <w:name w:val="Table Grid"/>
    <w:basedOn w:val="Tablanormal"/>
    <w:uiPriority w:val="39"/>
    <w:rsid w:val="00105CA2"/>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5A61"/>
    <w:rPr>
      <w:color w:val="467886" w:themeColor="hyperlink"/>
      <w:u w:val="single"/>
    </w:rPr>
  </w:style>
  <w:style w:type="character" w:styleId="Mencinsinresolver">
    <w:name w:val="Unresolved Mention"/>
    <w:basedOn w:val="Fuentedeprrafopredeter"/>
    <w:uiPriority w:val="99"/>
    <w:semiHidden/>
    <w:unhideWhenUsed/>
    <w:rsid w:val="00B75A61"/>
    <w:rPr>
      <w:color w:val="605E5C"/>
      <w:shd w:val="clear" w:color="auto" w:fill="E1DFDD"/>
    </w:rPr>
  </w:style>
  <w:style w:type="table" w:styleId="Tabladelista4-nfasis6">
    <w:name w:val="List Table 4 Accent 6"/>
    <w:basedOn w:val="Tablanormal"/>
    <w:uiPriority w:val="49"/>
    <w:rsid w:val="00CD5F5F"/>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6582">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81479955">
      <w:bodyDiv w:val="1"/>
      <w:marLeft w:val="0"/>
      <w:marRight w:val="0"/>
      <w:marTop w:val="0"/>
      <w:marBottom w:val="0"/>
      <w:divBdr>
        <w:top w:val="none" w:sz="0" w:space="0" w:color="auto"/>
        <w:left w:val="none" w:sz="0" w:space="0" w:color="auto"/>
        <w:bottom w:val="none" w:sz="0" w:space="0" w:color="auto"/>
        <w:right w:val="none" w:sz="0" w:space="0" w:color="auto"/>
      </w:divBdr>
    </w:div>
    <w:div w:id="193424473">
      <w:bodyDiv w:val="1"/>
      <w:marLeft w:val="0"/>
      <w:marRight w:val="0"/>
      <w:marTop w:val="0"/>
      <w:marBottom w:val="0"/>
      <w:divBdr>
        <w:top w:val="none" w:sz="0" w:space="0" w:color="auto"/>
        <w:left w:val="none" w:sz="0" w:space="0" w:color="auto"/>
        <w:bottom w:val="none" w:sz="0" w:space="0" w:color="auto"/>
        <w:right w:val="none" w:sz="0" w:space="0" w:color="auto"/>
      </w:divBdr>
    </w:div>
    <w:div w:id="274677539">
      <w:bodyDiv w:val="1"/>
      <w:marLeft w:val="0"/>
      <w:marRight w:val="0"/>
      <w:marTop w:val="0"/>
      <w:marBottom w:val="0"/>
      <w:divBdr>
        <w:top w:val="none" w:sz="0" w:space="0" w:color="auto"/>
        <w:left w:val="none" w:sz="0" w:space="0" w:color="auto"/>
        <w:bottom w:val="none" w:sz="0" w:space="0" w:color="auto"/>
        <w:right w:val="none" w:sz="0" w:space="0" w:color="auto"/>
      </w:divBdr>
    </w:div>
    <w:div w:id="365788275">
      <w:bodyDiv w:val="1"/>
      <w:marLeft w:val="0"/>
      <w:marRight w:val="0"/>
      <w:marTop w:val="0"/>
      <w:marBottom w:val="0"/>
      <w:divBdr>
        <w:top w:val="none" w:sz="0" w:space="0" w:color="auto"/>
        <w:left w:val="none" w:sz="0" w:space="0" w:color="auto"/>
        <w:bottom w:val="none" w:sz="0" w:space="0" w:color="auto"/>
        <w:right w:val="none" w:sz="0" w:space="0" w:color="auto"/>
      </w:divBdr>
    </w:div>
    <w:div w:id="444547840">
      <w:bodyDiv w:val="1"/>
      <w:marLeft w:val="0"/>
      <w:marRight w:val="0"/>
      <w:marTop w:val="0"/>
      <w:marBottom w:val="0"/>
      <w:divBdr>
        <w:top w:val="none" w:sz="0" w:space="0" w:color="auto"/>
        <w:left w:val="none" w:sz="0" w:space="0" w:color="auto"/>
        <w:bottom w:val="none" w:sz="0" w:space="0" w:color="auto"/>
        <w:right w:val="none" w:sz="0" w:space="0" w:color="auto"/>
      </w:divBdr>
    </w:div>
    <w:div w:id="491020683">
      <w:bodyDiv w:val="1"/>
      <w:marLeft w:val="0"/>
      <w:marRight w:val="0"/>
      <w:marTop w:val="0"/>
      <w:marBottom w:val="0"/>
      <w:divBdr>
        <w:top w:val="none" w:sz="0" w:space="0" w:color="auto"/>
        <w:left w:val="none" w:sz="0" w:space="0" w:color="auto"/>
        <w:bottom w:val="none" w:sz="0" w:space="0" w:color="auto"/>
        <w:right w:val="none" w:sz="0" w:space="0" w:color="auto"/>
      </w:divBdr>
    </w:div>
    <w:div w:id="497355100">
      <w:bodyDiv w:val="1"/>
      <w:marLeft w:val="0"/>
      <w:marRight w:val="0"/>
      <w:marTop w:val="0"/>
      <w:marBottom w:val="0"/>
      <w:divBdr>
        <w:top w:val="none" w:sz="0" w:space="0" w:color="auto"/>
        <w:left w:val="none" w:sz="0" w:space="0" w:color="auto"/>
        <w:bottom w:val="none" w:sz="0" w:space="0" w:color="auto"/>
        <w:right w:val="none" w:sz="0" w:space="0" w:color="auto"/>
      </w:divBdr>
    </w:div>
    <w:div w:id="625893284">
      <w:bodyDiv w:val="1"/>
      <w:marLeft w:val="0"/>
      <w:marRight w:val="0"/>
      <w:marTop w:val="0"/>
      <w:marBottom w:val="0"/>
      <w:divBdr>
        <w:top w:val="none" w:sz="0" w:space="0" w:color="auto"/>
        <w:left w:val="none" w:sz="0" w:space="0" w:color="auto"/>
        <w:bottom w:val="none" w:sz="0" w:space="0" w:color="auto"/>
        <w:right w:val="none" w:sz="0" w:space="0" w:color="auto"/>
      </w:divBdr>
    </w:div>
    <w:div w:id="680012636">
      <w:bodyDiv w:val="1"/>
      <w:marLeft w:val="0"/>
      <w:marRight w:val="0"/>
      <w:marTop w:val="0"/>
      <w:marBottom w:val="0"/>
      <w:divBdr>
        <w:top w:val="none" w:sz="0" w:space="0" w:color="auto"/>
        <w:left w:val="none" w:sz="0" w:space="0" w:color="auto"/>
        <w:bottom w:val="none" w:sz="0" w:space="0" w:color="auto"/>
        <w:right w:val="none" w:sz="0" w:space="0" w:color="auto"/>
      </w:divBdr>
    </w:div>
    <w:div w:id="793400246">
      <w:bodyDiv w:val="1"/>
      <w:marLeft w:val="0"/>
      <w:marRight w:val="0"/>
      <w:marTop w:val="0"/>
      <w:marBottom w:val="0"/>
      <w:divBdr>
        <w:top w:val="none" w:sz="0" w:space="0" w:color="auto"/>
        <w:left w:val="none" w:sz="0" w:space="0" w:color="auto"/>
        <w:bottom w:val="none" w:sz="0" w:space="0" w:color="auto"/>
        <w:right w:val="none" w:sz="0" w:space="0" w:color="auto"/>
      </w:divBdr>
    </w:div>
    <w:div w:id="941374911">
      <w:bodyDiv w:val="1"/>
      <w:marLeft w:val="0"/>
      <w:marRight w:val="0"/>
      <w:marTop w:val="0"/>
      <w:marBottom w:val="0"/>
      <w:divBdr>
        <w:top w:val="none" w:sz="0" w:space="0" w:color="auto"/>
        <w:left w:val="none" w:sz="0" w:space="0" w:color="auto"/>
        <w:bottom w:val="none" w:sz="0" w:space="0" w:color="auto"/>
        <w:right w:val="none" w:sz="0" w:space="0" w:color="auto"/>
      </w:divBdr>
    </w:div>
    <w:div w:id="1165317648">
      <w:bodyDiv w:val="1"/>
      <w:marLeft w:val="0"/>
      <w:marRight w:val="0"/>
      <w:marTop w:val="0"/>
      <w:marBottom w:val="0"/>
      <w:divBdr>
        <w:top w:val="none" w:sz="0" w:space="0" w:color="auto"/>
        <w:left w:val="none" w:sz="0" w:space="0" w:color="auto"/>
        <w:bottom w:val="none" w:sz="0" w:space="0" w:color="auto"/>
        <w:right w:val="none" w:sz="0" w:space="0" w:color="auto"/>
      </w:divBdr>
    </w:div>
    <w:div w:id="1184241951">
      <w:bodyDiv w:val="1"/>
      <w:marLeft w:val="0"/>
      <w:marRight w:val="0"/>
      <w:marTop w:val="0"/>
      <w:marBottom w:val="0"/>
      <w:divBdr>
        <w:top w:val="none" w:sz="0" w:space="0" w:color="auto"/>
        <w:left w:val="none" w:sz="0" w:space="0" w:color="auto"/>
        <w:bottom w:val="none" w:sz="0" w:space="0" w:color="auto"/>
        <w:right w:val="none" w:sz="0" w:space="0" w:color="auto"/>
      </w:divBdr>
    </w:div>
    <w:div w:id="1310017158">
      <w:bodyDiv w:val="1"/>
      <w:marLeft w:val="0"/>
      <w:marRight w:val="0"/>
      <w:marTop w:val="0"/>
      <w:marBottom w:val="0"/>
      <w:divBdr>
        <w:top w:val="none" w:sz="0" w:space="0" w:color="auto"/>
        <w:left w:val="none" w:sz="0" w:space="0" w:color="auto"/>
        <w:bottom w:val="none" w:sz="0" w:space="0" w:color="auto"/>
        <w:right w:val="none" w:sz="0" w:space="0" w:color="auto"/>
      </w:divBdr>
    </w:div>
    <w:div w:id="1445074046">
      <w:bodyDiv w:val="1"/>
      <w:marLeft w:val="0"/>
      <w:marRight w:val="0"/>
      <w:marTop w:val="0"/>
      <w:marBottom w:val="0"/>
      <w:divBdr>
        <w:top w:val="none" w:sz="0" w:space="0" w:color="auto"/>
        <w:left w:val="none" w:sz="0" w:space="0" w:color="auto"/>
        <w:bottom w:val="none" w:sz="0" w:space="0" w:color="auto"/>
        <w:right w:val="none" w:sz="0" w:space="0" w:color="auto"/>
      </w:divBdr>
    </w:div>
    <w:div w:id="1451121723">
      <w:bodyDiv w:val="1"/>
      <w:marLeft w:val="0"/>
      <w:marRight w:val="0"/>
      <w:marTop w:val="0"/>
      <w:marBottom w:val="0"/>
      <w:divBdr>
        <w:top w:val="none" w:sz="0" w:space="0" w:color="auto"/>
        <w:left w:val="none" w:sz="0" w:space="0" w:color="auto"/>
        <w:bottom w:val="none" w:sz="0" w:space="0" w:color="auto"/>
        <w:right w:val="none" w:sz="0" w:space="0" w:color="auto"/>
      </w:divBdr>
    </w:div>
    <w:div w:id="1493643863">
      <w:bodyDiv w:val="1"/>
      <w:marLeft w:val="0"/>
      <w:marRight w:val="0"/>
      <w:marTop w:val="0"/>
      <w:marBottom w:val="0"/>
      <w:divBdr>
        <w:top w:val="none" w:sz="0" w:space="0" w:color="auto"/>
        <w:left w:val="none" w:sz="0" w:space="0" w:color="auto"/>
        <w:bottom w:val="none" w:sz="0" w:space="0" w:color="auto"/>
        <w:right w:val="none" w:sz="0" w:space="0" w:color="auto"/>
      </w:divBdr>
    </w:div>
    <w:div w:id="1503086374">
      <w:bodyDiv w:val="1"/>
      <w:marLeft w:val="0"/>
      <w:marRight w:val="0"/>
      <w:marTop w:val="0"/>
      <w:marBottom w:val="0"/>
      <w:divBdr>
        <w:top w:val="none" w:sz="0" w:space="0" w:color="auto"/>
        <w:left w:val="none" w:sz="0" w:space="0" w:color="auto"/>
        <w:bottom w:val="none" w:sz="0" w:space="0" w:color="auto"/>
        <w:right w:val="none" w:sz="0" w:space="0" w:color="auto"/>
      </w:divBdr>
    </w:div>
    <w:div w:id="1721317008">
      <w:bodyDiv w:val="1"/>
      <w:marLeft w:val="0"/>
      <w:marRight w:val="0"/>
      <w:marTop w:val="0"/>
      <w:marBottom w:val="0"/>
      <w:divBdr>
        <w:top w:val="none" w:sz="0" w:space="0" w:color="auto"/>
        <w:left w:val="none" w:sz="0" w:space="0" w:color="auto"/>
        <w:bottom w:val="none" w:sz="0" w:space="0" w:color="auto"/>
        <w:right w:val="none" w:sz="0" w:space="0" w:color="auto"/>
      </w:divBdr>
    </w:div>
    <w:div w:id="1850370251">
      <w:bodyDiv w:val="1"/>
      <w:marLeft w:val="0"/>
      <w:marRight w:val="0"/>
      <w:marTop w:val="0"/>
      <w:marBottom w:val="0"/>
      <w:divBdr>
        <w:top w:val="none" w:sz="0" w:space="0" w:color="auto"/>
        <w:left w:val="none" w:sz="0" w:space="0" w:color="auto"/>
        <w:bottom w:val="none" w:sz="0" w:space="0" w:color="auto"/>
        <w:right w:val="none" w:sz="0" w:space="0" w:color="auto"/>
      </w:divBdr>
    </w:div>
    <w:div w:id="1879198467">
      <w:bodyDiv w:val="1"/>
      <w:marLeft w:val="0"/>
      <w:marRight w:val="0"/>
      <w:marTop w:val="0"/>
      <w:marBottom w:val="0"/>
      <w:divBdr>
        <w:top w:val="none" w:sz="0" w:space="0" w:color="auto"/>
        <w:left w:val="none" w:sz="0" w:space="0" w:color="auto"/>
        <w:bottom w:val="none" w:sz="0" w:space="0" w:color="auto"/>
        <w:right w:val="none" w:sz="0" w:space="0" w:color="auto"/>
      </w:divBdr>
    </w:div>
    <w:div w:id="2033602423">
      <w:bodyDiv w:val="1"/>
      <w:marLeft w:val="0"/>
      <w:marRight w:val="0"/>
      <w:marTop w:val="0"/>
      <w:marBottom w:val="0"/>
      <w:divBdr>
        <w:top w:val="none" w:sz="0" w:space="0" w:color="auto"/>
        <w:left w:val="none" w:sz="0" w:space="0" w:color="auto"/>
        <w:bottom w:val="none" w:sz="0" w:space="0" w:color="auto"/>
        <w:right w:val="none" w:sz="0" w:space="0" w:color="auto"/>
      </w:divBdr>
    </w:div>
    <w:div w:id="2043357611">
      <w:bodyDiv w:val="1"/>
      <w:marLeft w:val="0"/>
      <w:marRight w:val="0"/>
      <w:marTop w:val="0"/>
      <w:marBottom w:val="0"/>
      <w:divBdr>
        <w:top w:val="none" w:sz="0" w:space="0" w:color="auto"/>
        <w:left w:val="none" w:sz="0" w:space="0" w:color="auto"/>
        <w:bottom w:val="none" w:sz="0" w:space="0" w:color="auto"/>
        <w:right w:val="none" w:sz="0" w:space="0" w:color="auto"/>
      </w:divBdr>
    </w:div>
    <w:div w:id="210136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1F7DBD"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1F7DBD"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1F7DBD"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1F7DBD"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1F7DBD"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2AE8C7FE3A86492EABE9DD377E882B7C"/>
        <w:category>
          <w:name w:val="General"/>
          <w:gallery w:val="placeholder"/>
        </w:category>
        <w:types>
          <w:type w:val="bbPlcHdr"/>
        </w:types>
        <w:behaviors>
          <w:behavior w:val="content"/>
        </w:behaviors>
        <w:guid w:val="{87C428AC-5536-4986-AF43-0B8C4A0A8413}"/>
      </w:docPartPr>
      <w:docPartBody>
        <w:p w:rsidR="00810A09" w:rsidRDefault="001F7DBD" w:rsidP="001F7DBD">
          <w:pPr>
            <w:pStyle w:val="2AE8C7FE3A86492EABE9DD377E882B7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62905A215984AE7885149DEEE4F7D6F"/>
        <w:category>
          <w:name w:val="General"/>
          <w:gallery w:val="placeholder"/>
        </w:category>
        <w:types>
          <w:type w:val="bbPlcHdr"/>
        </w:types>
        <w:behaviors>
          <w:behavior w:val="content"/>
        </w:behaviors>
        <w:guid w:val="{73B30A99-6379-4871-B09C-18700EB3E501}"/>
      </w:docPartPr>
      <w:docPartBody>
        <w:p w:rsidR="00810A09" w:rsidRDefault="001F7DBD" w:rsidP="001F7DBD">
          <w:pPr>
            <w:pStyle w:val="962905A215984AE7885149DEEE4F7D6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F5E199F59934E7288A55952BCE39FA8"/>
        <w:category>
          <w:name w:val="General"/>
          <w:gallery w:val="placeholder"/>
        </w:category>
        <w:types>
          <w:type w:val="bbPlcHdr"/>
        </w:types>
        <w:behaviors>
          <w:behavior w:val="content"/>
        </w:behaviors>
        <w:guid w:val="{E01DB4E6-9400-4C12-87DA-39F37CC7D845}"/>
      </w:docPartPr>
      <w:docPartBody>
        <w:p w:rsidR="00810A09" w:rsidRDefault="001F7DBD" w:rsidP="001F7DBD">
          <w:pPr>
            <w:pStyle w:val="4F5E199F59934E7288A55952BCE39FA8"/>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DF671025F774C4A86627D02C24B6BF4"/>
        <w:category>
          <w:name w:val="General"/>
          <w:gallery w:val="placeholder"/>
        </w:category>
        <w:types>
          <w:type w:val="bbPlcHdr"/>
        </w:types>
        <w:behaviors>
          <w:behavior w:val="content"/>
        </w:behaviors>
        <w:guid w:val="{9F51BC87-A69C-47A2-AE21-B7A9119A8CD1}"/>
      </w:docPartPr>
      <w:docPartBody>
        <w:p w:rsidR="00810A09" w:rsidRDefault="001F7DBD" w:rsidP="001F7DBD">
          <w:pPr>
            <w:pStyle w:val="FDF671025F774C4A86627D02C24B6BF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96C936B36B0A4053910FE74BE004D328"/>
        <w:category>
          <w:name w:val="General"/>
          <w:gallery w:val="placeholder"/>
        </w:category>
        <w:types>
          <w:type w:val="bbPlcHdr"/>
        </w:types>
        <w:behaviors>
          <w:behavior w:val="content"/>
        </w:behaviors>
        <w:guid w:val="{F68C2FEC-4E4D-412E-8F60-C8EB7E30BF8D}"/>
      </w:docPartPr>
      <w:docPartBody>
        <w:p w:rsidR="00810A09" w:rsidRDefault="001F7DBD" w:rsidP="001F7DBD">
          <w:pPr>
            <w:pStyle w:val="96C936B36B0A4053910FE74BE004D328"/>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75F9247DB4804B099880B1723AC60C59"/>
        <w:category>
          <w:name w:val="General"/>
          <w:gallery w:val="placeholder"/>
        </w:category>
        <w:types>
          <w:type w:val="bbPlcHdr"/>
        </w:types>
        <w:behaviors>
          <w:behavior w:val="content"/>
        </w:behaviors>
        <w:guid w:val="{4D34E2F0-7F95-45D5-B7D3-D58A7B454ED4}"/>
      </w:docPartPr>
      <w:docPartBody>
        <w:p w:rsidR="00810A09" w:rsidRDefault="001F7DBD" w:rsidP="001F7DBD">
          <w:pPr>
            <w:pStyle w:val="75F9247DB4804B099880B1723AC60C59"/>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FA7FF79FD9046AB86B177F6EE116512"/>
        <w:category>
          <w:name w:val="General"/>
          <w:gallery w:val="placeholder"/>
        </w:category>
        <w:types>
          <w:type w:val="bbPlcHdr"/>
        </w:types>
        <w:behaviors>
          <w:behavior w:val="content"/>
        </w:behaviors>
        <w:guid w:val="{5582D518-B1EB-4560-8CC9-923CC018BF21}"/>
      </w:docPartPr>
      <w:docPartBody>
        <w:p w:rsidR="00810A09" w:rsidRDefault="001F7DBD" w:rsidP="001F7DBD">
          <w:pPr>
            <w:pStyle w:val="7FA7FF79FD9046AB86B177F6EE11651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93759232273E47B7889D3719812AD7E6"/>
        <w:category>
          <w:name w:val="General"/>
          <w:gallery w:val="placeholder"/>
        </w:category>
        <w:types>
          <w:type w:val="bbPlcHdr"/>
        </w:types>
        <w:behaviors>
          <w:behavior w:val="content"/>
        </w:behaviors>
        <w:guid w:val="{004E07F2-EA86-4110-90EA-C10CBA6A2103}"/>
      </w:docPartPr>
      <w:docPartBody>
        <w:p w:rsidR="00810A09" w:rsidRDefault="001F7DBD" w:rsidP="001F7DBD">
          <w:pPr>
            <w:pStyle w:val="93759232273E47B7889D3719812AD7E6"/>
          </w:pPr>
          <w:r w:rsidRPr="00DD20DE">
            <w:rPr>
              <w:rFonts w:eastAsia="Calibri" w:cstheme="minorHAnsi"/>
              <w:color w:val="666666"/>
              <w:sz w:val="18"/>
              <w:szCs w:val="18"/>
              <w:lang w:val="es-ES"/>
            </w:rPr>
            <w:t>Haga clic o pulse aquí para indicar el nombre de origen del indicador.</w:t>
          </w:r>
        </w:p>
      </w:docPartBody>
    </w:docPart>
    <w:docPart>
      <w:docPartPr>
        <w:name w:val="F16FD5F9C787446F81FE694E34361DFE"/>
        <w:category>
          <w:name w:val="General"/>
          <w:gallery w:val="placeholder"/>
        </w:category>
        <w:types>
          <w:type w:val="bbPlcHdr"/>
        </w:types>
        <w:behaviors>
          <w:behavior w:val="content"/>
        </w:behaviors>
        <w:guid w:val="{B0EEFECB-700B-42E4-B0F6-D3A5230903C3}"/>
      </w:docPartPr>
      <w:docPartBody>
        <w:p w:rsidR="00810A09" w:rsidRDefault="001F7DBD" w:rsidP="001F7DBD">
          <w:pPr>
            <w:pStyle w:val="F16FD5F9C787446F81FE694E34361DF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C48F09B75AB4769BE55B9EECB20F715"/>
        <w:category>
          <w:name w:val="General"/>
          <w:gallery w:val="placeholder"/>
        </w:category>
        <w:types>
          <w:type w:val="bbPlcHdr"/>
        </w:types>
        <w:behaviors>
          <w:behavior w:val="content"/>
        </w:behaviors>
        <w:guid w:val="{0B1BB897-A836-432C-9CBD-BACC092761BE}"/>
      </w:docPartPr>
      <w:docPartBody>
        <w:p w:rsidR="00810A09" w:rsidRDefault="001F7DBD" w:rsidP="001F7DBD">
          <w:pPr>
            <w:pStyle w:val="CC48F09B75AB4769BE55B9EECB20F715"/>
          </w:pPr>
          <w:r w:rsidRPr="00DD20DE">
            <w:rPr>
              <w:rFonts w:eastAsia="Calibri" w:cstheme="minorHAnsi"/>
              <w:color w:val="666666"/>
              <w:sz w:val="18"/>
              <w:szCs w:val="18"/>
              <w:lang w:val="es-ES"/>
            </w:rPr>
            <w:t>Haga clic o pulse aquí para indicar la ubicación física del indicador.</w:t>
          </w:r>
        </w:p>
      </w:docPartBody>
    </w:docPart>
    <w:docPart>
      <w:docPartPr>
        <w:name w:val="C583D3C8CB0147AB9D897F5F1D495840"/>
        <w:category>
          <w:name w:val="General"/>
          <w:gallery w:val="placeholder"/>
        </w:category>
        <w:types>
          <w:type w:val="bbPlcHdr"/>
        </w:types>
        <w:behaviors>
          <w:behavior w:val="content"/>
        </w:behaviors>
        <w:guid w:val="{24ED1426-CA6D-46CA-8B59-BD332BDF6814}"/>
      </w:docPartPr>
      <w:docPartBody>
        <w:p w:rsidR="00810A09" w:rsidRDefault="001F7DBD" w:rsidP="001F7DBD">
          <w:pPr>
            <w:pStyle w:val="C583D3C8CB0147AB9D897F5F1D49584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71E4106B90A4DBBADF10DFD6608FB9E"/>
        <w:category>
          <w:name w:val="General"/>
          <w:gallery w:val="placeholder"/>
        </w:category>
        <w:types>
          <w:type w:val="bbPlcHdr"/>
        </w:types>
        <w:behaviors>
          <w:behavior w:val="content"/>
        </w:behaviors>
        <w:guid w:val="{0192F196-A5DB-4353-BA88-07FAE521F217}"/>
      </w:docPartPr>
      <w:docPartBody>
        <w:p w:rsidR="00810A09" w:rsidRDefault="001F7DBD" w:rsidP="001F7DBD">
          <w:pPr>
            <w:pStyle w:val="371E4106B90A4DBBADF10DFD6608FB9E"/>
          </w:pPr>
          <w:r w:rsidRPr="00DD20DE">
            <w:rPr>
              <w:rFonts w:eastAsia="Calibri" w:cstheme="minorHAnsi"/>
              <w:color w:val="666666"/>
              <w:sz w:val="18"/>
              <w:szCs w:val="18"/>
              <w:lang w:val="es-ES"/>
            </w:rPr>
            <w:t>Haga clic o pulse aquí para indicar la ubicación digital del indicador.</w:t>
          </w:r>
        </w:p>
      </w:docPartBody>
    </w:docPart>
    <w:docPart>
      <w:docPartPr>
        <w:name w:val="E2752B97293E4177A5EB81BA5C5B0B5A"/>
        <w:category>
          <w:name w:val="General"/>
          <w:gallery w:val="placeholder"/>
        </w:category>
        <w:types>
          <w:type w:val="bbPlcHdr"/>
        </w:types>
        <w:behaviors>
          <w:behavior w:val="content"/>
        </w:behaviors>
        <w:guid w:val="{35F30071-1666-4048-B6F3-6EEF1F2381E0}"/>
      </w:docPartPr>
      <w:docPartBody>
        <w:p w:rsidR="00810A09" w:rsidRDefault="001F7DBD" w:rsidP="001F7DBD">
          <w:pPr>
            <w:pStyle w:val="E2752B97293E4177A5EB81BA5C5B0B5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1F7DBD"/>
    <w:rsid w:val="0020532A"/>
    <w:rsid w:val="00292249"/>
    <w:rsid w:val="002A60B4"/>
    <w:rsid w:val="0030436F"/>
    <w:rsid w:val="00363162"/>
    <w:rsid w:val="00512E87"/>
    <w:rsid w:val="005655ED"/>
    <w:rsid w:val="005C3F03"/>
    <w:rsid w:val="006C673C"/>
    <w:rsid w:val="0072067C"/>
    <w:rsid w:val="00726773"/>
    <w:rsid w:val="00754211"/>
    <w:rsid w:val="0079679F"/>
    <w:rsid w:val="007A3F09"/>
    <w:rsid w:val="00810A09"/>
    <w:rsid w:val="00A05DFA"/>
    <w:rsid w:val="00A2240B"/>
    <w:rsid w:val="00BF11EF"/>
    <w:rsid w:val="00C85D65"/>
    <w:rsid w:val="00F04E13"/>
    <w:rsid w:val="00F62EC7"/>
    <w:rsid w:val="00F75501"/>
    <w:rsid w:val="00FD74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2AE8C7FE3A86492EABE9DD377E882B7C">
    <w:name w:val="2AE8C7FE3A86492EABE9DD377E882B7C"/>
    <w:rsid w:val="001F7DBD"/>
  </w:style>
  <w:style w:type="paragraph" w:customStyle="1" w:styleId="962905A215984AE7885149DEEE4F7D6F">
    <w:name w:val="962905A215984AE7885149DEEE4F7D6F"/>
    <w:rsid w:val="001F7DBD"/>
  </w:style>
  <w:style w:type="paragraph" w:customStyle="1" w:styleId="4F5E199F59934E7288A55952BCE39FA8">
    <w:name w:val="4F5E199F59934E7288A55952BCE39FA8"/>
    <w:rsid w:val="001F7DBD"/>
  </w:style>
  <w:style w:type="paragraph" w:customStyle="1" w:styleId="FDF671025F774C4A86627D02C24B6BF4">
    <w:name w:val="FDF671025F774C4A86627D02C24B6BF4"/>
    <w:rsid w:val="001F7DBD"/>
  </w:style>
  <w:style w:type="paragraph" w:customStyle="1" w:styleId="96C936B36B0A4053910FE74BE004D328">
    <w:name w:val="96C936B36B0A4053910FE74BE004D328"/>
    <w:rsid w:val="001F7DBD"/>
  </w:style>
  <w:style w:type="paragraph" w:customStyle="1" w:styleId="75F9247DB4804B099880B1723AC60C59">
    <w:name w:val="75F9247DB4804B099880B1723AC60C59"/>
    <w:rsid w:val="001F7DBD"/>
  </w:style>
  <w:style w:type="paragraph" w:customStyle="1" w:styleId="7FA7FF79FD9046AB86B177F6EE116512">
    <w:name w:val="7FA7FF79FD9046AB86B177F6EE116512"/>
    <w:rsid w:val="001F7DBD"/>
  </w:style>
  <w:style w:type="paragraph" w:customStyle="1" w:styleId="57F2C18964A8404ABC4C4615C5FDA4C8">
    <w:name w:val="57F2C18964A8404ABC4C4615C5FDA4C8"/>
    <w:rsid w:val="001F7DBD"/>
  </w:style>
  <w:style w:type="paragraph" w:customStyle="1" w:styleId="0FB9352225D14EC0B4C0B188D7AC99AB">
    <w:name w:val="0FB9352225D14EC0B4C0B188D7AC99AB"/>
    <w:rsid w:val="001F7DBD"/>
  </w:style>
  <w:style w:type="paragraph" w:customStyle="1" w:styleId="D7E56F513D48489180D5EB4BE3A103F8">
    <w:name w:val="D7E56F513D48489180D5EB4BE3A103F8"/>
    <w:rsid w:val="001F7DBD"/>
  </w:style>
  <w:style w:type="paragraph" w:customStyle="1" w:styleId="93759232273E47B7889D3719812AD7E6">
    <w:name w:val="93759232273E47B7889D3719812AD7E6"/>
    <w:rsid w:val="001F7DBD"/>
  </w:style>
  <w:style w:type="paragraph" w:customStyle="1" w:styleId="F16FD5F9C787446F81FE694E34361DFE">
    <w:name w:val="F16FD5F9C787446F81FE694E34361DFE"/>
    <w:rsid w:val="001F7DBD"/>
  </w:style>
  <w:style w:type="paragraph" w:customStyle="1" w:styleId="CC48F09B75AB4769BE55B9EECB20F715">
    <w:name w:val="CC48F09B75AB4769BE55B9EECB20F715"/>
    <w:rsid w:val="001F7DBD"/>
  </w:style>
  <w:style w:type="paragraph" w:customStyle="1" w:styleId="C583D3C8CB0147AB9D897F5F1D495840">
    <w:name w:val="C583D3C8CB0147AB9D897F5F1D495840"/>
    <w:rsid w:val="001F7DBD"/>
  </w:style>
  <w:style w:type="paragraph" w:customStyle="1" w:styleId="371E4106B90A4DBBADF10DFD6608FB9E">
    <w:name w:val="371E4106B90A4DBBADF10DFD6608FB9E"/>
    <w:rsid w:val="001F7DBD"/>
  </w:style>
  <w:style w:type="paragraph" w:customStyle="1" w:styleId="E2752B97293E4177A5EB81BA5C5B0B5A">
    <w:name w:val="E2752B97293E4177A5EB81BA5C5B0B5A"/>
    <w:rsid w:val="001F7D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2442</Words>
  <Characters>13434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2025-04-02T16:15:00Z</dcterms:created>
  <dcterms:modified xsi:type="dcterms:W3CDTF">2025-04-02T16:15:00Z</dcterms:modified>
</cp:coreProperties>
</file>