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데이터분석 처리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ETL(Extract - Transform - Load)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374093" cy="3124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4093" cy="312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https://bommbom.tistory.com/entry/%EB%8D%B0%EC%9D%B4%ED%84%B0%EC%9B%A8%EC%96%B4%ED%95%98%EC%9A%B0%EC%8A%A4DW-%EC%96%B4%EB%96%BB%EA%B2%8C-%EC%B2%98%EB%A6%AC-%ED%95%A0%EA%B9%8C-STG-ODS-DW-Mart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최근에는 ELT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정형 비정형데이터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5224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EDA, 기술통계, 추론통계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rtl w:val="0"/>
          </w:rPr>
          <w:t xml:space="preserve">EDA (Exploratory Data Analysis) 탐색적 데이터 분석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8957916" cy="31151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7916" cy="311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eda-ai-lab.tistory.com/1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mmbom.tistory.com/entry/%EB%8D%B0%EC%9D%B4%ED%84%B0%EC%9B%A8%EC%96%B4%ED%95%98%EC%9A%B0%EC%8A%A4DW-%EC%96%B4%EB%96%BB%EA%B2%8C-%EC%B2%98%EB%A6%AC-%ED%95%A0%EA%B9%8C-STG-ODS-DW-Mar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