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512"/>
        </w:tabs>
        <w:spacing w:after="0" w:line="276" w:lineRule="auto"/>
        <w:jc w:val="both"/>
        <w:rPr>
          <w:rFonts w:ascii="Arial" w:cs="Arial" w:eastAsia="Arial" w:hAnsi="Arial"/>
          <w:color w:val="262626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36"/>
          <w:szCs w:val="36"/>
          <w:rtl w:val="0"/>
        </w:rPr>
        <w:t xml:space="preserve">Antonio Carlos Garcia Junior</w:t>
      </w:r>
      <w:r w:rsidDel="00000000" w:rsidR="00000000" w:rsidRPr="00000000">
        <w:rPr>
          <w:rFonts w:ascii="Arial" w:cs="Arial" w:eastAsia="Arial" w:hAnsi="Arial"/>
          <w:color w:val="262626"/>
          <w:sz w:val="40"/>
          <w:szCs w:val="40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+5527992456277 | Vila Velha, Espírito Santo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512"/>
        </w:tabs>
        <w:spacing w:after="0" w:line="276" w:lineRule="auto"/>
        <w:jc w:val="right"/>
        <w:rPr>
          <w:rFonts w:ascii="Arial" w:cs="Arial" w:eastAsia="Arial" w:hAnsi="Arial"/>
          <w:b w:val="1"/>
          <w:color w:val="26262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sr.antoniocarlos@gmail.com</w:t>
        <w:tab/>
        <w:t xml:space="preserve">          www.linkedin.com/in/antoniogarcias/                                                                                                                                                                                             https://ancgci.github.io/myPortfolio/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85776d" w:space="1" w:sz="18" w:val="single"/>
        </w:pBdr>
        <w:spacing w:after="0" w:line="276" w:lineRule="auto"/>
        <w:jc w:val="both"/>
        <w:rPr>
          <w:rFonts w:ascii="Arial" w:cs="Arial" w:eastAsia="Arial" w:hAnsi="Arial"/>
          <w:color w:val="26262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Analista de Teste de Software Junior</w:t>
      </w:r>
    </w:p>
    <w:p w:rsidR="00000000" w:rsidDel="00000000" w:rsidP="00000000" w:rsidRDefault="00000000" w:rsidRPr="00000000" w14:paraId="00000005">
      <w:pPr>
        <w:pBdr>
          <w:bottom w:color="85776d" w:space="1" w:sz="18" w:val="single"/>
        </w:pBdr>
        <w:spacing w:after="0" w:line="276" w:lineRule="auto"/>
        <w:jc w:val="left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0" w:line="276" w:lineRule="auto"/>
        <w:ind w:left="57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Analista em desenvolvimento de sistemas com conhecimentos em testes de caixa preta e branca manual e automático de aplicações web. Como técnologias do frontend e backend e frameworks de teste como Jest, Robot , Cypress e Selenium. Como também em ferramentas de apoio no desenvolvimento e documentação.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576" w:right="0" w:hanging="360"/>
        <w:jc w:val="both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Mais de 8 anos de experiência com resolução de problemas, atendimento ao cliente, análise de sistemas corporativos, trabalho remoto e Acordo de Nível de Serviço (SLA)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576" w:right="0" w:hanging="360"/>
        <w:jc w:val="both"/>
        <w:rPr>
          <w:rFonts w:ascii="Arial" w:cs="Arial" w:eastAsia="Arial" w:hAnsi="Arial"/>
          <w:color w:val="262626"/>
          <w:u w:val="none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Profissional versátil com perfil executor e analista, destacando-se como observador crítico. Movido pela curiosidade, preza pela honestidade e com senso de urgência.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576" w:right="0" w:hanging="360"/>
        <w:jc w:val="both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Capacidade em trabalhar em equipe, forte adaptabilidade, curiosidade, senso crítico com atributos da área da administração e técnica. Com experiência em diferentes setores, desde comercial 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Última Experiência Profissional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BrasilCenter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c5bb9c"/>
              <w:rtl w:val="0"/>
            </w:rPr>
            <w:t xml:space="preserve">∙</w:t>
          </w:r>
        </w:sdtContent>
      </w:sdt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 05/2014 e 01/2023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276" w:lineRule="auto"/>
        <w:jc w:val="both"/>
        <w:rPr>
          <w:rFonts w:ascii="Arial" w:cs="Arial" w:eastAsia="Arial" w:hAnsi="Arial"/>
          <w:b w:val="1"/>
          <w:color w:val="262626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rtl w:val="0"/>
        </w:rPr>
        <w:t xml:space="preserve">Representante de Serviços Especializado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576" w:hanging="360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Responsável por atividades relacionada a suporte no atendimento de demandas com objetivo de resolver conflitos, esclarecimentos e atendimento a solicitações mediante análise de dados em sistemas internos.</w:t>
      </w:r>
    </w:p>
    <w:p w:rsidR="00000000" w:rsidDel="00000000" w:rsidP="00000000" w:rsidRDefault="00000000" w:rsidRPr="00000000" w14:paraId="00000012">
      <w:pPr>
        <w:spacing w:after="0" w:line="276" w:lineRule="auto"/>
        <w:ind w:left="576" w:firstLine="0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576" w:firstLine="0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Principais realizações: Fui reconhecido em eventos anuais com destaque nos indicadores. Realizei transição interna de atendimento N1 para backoffice. Atuei em campanhas internas na avaliação de demandas com suporte a canais críticos. Como também no suporte técnico aos produtos Claro Residencial. 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color w:val="262626"/>
        </w:rPr>
      </w:pP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Graduação Superior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FACULDADE ESTÁCIO DE SÁ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e Desenvolvimento de Sistemas (07/2020 a 12/2022)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FACULDADE NOVO MILÊNIO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Bacharelado em Administração Geral (11/2002 a 12/2006)</w:t>
      </w:r>
    </w:p>
    <w:p w:rsidR="00000000" w:rsidDel="00000000" w:rsidP="00000000" w:rsidRDefault="00000000" w:rsidRPr="00000000" w14:paraId="0000001C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c6c0b3" w:space="2" w:sz="4" w:val="single"/>
        </w:pBdr>
        <w:spacing w:after="0" w:line="276" w:lineRule="auto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  <w:sectPr>
          <w:headerReference r:id="rId7" w:type="first"/>
          <w:pgSz w:h="15840" w:w="12240" w:orient="portrait"/>
          <w:pgMar w:bottom="864" w:top="864" w:left="864" w:right="864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ÚLTIMA SCHOOL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Analista de testes de software (03/2023 -11/2023)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manual, Teste automático, teste de api, teste unitário, frontend, html, css, javascript, selenium, cypress, teste manual mobile, jira, confluence, github, docker, postman, metodologias de desenvolvimento agil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 CONTROL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 Hero Academy (08/2023)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Fundamentos de Teste e Automação de Testes com Robot Framework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AGILIZEI.COM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Cypress Direto ao Ponto (06/2023)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automáticos, node, Javascript, cypress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QAEXPERIENCE.COM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(06/2023)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Cypress Express - Automatizador Cypress Iniciante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teste automatizado, teste de regressão, teste ponta-a-ponta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UDEMY CURSOS  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Aprenda JAVASCRIPT em 7 dias + Projetos Reais 2023 (05/2023)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 SQL do Zero ao Avançado + Projetos Reais 2023 (05/2023)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SQL, MySQL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Automáticos + Curso Completo de Teste de Software (04/2023)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teste manual de software, teste automático unitário, JUnit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 Completo: Do Básico ao Avançado (03/2023)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Git, GitHub, ferramentas de versionamento de software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Algorithmic Trading in Forex: Create Your First Forex Robot! (03/2023)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mql4, algoritmos para trade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DYDX Pairs Trading Bot Build in Python Running in the Cloud (03/2023)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python, web3, MetaMask, GitHub, AWS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Ethereum and Solidity: The Complete Developer's Guide (02/2023)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Ethereum, solidity, smart contracts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Crypto Trading Execution with Flash Loans, Web3 and Hardhat (12/2022)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solidity,  Javascript , hardhat, smart contract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Triangular Arbitrage for Crypto with Python - Fast Track (11/2022)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solidity,  Javascript , smart contract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Complete Solidity Course - Blockchain - Zero to Expert (09/2022)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solidity, smart contract, web3, Ethereum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Inglês  semi-intermediário. </w:t>
      </w:r>
    </w:p>
    <w:sectPr>
      <w:type w:val="continuous"/>
      <w:pgSz w:h="15840" w:w="12240" w:orient="portrait"/>
      <w:pgMar w:bottom="864" w:top="864" w:left="864" w:right="864" w:header="720" w:footer="720"/>
      <w:cols w:equalWidth="0" w:num="2">
        <w:col w:space="720" w:w="4895.999999999999"/>
        <w:col w:space="0" w:w="4895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576" w:hanging="360"/>
      </w:pPr>
      <w:rPr>
        <w:rFonts w:ascii="Noto Sans Symbols" w:cs="Noto Sans Symbols" w:eastAsia="Noto Sans Symbols" w:hAnsi="Noto Sans Symbols"/>
        <w:color w:val="40404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576" w:hanging="360"/>
      </w:pPr>
      <w:rPr>
        <w:rFonts w:ascii="Noto Sans Symbols" w:cs="Noto Sans Symbols" w:eastAsia="Noto Sans Symbols" w:hAnsi="Noto Sans Symbols"/>
        <w:color w:val="40404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◼"/>
      <w:lvlJc w:val="left"/>
      <w:pPr>
        <w:ind w:left="576" w:hanging="360"/>
      </w:pPr>
      <w:rPr>
        <w:rFonts w:ascii="Noto Sans Symbols" w:cs="Noto Sans Symbols" w:eastAsia="Noto Sans Symbols" w:hAnsi="Noto Sans Symbols"/>
        <w:b w:val="0"/>
        <w:i w:val="0"/>
        <w:color w:val="40404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ZUmHHzmjlrVwH3khFZXrq9i5A==">CgMxLjAaJAoBMBIfCh0IB0IZCgVBcmltbxIQQXJpYWwgVW5pY29kZSBNUzgAaikKFHN1Z2dlc3QuOHNhYnhsOHRidXlrEhFBbmEgUGF1bGEgSG9sYW5kYWopChRzdWdnZXN0LjhhaTRweGF5ZGt2chIRQW5hIFBhdWxhIEhvbGFuZGFqKQoUc3VnZ2VzdC55MXc0aDk2ZzgzZ2ISEUFuYSBQYXVsYSBIb2xhbmRhaikKFHN1Z2dlc3QuZDM4NTFvN3Y2OHkzEhFBbmEgUGF1bGEgSG9sYW5kYWopChRzdWdnZXN0Lmh1emhmZDIxcmpudBIRQW5hIFBhdWxhIEhvbGFuZGFqKQoUc3VnZ2VzdC42cjJ0bTA0d2ZoeXASEUFuYSBQYXVsYSBIb2xhbmRhaikKFHN1Z2dlc3QucDN3YnR5ajM5cTFxEhFBbmEgUGF1bGEgSG9sYW5kYWopChRzdWdnZXN0Lnc3bmQ5d3l3MHJvOBIRQW5hIFBhdWxhIEhvbGFuZGFqKQoUc3VnZ2VzdC5tOWlidTUycWRnbXoSEUFuYSBQYXVsYSBIb2xhbmRhaikKFHN1Z2dlc3Quc2k1Y2xwZXI1YWk4EhFBbmEgUGF1bGEgSG9sYW5kYXIhMWJibnY3YVp2NmUtb0ZCb3BKei1PeW1LenV0ZTBzUW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