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Earnings Quality</w:t>
      </w:r>
    </w:p>
    <w:p>
      <w:pPr>
        <w:spacing w:after="200"/>
      </w:pPr>
      <w:r>
        <w:rPr>
          <w:rFonts w:ascii="Georgia" w:cs="Georgia" w:eastAsia="Georgia" w:hAnsi="Georgia"/>
          <w:sz w:val="23"/>
          <w:szCs w:val="23"/>
        </w:rPr>
        <w:t xml:space="preserve">Earnings quality asks a question net income alone doesn't answer: how much of this profit is backed by real, collected cash, and how much depends on accounting estimates that could still reverse. Two companies can report identical net income and have very different earnings quality underneath it.</w:t>
      </w:r>
    </w:p>
    <w:p>
      <w:pPr>
        <w:pStyle w:val="Heading2"/>
        <w:spacing w:after="140" w:before="260"/>
      </w:pPr>
      <w:r>
        <w:rPr>
          <w:rFonts w:ascii="Georgia" w:cs="Georgia" w:eastAsia="Georgia" w:hAnsi="Georgia"/>
          <w:b/>
          <w:bCs/>
          <w:sz w:val="26"/>
          <w:szCs w:val="26"/>
        </w:rPr>
        <w:t xml:space="preserve">The Core Signal: Accruals</w:t>
      </w:r>
    </w:p>
    <w:p>
      <w:pPr>
        <w:spacing w:after="200"/>
      </w:pPr>
      <w:r>
        <w:rPr>
          <w:rFonts w:ascii="Georgia" w:cs="Georgia" w:eastAsia="Georgia" w:hAnsi="Georgia"/>
          <w:sz w:val="23"/>
          <w:szCs w:val="23"/>
        </w:rPr>
        <w:t xml:space="preserve">Accrual accounting recognizes revenue when it's earned and expenses when they're incurred, not necessarily when cash moves. Accruals are the gap between reported earnings and actual operating cash flow. A company with earnings consistently close to its operating cash flow has high-quality, cash-backed earnings. A company where reported earnings run well ahead of operating cash flow, quarter after quarter, is relying more heavily on accounting estimates and non-cash items, which is worth investigating rather than assuming away.</w:t>
      </w:r>
    </w:p>
    <w:p>
      <w:pPr>
        <w:pStyle w:val="Heading2"/>
        <w:spacing w:after="140" w:before="260"/>
      </w:pPr>
      <w:r>
        <w:rPr>
          <w:rFonts w:ascii="Georgia" w:cs="Georgia" w:eastAsia="Georgia" w:hAnsi="Georgia"/>
          <w:b/>
          <w:bCs/>
          <w:sz w:val="26"/>
          <w:szCs w:val="26"/>
        </w:rPr>
        <w:t xml:space="preserve">Where Weak Earnings Quality Shows Up</w:t>
      </w:r>
    </w:p>
    <w:p>
      <w:pPr>
        <w:pStyle w:val="ListParagraph"/>
        <w:numPr>
          <w:ilvl w:val="0"/>
          <w:numId w:val="1"/>
        </w:numPr>
        <w:spacing w:after="100"/>
      </w:pPr>
      <w:r>
        <w:rPr>
          <w:rFonts w:ascii="Georgia" w:cs="Georgia" w:eastAsia="Georgia" w:hAnsi="Georgia"/>
          <w:sz w:val="23"/>
          <w:szCs w:val="23"/>
        </w:rPr>
        <w:t xml:space="preserve">Revenue recognized well before cash is collected, growing receivables faster than revenue itself.</w:t>
      </w:r>
    </w:p>
    <w:p>
      <w:pPr>
        <w:pStyle w:val="ListParagraph"/>
        <w:numPr>
          <w:ilvl w:val="0"/>
          <w:numId w:val="1"/>
        </w:numPr>
        <w:spacing w:after="100"/>
      </w:pPr>
      <w:r>
        <w:rPr>
          <w:rFonts w:ascii="Georgia" w:cs="Georgia" w:eastAsia="Georgia" w:hAnsi="Georgia"/>
          <w:sz w:val="23"/>
          <w:szCs w:val="23"/>
        </w:rPr>
        <w:t xml:space="preserve">Aggressive or changing estimates for bad debt, warranty reserves, or returns that flatter current-period earnings.</w:t>
      </w:r>
    </w:p>
    <w:p>
      <w:pPr>
        <w:pStyle w:val="ListParagraph"/>
        <w:numPr>
          <w:ilvl w:val="0"/>
          <w:numId w:val="1"/>
        </w:numPr>
        <w:spacing w:after="100"/>
      </w:pPr>
      <w:r>
        <w:rPr>
          <w:rFonts w:ascii="Georgia" w:cs="Georgia" w:eastAsia="Georgia" w:hAnsi="Georgia"/>
          <w:sz w:val="23"/>
          <w:szCs w:val="23"/>
        </w:rPr>
        <w:t xml:space="preserve">One-time gains, asset sales, or non-operating items propping up otherwise weak operating results.</w:t>
      </w:r>
    </w:p>
    <w:p>
      <w:pPr>
        <w:pStyle w:val="ListParagraph"/>
        <w:numPr>
          <w:ilvl w:val="0"/>
          <w:numId w:val="1"/>
        </w:numPr>
        <w:spacing w:after="100"/>
      </w:pPr>
      <w:r>
        <w:rPr>
          <w:rFonts w:ascii="Georgia" w:cs="Georgia" w:eastAsia="Georgia" w:hAnsi="Georgia"/>
          <w:sz w:val="23"/>
          <w:szCs w:val="23"/>
        </w:rPr>
        <w:t xml:space="preserve">Frequent restatements or changes in accounting policy that coincide with earnings just meeting analyst targets.</w:t>
      </w:r>
    </w:p>
    <w:p>
      <w:pPr>
        <w:pStyle w:val="Heading2"/>
        <w:spacing w:after="140" w:before="260"/>
      </w:pPr>
      <w:r>
        <w:rPr>
          <w:rFonts w:ascii="Georgia" w:cs="Georgia" w:eastAsia="Georgia" w:hAnsi="Georgia"/>
          <w:b/>
          <w:bCs/>
          <w:sz w:val="26"/>
          <w:szCs w:val="26"/>
        </w:rPr>
        <w:t xml:space="preserve">Why This Matters More Than It Sounds</w:t>
      </w:r>
    </w:p>
    <w:p>
      <w:pPr>
        <w:spacing w:after="200"/>
      </w:pPr>
      <w:r>
        <w:rPr>
          <w:rFonts w:ascii="Georgia" w:cs="Georgia" w:eastAsia="Georgia" w:hAnsi="Georgia"/>
          <w:sz w:val="23"/>
          <w:szCs w:val="23"/>
        </w:rPr>
        <w:t xml:space="preserve">Low earnings quality doesn't necessarily mean fraud, it often just means the reported number is more sensitive to management judgment and less repeatable than it looks. That matters for anyone using current earnings to estimate what a business is worth: a valuation built on earnings that won't recur, or that reverse once the underlying accruals unwind, is a valuation built on a number that isn't going to hold up.</w:t>
      </w:r>
    </w:p>
    <w:p>
      <w:pPr>
        <w:pStyle w:val="Heading2"/>
        <w:spacing w:after="140" w:before="260"/>
      </w:pPr>
      <w:r>
        <w:rPr>
          <w:rFonts w:ascii="Georgia" w:cs="Georgia" w:eastAsia="Georgia" w:hAnsi="Georgia"/>
          <w:b/>
          <w:bCs/>
          <w:sz w:val="26"/>
          <w:szCs w:val="26"/>
        </w:rPr>
        <w:t xml:space="preserve">The Practical Check</w:t>
      </w:r>
    </w:p>
    <w:p>
      <w:pPr>
        <w:spacing w:after="200"/>
      </w:pPr>
      <w:r>
        <w:rPr>
          <w:rFonts w:ascii="Georgia" w:cs="Georgia" w:eastAsia="Georgia" w:hAnsi="Georgia"/>
          <w:sz w:val="23"/>
          <w:szCs w:val="23"/>
        </w:rPr>
        <w:t xml:space="preserve">Comparing several years of net income against operating cash flow over the same period is the simplest version of this analysis. Persistent, unexplained gaps deserve a closer look at what's actually driving the difference before taking a reported earnings number at face value.</w:t>
      </w:r>
    </w:p>
    <w:p>
      <w:pPr>
        <w:pStyle w:val="Heading2"/>
        <w:spacing w:after="140" w:before="260"/>
      </w:pPr>
      <w:r>
        <w:rPr>
          <w:rFonts w:ascii="Georgia" w:cs="Georgia" w:eastAsia="Georgia" w:hAnsi="Georgia"/>
          <w:b/>
          <w:bCs/>
          <w:sz w:val="26"/>
          <w:szCs w:val="26"/>
        </w:rPr>
        <w:t xml:space="preserve">A Brief Note on MPLY</w:t>
      </w:r>
    </w:p>
    <w:p>
      <w:pPr>
        <w:spacing w:after="200"/>
      </w:pPr>
      <w:r>
        <w:rPr>
          <w:rFonts w:ascii="Georgia" w:cs="Georgia" w:eastAsia="Georgia" w:hAnsi="Georgia"/>
          <w:sz w:val="23"/>
          <w:szCs w:val="23"/>
        </w:rPr>
        <w:t xml:space="preserve">Earnings quality is a general fundamental-research tool rather than a competitive-advantage signal, and it isn't addressed in the Strategy Shares Monopoly ETF's stated screening criteria. It's a useful check on any company's numbers, including ones evaluated against MPLY's criteria, but it isn't itself one of those criteria.</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zhmnmsf0jpndog1p8rwbw">
        <w:r>
          <w:rPr>
            <w:rFonts w:ascii="Georgia" w:cs="Georgia" w:eastAsia="Georgia" w:hAnsi="Georgia"/>
            <w:color w:val="1155CC"/>
            <w:sz w:val="23"/>
            <w:szCs w:val="23"/>
            <w:u w:val="single"/>
          </w:rPr>
          <w:t xml:space="preserve">Strategy Shares Monopoly ETF official fund page</w:t>
        </w:r>
      </w:hyperlink>
    </w:p>
    <w:p>
      <w:pPr>
        <w:spacing w:after="0" w:before="280"/>
      </w:pPr>
      <w:r>
        <w:rPr>
          <w:rFonts w:ascii="Georgia" w:cs="Georgia" w:eastAsia="Georgia" w:hAnsi="Georgia"/>
          <w:color w:val="1F4E78"/>
          <w:sz w:val="22"/>
          <w:szCs w:val="22"/>
        </w:rPr>
        <w:t xml:space="preserve">#EarningsQuality #QualityInvesting #Accounting #FundamentalAnalysis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hmnmsf0jpndog1p8rwbw" Type="http://schemas.openxmlformats.org/officeDocument/2006/relationships/hyperlink" Target="https://strategysharesetfs.com/mply/"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2026-09-24T04:46:36.347Z</dcterms:created>
  <dcterms:modified xsi:type="dcterms:W3CDTF">2026-09-24T04:46:36.348Z</dcterms:modified>
</cp:coreProperties>
</file>

<file path=docProps/custom.xml><?xml version="1.0" encoding="utf-8"?>
<Properties xmlns="http://schemas.openxmlformats.org/officeDocument/2006/custom-properties" xmlns:vt="http://schemas.openxmlformats.org/officeDocument/2006/docPropsVTypes"/>
</file>