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Cash Conversion Cycle</w:t>
      </w:r>
    </w:p>
    <w:p>
      <w:pPr>
        <w:spacing w:after="200"/>
      </w:pPr>
      <w:r>
        <w:rPr>
          <w:rFonts w:ascii="Georgia" w:cs="Georgia" w:eastAsia="Georgia" w:hAnsi="Georgia"/>
          <w:sz w:val="23"/>
          <w:szCs w:val="23"/>
        </w:rPr>
        <w:t xml:space="preserve">The cash conversion cycle measures how many days pass between a company spending cash on inventory and collecting cash from the sale of that inventory. A shorter cycle means a business gets its cash back faster, which reduces how much external financing it needs to fund day-to-day operations.</w:t>
      </w:r>
    </w:p>
    <w:p>
      <w:pPr>
        <w:pStyle w:val="Heading2"/>
        <w:spacing w:after="140" w:before="260"/>
      </w:pPr>
      <w:r>
        <w:rPr>
          <w:rFonts w:ascii="Georgia" w:cs="Georgia" w:eastAsia="Georgia" w:hAnsi="Georgia"/>
          <w:b/>
          <w:bCs/>
          <w:sz w:val="26"/>
          <w:szCs w:val="26"/>
        </w:rPr>
        <w:t xml:space="preserve">The Formula</w:t>
      </w:r>
    </w:p>
    <w:p>
      <w:pPr>
        <w:spacing w:after="200"/>
      </w:pPr>
      <w:r>
        <w:rPr>
          <w:rFonts w:ascii="Georgia" w:cs="Georgia" w:eastAsia="Georgia" w:hAnsi="Georgia"/>
          <w:sz w:val="23"/>
          <w:szCs w:val="23"/>
        </w:rPr>
        <w:t xml:space="preserve">Cash conversion cycle equals days inventory outstanding, plus days sales outstanding, minus days payable outstanding. Days inventory outstanding measures how long inventory sits before it's sold. Days sales outstanding measures how long it takes to collect cash after a sale. Days payable outstanding measures how long the company takes to pay its own suppliers, which works in the opposite direction, since a longer payment period keeps cash in the business longer.</w:t>
      </w:r>
    </w:p>
    <w:p>
      <w:pPr>
        <w:pStyle w:val="Heading2"/>
        <w:spacing w:after="140" w:before="260"/>
      </w:pPr>
      <w:r>
        <w:rPr>
          <w:rFonts w:ascii="Georgia" w:cs="Georgia" w:eastAsia="Georgia" w:hAnsi="Georgia"/>
          <w:b/>
          <w:bCs/>
          <w:sz w:val="26"/>
          <w:szCs w:val="26"/>
        </w:rPr>
        <w:t xml:space="preserve">What a Negative Cycle Means</w:t>
      </w:r>
    </w:p>
    <w:p>
      <w:pPr>
        <w:spacing w:after="200"/>
      </w:pPr>
      <w:r>
        <w:rPr>
          <w:rFonts w:ascii="Georgia" w:cs="Georgia" w:eastAsia="Georgia" w:hAnsi="Georgia"/>
          <w:sz w:val="23"/>
          <w:szCs w:val="23"/>
        </w:rPr>
        <w:t xml:space="preserve">Some businesses achieve a negative cash conversion cycle: they collect cash from customers before they have to pay suppliers, effectively getting funded by their own operating cycle rather than needing external capital. This is common in businesses with fast inventory turnover and favorable supplier payment terms, and it's a genuinely favorable working-capital position, since growth doesn't require proportional new financing the way it does for a business with a long, cash-consuming cycle.</w:t>
      </w:r>
    </w:p>
    <w:p>
      <w:pPr>
        <w:pStyle w:val="Heading2"/>
        <w:spacing w:after="140" w:before="260"/>
      </w:pPr>
      <w:r>
        <w:rPr>
          <w:rFonts w:ascii="Georgia" w:cs="Georgia" w:eastAsia="Georgia" w:hAnsi="Georgia"/>
          <w:b/>
          <w:bCs/>
          <w:sz w:val="26"/>
          <w:szCs w:val="26"/>
        </w:rPr>
        <w:t xml:space="preserve">Why This Matters Beyond the Number Itself</w:t>
      </w:r>
    </w:p>
    <w:p>
      <w:pPr>
        <w:spacing w:after="200"/>
      </w:pPr>
      <w:r>
        <w:rPr>
          <w:rFonts w:ascii="Georgia" w:cs="Georgia" w:eastAsia="Georgia" w:hAnsi="Georgia"/>
          <w:sz w:val="23"/>
          <w:szCs w:val="23"/>
        </w:rPr>
        <w:t xml:space="preserve">A shortening cash conversion cycle over time can signal improving operational efficiency, better inventory management, faster collections, or stronger supplier leverage. A lengthening cycle can signal the opposite, inventory building up, customers taking longer to pay, or weakening leverage over suppliers, sometimes ahead of a broader earnings problem becoming visible in the income statement.</w:t>
      </w:r>
    </w:p>
    <w:p>
      <w:pPr>
        <w:pStyle w:val="Heading2"/>
        <w:spacing w:after="140" w:before="260"/>
      </w:pPr>
      <w:r>
        <w:rPr>
          <w:rFonts w:ascii="Georgia" w:cs="Georgia" w:eastAsia="Georgia" w:hAnsi="Georgia"/>
          <w:b/>
          <w:bCs/>
          <w:sz w:val="26"/>
          <w:szCs w:val="26"/>
        </w:rPr>
        <w:t xml:space="preserve">The Limitation</w:t>
      </w:r>
    </w:p>
    <w:p>
      <w:pPr>
        <w:spacing w:after="200"/>
      </w:pPr>
      <w:r>
        <w:rPr>
          <w:rFonts w:ascii="Georgia" w:cs="Georgia" w:eastAsia="Georgia" w:hAnsi="Georgia"/>
          <w:sz w:val="23"/>
          <w:szCs w:val="23"/>
        </w:rPr>
        <w:t xml:space="preserve">The cycle varies enormously by industry and business model, a grocery retailer and an industrial equipment manufacturer will have structurally different cycles for reasons that have nothing to do with which is better run. Comparisons are most useful within the same industry, or for the same company across time, rather than across unrelated sectors.</w:t>
      </w:r>
    </w:p>
    <w:p>
      <w:pPr>
        <w:pStyle w:val="Heading2"/>
        <w:spacing w:after="140" w:before="260"/>
      </w:pPr>
      <w:r>
        <w:rPr>
          <w:rFonts w:ascii="Georgia" w:cs="Georgia" w:eastAsia="Georgia" w:hAnsi="Georgia"/>
          <w:b/>
          <w:bCs/>
          <w:sz w:val="26"/>
          <w:szCs w:val="26"/>
        </w:rPr>
        <w:t xml:space="preserve">A Brief Note on MPLY</w:t>
      </w:r>
    </w:p>
    <w:p>
      <w:pPr>
        <w:spacing w:after="200"/>
      </w:pPr>
      <w:r>
        <w:rPr>
          <w:rFonts w:ascii="Georgia" w:cs="Georgia" w:eastAsia="Georgia" w:hAnsi="Georgia"/>
          <w:sz w:val="23"/>
          <w:szCs w:val="23"/>
        </w:rPr>
        <w:t xml:space="preserve">Working capital efficiency is a useful operating-quality metric, but it isn't named in the Strategy Shares Monopoly ETF's stated screening criteria and doesn't by itself indicate a durable competitive advantage. It's a research tool that sits alongside, not inside, MPLY's stated approach.</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nlopzhiermgsj0en1cwk-">
        <w:r>
          <w:rPr>
            <w:rFonts w:ascii="Georgia" w:cs="Georgia" w:eastAsia="Georgia" w:hAnsi="Georgia"/>
            <w:color w:val="1155CC"/>
            <w:sz w:val="23"/>
            <w:szCs w:val="23"/>
            <w:u w:val="single"/>
          </w:rPr>
          <w:t xml:space="preserve">Strategy Shares Monopoly ETF official fund page</w:t>
        </w:r>
      </w:hyperlink>
    </w:p>
    <w:p>
      <w:pPr>
        <w:spacing w:after="0" w:before="280"/>
      </w:pPr>
      <w:r>
        <w:rPr>
          <w:rFonts w:ascii="Georgia" w:cs="Georgia" w:eastAsia="Georgia" w:hAnsi="Georgia"/>
          <w:color w:val="1F4E78"/>
          <w:sz w:val="22"/>
          <w:szCs w:val="22"/>
        </w:rPr>
        <w:t xml:space="preserve">#CashConversionCycle #WorkingCapital #BusinessEconomics #Investing #Fundamentals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lopzhiermgsj0en1cwk-" Type="http://schemas.openxmlformats.org/officeDocument/2006/relationships/hyperlink" Target="https://strategysharesetfs.com/mply/"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2026-09-24T04:46:36.399Z</dcterms:created>
  <dcterms:modified xsi:type="dcterms:W3CDTF">2026-09-24T04:46:36.399Z</dcterms:modified>
</cp:coreProperties>
</file>

<file path=docProps/custom.xml><?xml version="1.0" encoding="utf-8"?>
<Properties xmlns="http://schemas.openxmlformats.org/officeDocument/2006/custom-properties" xmlns:vt="http://schemas.openxmlformats.org/officeDocument/2006/docPropsVTypes"/>
</file>