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Gross Margin and Why It Matters</w:t>
      </w:r>
    </w:p>
    <w:p>
      <w:pPr>
        <w:spacing w:after="200"/>
      </w:pPr>
      <w:r>
        <w:rPr>
          <w:rFonts w:ascii="Georgia" w:cs="Georgia" w:eastAsia="Georgia" w:hAnsi="Georgia"/>
          <w:sz w:val="23"/>
          <w:szCs w:val="23"/>
        </w:rPr>
        <w:t xml:space="preserve">Gross margin measures how much of each sales dollar remains after covering the direct cost of producing or delivering whatever was sold, before accounting for marketing, administration, R&amp;D, or other operating expenses. It's usually the first place pricing power or cost advantage shows up in the numbers.</w:t>
      </w:r>
    </w:p>
    <w:p>
      <w:pPr>
        <w:pStyle w:val="Heading2"/>
        <w:spacing w:after="140" w:before="260"/>
      </w:pPr>
      <w:r>
        <w:rPr>
          <w:rFonts w:ascii="Georgia" w:cs="Georgia" w:eastAsia="Georgia" w:hAnsi="Georgia"/>
          <w:b/>
          <w:bCs/>
          <w:sz w:val="26"/>
          <w:szCs w:val="26"/>
        </w:rPr>
        <w:t xml:space="preserve">The Formula</w:t>
      </w:r>
    </w:p>
    <w:p>
      <w:pPr>
        <w:spacing w:after="200"/>
      </w:pPr>
      <w:r>
        <w:rPr>
          <w:rFonts w:ascii="Georgia" w:cs="Georgia" w:eastAsia="Georgia" w:hAnsi="Georgia"/>
          <w:sz w:val="23"/>
          <w:szCs w:val="23"/>
        </w:rPr>
        <w:t xml:space="preserve">Gross margin equals gross profit divided by revenue, where gross profit is revenue minus cost of goods sold, the direct costs of production: materials, direct labor, and manufacturing overhead for a physical product, or hosting and support costs for a software product. A company with $100 million in revenue and $60 million in cost of goods sold has $40 million in gross profit and a 40% gross margin.</w:t>
      </w:r>
    </w:p>
    <w:p>
      <w:pPr>
        <w:pStyle w:val="Heading2"/>
        <w:spacing w:after="140" w:before="260"/>
      </w:pPr>
      <w:r>
        <w:rPr>
          <w:rFonts w:ascii="Georgia" w:cs="Georgia" w:eastAsia="Georgia" w:hAnsi="Georgia"/>
          <w:b/>
          <w:bCs/>
          <w:sz w:val="26"/>
          <w:szCs w:val="26"/>
        </w:rPr>
        <w:t xml:space="preserve">What a High Gross Margin Signals</w:t>
      </w:r>
    </w:p>
    <w:p>
      <w:pPr>
        <w:spacing w:after="200"/>
      </w:pPr>
      <w:r>
        <w:rPr>
          <w:rFonts w:ascii="Georgia" w:cs="Georgia" w:eastAsia="Georgia" w:hAnsi="Georgia"/>
          <w:sz w:val="23"/>
          <w:szCs w:val="23"/>
        </w:rPr>
        <w:t xml:space="preserve">A high gross margin, relative to industry peers, generally reflects either pricing power, the ability to charge more than the direct cost of production would require, or a structural cost advantage in how the product is made or delivered. Software and licensing businesses often carry gross margins above 70-80%, since the marginal cost of serving an additional customer is low; heavy manufacturing and retail businesses typically run much lower, reflecting the direct cost intensity of physical production and distribution.</w:t>
      </w:r>
    </w:p>
    <w:p>
      <w:pPr>
        <w:pStyle w:val="Heading2"/>
        <w:spacing w:after="140" w:before="260"/>
      </w:pPr>
      <w:r>
        <w:rPr>
          <w:rFonts w:ascii="Georgia" w:cs="Georgia" w:eastAsia="Georgia" w:hAnsi="Georgia"/>
          <w:b/>
          <w:bCs/>
          <w:sz w:val="26"/>
          <w:szCs w:val="26"/>
        </w:rPr>
        <w:t xml:space="preserve">Why the Trend Matters More Than a Single Number</w:t>
      </w:r>
    </w:p>
    <w:p>
      <w:pPr>
        <w:spacing w:after="200"/>
      </w:pPr>
      <w:r>
        <w:rPr>
          <w:rFonts w:ascii="Georgia" w:cs="Georgia" w:eastAsia="Georgia" w:hAnsi="Georgia"/>
          <w:sz w:val="23"/>
          <w:szCs w:val="23"/>
        </w:rPr>
        <w:t xml:space="preserve">A gross margin holding steady or expanding during a period of rising input costs is direct evidence of pricing power in action, the company is passing costs through rather than absorbing them. A gross margin compressing over time, even while revenue grows, can signal weakening pricing power, rising input costs the company can't pass along, or increasing competitive pressure forcing lower prices.</w:t>
      </w:r>
    </w:p>
    <w:p>
      <w:pPr>
        <w:pStyle w:val="Heading2"/>
        <w:spacing w:after="140" w:before="260"/>
      </w:pPr>
      <w:r>
        <w:rPr>
          <w:rFonts w:ascii="Georgia" w:cs="Georgia" w:eastAsia="Georgia" w:hAnsi="Georgia"/>
          <w:b/>
          <w:bCs/>
          <w:sz w:val="26"/>
          <w:szCs w:val="26"/>
        </w:rPr>
        <w:t xml:space="preserve">The Limitation</w:t>
      </w:r>
    </w:p>
    <w:p>
      <w:pPr>
        <w:spacing w:after="200"/>
      </w:pPr>
      <w:r>
        <w:rPr>
          <w:rFonts w:ascii="Georgia" w:cs="Georgia" w:eastAsia="Georgia" w:hAnsi="Georgia"/>
          <w:sz w:val="23"/>
          <w:szCs w:val="23"/>
        </w:rPr>
        <w:t xml:space="preserve">Gross margin varies enormously by industry and business model, comparing a software company's margin to a grocery retailer's tells you about the industries, not which company is better run. It's most useful compared against direct competitors in the same business, and tracked over time within the same company, rather than as a single number in isolation.</w:t>
      </w:r>
    </w:p>
    <w:p>
      <w:pPr>
        <w:pStyle w:val="Heading2"/>
        <w:spacing w:after="140" w:before="260"/>
      </w:pPr>
      <w:r>
        <w:rPr>
          <w:rFonts w:ascii="Georgia" w:cs="Georgia" w:eastAsia="Georgia" w:hAnsi="Georgia"/>
          <w:b/>
          <w:bCs/>
          <w:sz w:val="26"/>
          <w:szCs w:val="26"/>
        </w:rPr>
        <w:t xml:space="preserve">How MPLY's Screen Relates to Gross Margin</w:t>
      </w:r>
    </w:p>
    <w:p>
      <w:pPr>
        <w:spacing w:after="200"/>
      </w:pPr>
      <w:r>
        <w:rPr>
          <w:rFonts w:ascii="Georgia" w:cs="Georgia" w:eastAsia="Georgia" w:hAnsi="Georgia"/>
          <w:sz w:val="23"/>
          <w:szCs w:val="23"/>
        </w:rPr>
        <w:t xml:space="preserve">Gross margin isn't named directly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but a sustained, wide gross margin is often downstream evidence of the pricing power and industry concentration the fund's process does name explicitly. MPLY's official page describes its full investment approach for readers who want to see how these signals fit together.</w:t>
      </w:r>
    </w:p>
    <w:p>
      <w:pPr>
        <w:spacing w:after="200"/>
      </w:pPr>
      <w:r>
        <w:rPr>
          <w:rFonts w:ascii="Georgia" w:cs="Georgia" w:eastAsia="Georgia" w:hAnsi="Georgia"/>
          <w:sz w:val="23"/>
          <w:szCs w:val="23"/>
        </w:rPr>
        <w:t xml:space="preserve">Its </w:t>
      </w:r>
      <w:hyperlink w:history="1" r:id="rIdocjwa6a3l-u8uuuovk0kd">
        <w:r>
          <w:rPr>
            <w:rFonts w:ascii="Georgia" w:cs="Georgia" w:eastAsia="Georgia" w:hAnsi="Georgia"/>
            <w:color w:val="1155CC"/>
            <w:sz w:val="23"/>
            <w:szCs w:val="23"/>
            <w:u w:val="single"/>
          </w:rPr>
          <w:t xml:space="preserve">current holdings</w:t>
        </w:r>
      </w:hyperlink>
      <w:r>
        <w:rPr>
          <w:rFonts w:ascii="Georgia" w:cs="Georgia" w:eastAsia="Georgia" w:hAnsi="Georgia"/>
          <w:sz w:val="23"/>
          <w:szCs w:val="23"/>
        </w:rPr>
        <w:t xml:space="preserve"> are published there as well.</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bfj_ikgli6bt6nnp7donp">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#GrossMargin #QualityInvesting #PricingPower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cjwa6a3l-u8uuuovk0kd" Type="http://schemas.openxmlformats.org/officeDocument/2006/relationships/hyperlink" Target="https://strategysharesetfs.com/mply/" TargetMode="External"/><Relationship Id="rIdbfj_ikgli6bt6nnp7donp"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2026-09-24T04:46:36.424Z</dcterms:created>
  <dcterms:modified xsi:type="dcterms:W3CDTF">2026-09-24T04:46:36.424Z</dcterms:modified>
</cp:coreProperties>
</file>

<file path=docProps/custom.xml><?xml version="1.0" encoding="utf-8"?>
<Properties xmlns="http://schemas.openxmlformats.org/officeDocument/2006/custom-properties" xmlns:vt="http://schemas.openxmlformats.org/officeDocument/2006/docPropsVTypes"/>
</file>