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What Is a Recurring Revenue Business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A recurring revenue business is one structured around repeated, predictable payments from the same customer base, rather than one-off transactions that each require a fresh sale. Software subscriptions, media streaming, insurance premiums, and membership services are common examples. Predictability is the defining feature; whether it's also a durable competitive advantage is a separate question.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Why Predictability Is Valuable on Its Own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Recurring revenue makes near-term results easier to forecast, both for management planning and for outside investors evaluating the business, which typically supports a steadier valuation than a business dependent on repeated new customer wins each period. That planning benefit is real and independent of whether the recurring relationship itself is well protected from competition.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Where the Business Model Ends and the Moat Question Begins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Recurring billing describes structure, not durability. A subscription business retains customers because of specific reasons, genuine switching costs, network effects, a service customers have built workflows around, or simply because canceling requires an active decision most people postpone. The first three are structural and tend to hold up under competitive pressure; the last is closer to inertia and can unwind quickly once a competitor makes switching easy.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Common Recurring Revenue Categories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Georgia" w:cs="Georgia" w:eastAsia="Georgia" w:hAnsi="Georgia"/>
          <w:sz w:val="23"/>
          <w:szCs w:val="23"/>
        </w:rPr>
        <w:t xml:space="preserve">Software-as-a-service: billed monthly or annually, retention typically tied to workflow integration depth.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Georgia" w:cs="Georgia" w:eastAsia="Georgia" w:hAnsi="Georgia"/>
          <w:sz w:val="23"/>
          <w:szCs w:val="23"/>
        </w:rPr>
        <w:t xml:space="preserve">Media and content subscriptions: retention tied to content library breadth and habitual usage.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Georgia" w:cs="Georgia" w:eastAsia="Georgia" w:hAnsi="Georgia"/>
          <w:sz w:val="23"/>
          <w:szCs w:val="23"/>
        </w:rPr>
        <w:t xml:space="preserve">Insurance and financial services: retention tied to switching friction and, in some cases, regulatory or underwriting relationships.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Georgia" w:cs="Georgia" w:eastAsia="Georgia" w:hAnsi="Georgia"/>
          <w:sz w:val="23"/>
          <w:szCs w:val="23"/>
        </w:rPr>
        <w:t xml:space="preserve">Membership and loyalty models: retention tied to accumulated benefits or habitual usage patterns.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How MPLY's Screen Treats Recurring Revenue Businesses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Recurring revenue isn't named on its own in the Strategy Shares Monopoly ETF's (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MPLY</w:t>
      </w:r>
      <w:r>
        <w:rPr>
          <w:rFonts w:ascii="Georgia" w:cs="Georgia" w:eastAsia="Georgia" w:hAnsi="Georgia"/>
          <w:sz w:val="23"/>
          <w:szCs w:val="23"/>
        </w:rPr>
        <w:t xml:space="preserve">) stated criteria. The fund's process looks past the billing structure to the underlying reasons a customer relationship holds, industry concentration, switching costs' structural drivers, network effects, and the rest, which is the same distinction this article draws between predictable revenue and a genuine moat.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A recurring revenue business only fits MPLY's broader thesis if that underlying durability is present, not simply because it bills on a recurring schedule. See MPLY's investment approach on its </w:t>
      </w:r>
      <w:hyperlink w:history="1" r:id="rIdxfeulp-5m7xeysircjjkq">
        <w:r>
          <w:rPr>
            <w:rFonts w:ascii="Georgia" w:cs="Georgia" w:eastAsia="Georgia" w:hAnsi="Georgia"/>
            <w:color w:val="1155CC"/>
            <w:sz w:val="23"/>
            <w:szCs w:val="23"/>
            <w:u w:val="single"/>
          </w:rPr>
          <w:t xml:space="preserve">official page</w:t>
        </w:r>
      </w:hyperlink>
      <w:r>
        <w:rPr>
          <w:rFonts w:ascii="Georgia" w:cs="Georgia" w:eastAsia="Georgia" w:hAnsi="Georgia"/>
          <w:sz w:val="23"/>
          <w:szCs w:val="23"/>
        </w:rPr>
        <w:t xml:space="preserve"> for how this plays out across the fund's actual holdings.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mojkebodsyx03tlcsg2ay">
        <w:r>
          <w:rPr>
            <w:rFonts w:ascii="Georgia" w:cs="Georgia" w:eastAsia="Georgia" w:hAnsi="Georgia"/>
            <w:color w:val="1155CC"/>
            <w:sz w:val="23"/>
            <w:szCs w:val="23"/>
            <w:u w:val="single"/>
          </w:rPr>
          <w:t xml:space="preserve">Strategy Shares Monopoly ETF official fund page (screening criteria)</w:t>
        </w:r>
      </w:hyperlink>
    </w:p>
    <w:p>
      <w:pPr>
        <w:spacing w:after="0" w:before="280"/>
      </w:pPr>
      <w:r>
        <w:rPr>
          <w:rFonts w:ascii="Georgia" w:cs="Georgia" w:eastAsia="Georgia" w:hAnsi="Georgia"/>
          <w:color w:val="1F4E78"/>
          <w:sz w:val="22"/>
          <w:szCs w:val="22"/>
        </w:rPr>
        <w:t xml:space="preserve">#RecurringRevenue #BusinessModels #SubscriptionBusiness #EconomicMoat #MPLY #Investing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feulp-5m7xeysircjjkq" Type="http://schemas.openxmlformats.org/officeDocument/2006/relationships/hyperlink" Target="https://strategysharesetfs.com/mply/" TargetMode="External"/><Relationship Id="rIdmojkebodsyx03tlcsg2ay" Type="http://schemas.openxmlformats.org/officeDocument/2006/relationships/hyperlink" Target="https://strategysharesetfs.com/mply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2026-09-24T04:46:36.445Z</dcterms:created>
  <dcterms:modified xsi:type="dcterms:W3CDTF">2026-09-24T04:46:36.445Z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