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Economies of Scale vs Competitive Advantage</w:t>
      </w:r>
    </w:p>
    <w:p>
      <w:pPr>
        <w:spacing w:after="200"/>
      </w:pPr>
      <w:r>
        <w:rPr>
          <w:rFonts w:ascii="Georgia" w:cs="Georgia" w:eastAsia="Georgia" w:hAnsi="Georgia"/>
          <w:sz w:val="23"/>
          <w:szCs w:val="23"/>
        </w:rPr>
        <w:t xml:space="preserve">Economies of scale and a competitive advantage get used almost interchangeably in casual investing commentary, big usually gets read as protected. The two ideas are related but not the same: economies of scale describe a cost structure, unit costs falling as volume rises. A competitive advantage describes whether that lower cost structure actually keeps a company ahead of rivals over time. A company can have real economies of scale and still have little to no durable advantage.</w:t>
      </w:r>
    </w:p>
    <w:p>
      <w:pPr>
        <w:pStyle w:val="Heading2"/>
        <w:spacing w:after="140" w:before="260"/>
      </w:pPr>
      <w:r>
        <w:rPr>
          <w:rFonts w:ascii="Georgia" w:cs="Georgia" w:eastAsia="Georgia" w:hAnsi="Georgia"/>
          <w:b/>
          <w:bCs/>
          <w:sz w:val="26"/>
          <w:szCs w:val="26"/>
        </w:rPr>
        <w:t xml:space="preserve">When Scale Becomes an Advantage: Amazon's Fulfillment Network</w:t>
      </w:r>
    </w:p>
    <w:p>
      <w:pPr>
        <w:spacing w:after="200"/>
      </w:pPr>
      <w:r>
        <w:rPr>
          <w:rFonts w:ascii="Georgia" w:cs="Georgia" w:eastAsia="Georgia" w:hAnsi="Georgia"/>
          <w:sz w:val="23"/>
          <w:szCs w:val="23"/>
        </w:rPr>
        <w:t xml:space="preserve">Amazon's logistics and fulfillment network is a useful example of scale genuinely converting into advantage. Decades of investment in warehouses, delivery infrastructure, and logistics software mean that each additional unit shipped costs less to fulfill than it would for a smaller competitor building the equivalent network from scratch today. That lower cost structure supports faster delivery promises and thinner margins on individual items, both of which are hard for a new entrant to match without a comparable, multi-year infrastructure investment. Here, scale reinforces a broader position: faster delivery attracts more customers, more customers justify more warehouses, and the cycle compounds.</w:t>
      </w:r>
    </w:p>
    <w:p>
      <w:pPr>
        <w:pStyle w:val="Heading2"/>
        <w:spacing w:after="140" w:before="260"/>
      </w:pPr>
      <w:r>
        <w:rPr>
          <w:rFonts w:ascii="Georgia" w:cs="Georgia" w:eastAsia="Georgia" w:hAnsi="Georgia"/>
          <w:b/>
          <w:bCs/>
          <w:sz w:val="26"/>
          <w:szCs w:val="26"/>
        </w:rPr>
        <w:t xml:space="preserve">When Scale Doesn't Become an Advantage: Commodity Production</w:t>
      </w:r>
    </w:p>
    <w:p>
      <w:pPr>
        <w:spacing w:after="200"/>
      </w:pPr>
      <w:r>
        <w:rPr>
          <w:rFonts w:ascii="Georgia" w:cs="Georgia" w:eastAsia="Georgia" w:hAnsi="Georgia"/>
          <w:sz w:val="23"/>
          <w:szCs w:val="23"/>
        </w:rPr>
        <w:t xml:space="preserve">Steel and aluminum production tell a different story. Producers in these industries can reach enormous scale, some of the largest industrial operations in the world, and still earn thin, cyclical margins with little pricing power. The reason is that steel and aluminum are commodities: one producer's output is largely interchangeable with another's, so scale lowers a producer's own costs without giving it the ability to charge more than a competitor selling an equivalent product. Scale here reduces cost, which matters for survival during downturns, but it doesn't create the kind of differentiated position that lets a company hold pricing power the way Amazon's fulfillment advantage supports its broader customer proposition.</w:t>
      </w:r>
    </w:p>
    <w:p>
      <w:pPr>
        <w:pStyle w:val="Heading2"/>
        <w:spacing w:after="140" w:before="260"/>
      </w:pPr>
      <w:r>
        <w:rPr>
          <w:rFonts w:ascii="Georgia" w:cs="Georgia" w:eastAsia="Georgia" w:hAnsi="Georgia"/>
          <w:b/>
          <w:bCs/>
          <w:sz w:val="26"/>
          <w:szCs w:val="26"/>
        </w:rPr>
        <w:t xml:space="preserve">What Separates the Two Cases</w:t>
      </w:r>
    </w:p>
    <w:p>
      <w:pPr>
        <w:spacing w:after="200"/>
      </w:pPr>
      <w:r>
        <w:rPr>
          <w:rFonts w:ascii="Georgia" w:cs="Georgia" w:eastAsia="Georgia" w:hAnsi="Georgia"/>
          <w:sz w:val="23"/>
          <w:szCs w:val="23"/>
        </w:rPr>
        <w:t xml:space="preserve">The difference isn't the size of the scale advantage; it's what the scale is attached to. Amazon's fulfillment scale is bundled with a differentiated customer experience, speed and selection that customers actually value and will pay for indirectly through loyalty and spend. Commodity producers' scale is attached to an undifferentiated product that customers buy on price alone, which means the cost savings from scale gets competed away in the price rather than captured as margin. Scale without differentiation tends to benefit the customer, not the company holding it.</w:t>
      </w:r>
    </w:p>
    <w:p>
      <w:pPr>
        <w:pStyle w:val="Heading2"/>
        <w:spacing w:after="140" w:before="260"/>
      </w:pPr>
      <w:r>
        <w:rPr>
          <w:rFonts w:ascii="Georgia" w:cs="Georgia" w:eastAsia="Georgia" w:hAnsi="Georgia"/>
          <w:b/>
          <w:bCs/>
          <w:sz w:val="26"/>
          <w:szCs w:val="26"/>
        </w:rPr>
        <w:t xml:space="preserve">The Practical Test</w:t>
      </w:r>
    </w:p>
    <w:p>
      <w:pPr>
        <w:spacing w:after="200"/>
      </w:pPr>
      <w:r>
        <w:rPr>
          <w:rFonts w:ascii="Georgia" w:cs="Georgia" w:eastAsia="Georgia" w:hAnsi="Georgia"/>
          <w:sz w:val="23"/>
          <w:szCs w:val="23"/>
        </w:rPr>
        <w:t xml:space="preserve">Before treating scale as a moat, the useful question is whether the scale supports something a customer would actually pay a premium for, faster service, a wider selection, a better experience, or whether the scale only lowers costs on a product customers would buy from whoever's cheapest. The first case can be a real, durable advantage. The second is a cost efficiency that competitors of similar size can often replicate, and that customers rarely reward with loyalty.</w:t>
      </w:r>
    </w:p>
    <w:p>
      <w:pPr>
        <w:pStyle w:val="Heading2"/>
        <w:spacing w:after="140" w:before="260"/>
      </w:pPr>
      <w:r>
        <w:rPr>
          <w:rFonts w:ascii="Georgia" w:cs="Georgia" w:eastAsia="Georgia" w:hAnsi="Georgia"/>
          <w:b/>
          <w:bCs/>
          <w:sz w:val="26"/>
          <w:szCs w:val="26"/>
        </w:rPr>
        <w:t xml:space="preserve">MPLY's Screening Approach and Scale</w:t>
      </w:r>
    </w:p>
    <w:p>
      <w:pPr>
        <w:spacing w:after="200"/>
      </w:pPr>
      <w:r>
        <w:rPr>
          <w:rFonts w:ascii="Georgia" w:cs="Georgia" w:eastAsia="Georgia" w:hAnsi="Georgia"/>
          <w:sz w:val="23"/>
          <w:szCs w:val="23"/>
        </w:rPr>
        <w:t xml:space="preserve">Scale on its own isn't named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which is consistent with the distinction above: the fund's process looks at industry concentration and durable market dominance, outcomes that scale can support but doesn't automatically produce. A scale advantage attached to genuine differentiation, the way Amazon's fulfillment network is, fits the fund's broader thesis far more naturally than scale in a commodity market where pricing power doesn't follow. MPLY's </w:t>
      </w:r>
      <w:hyperlink w:history="1" r:id="rIdhfqxwtubcpdvsnzuxpmgo">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lays out the fund's full investment approach for anyone testing a candidate against that distinction.</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yhgpfjvpgxv_je6fvjmaz">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#EconomiesOfScale #CompetitiveAdvantage #EconomicMoat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fqxwtubcpdvsnzuxpmgo" Type="http://schemas.openxmlformats.org/officeDocument/2006/relationships/hyperlink" Target="https://strategysharesetfs.com/mply/" TargetMode="External"/><Relationship Id="rIdyhgpfjvpgxv_je6fvjmaz"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2026-09-23T11:05:27.725Z</dcterms:created>
  <dcterms:modified xsi:type="dcterms:W3CDTF">2026-09-23T11:05:27.725Z</dcterms:modified>
</cp:coreProperties>
</file>

<file path=docProps/custom.xml><?xml version="1.0" encoding="utf-8"?>
<Properties xmlns="http://schemas.openxmlformats.org/officeDocument/2006/custom-properties" xmlns:vt="http://schemas.openxmlformats.org/officeDocument/2006/docPropsVTypes"/>
</file>