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Distribution Moat</w:t>
      </w:r>
    </w:p>
    <w:p>
      <w:pPr>
        <w:spacing w:after="200"/>
      </w:pPr>
      <w:r>
        <w:rPr>
          <w:rFonts w:ascii="Georgia" w:cs="Georgia" w:eastAsia="Georgia" w:hAnsi="Georgia"/>
          <w:sz w:val="23"/>
          <w:szCs w:val="23"/>
        </w:rPr>
        <w:t xml:space="preserve">A distribution moat is a competitive advantage built on access to customers that a competitor can't easily replicate, shelf space, delivery infrastructure, sales relationships, or physical reach that took years or decades to build. A better product doesn't matter much if a competitor can't actually get it in front of the customers who would buy it, which is what makes distribution one of the more overlooked moat types relative to brand or technology.</w:t>
      </w:r>
    </w:p>
    <w:p>
      <w:pPr>
        <w:pStyle w:val="Heading2"/>
        <w:spacing w:after="140" w:before="260"/>
      </w:pPr>
      <w:r>
        <w:rPr>
          <w:rFonts w:ascii="Georgia" w:cs="Georgia" w:eastAsia="Georgia" w:hAnsi="Georgia"/>
          <w:b/>
          <w:bCs/>
          <w:sz w:val="26"/>
          <w:szCs w:val="26"/>
        </w:rPr>
        <w:t xml:space="preserve">Coca-Cola's Bottling and Distribution Network</w:t>
      </w:r>
    </w:p>
    <w:p>
      <w:pPr>
        <w:spacing w:after="200"/>
      </w:pPr>
      <w:r>
        <w:rPr>
          <w:rFonts w:ascii="Georgia" w:cs="Georgia" w:eastAsia="Georgia" w:hAnsi="Georgia"/>
          <w:sz w:val="23"/>
          <w:szCs w:val="23"/>
        </w:rPr>
        <w:t xml:space="preserve">Coca-Cola is usually discussed as a brand moat, and it is, but its distribution network is arguably just as important to its durability. The company built out a global system of bottling partners and direct-store-delivery relationships over more than a century, reaching remote retailers and small outlets that a new beverage brand, even one with a genuinely appealing product, would take years and enormous capital to match. A competitor can formulate a comparable drink relatively easily; matching Coca-Cola's shelf presence in tens of millions of retail locations worldwide is a fundamentally harder problem, and it's the harder problem that protects the business.</w:t>
      </w:r>
    </w:p>
    <w:p>
      <w:pPr>
        <w:pStyle w:val="Heading2"/>
        <w:spacing w:after="140" w:before="260"/>
      </w:pPr>
      <w:r>
        <w:rPr>
          <w:rFonts w:ascii="Georgia" w:cs="Georgia" w:eastAsia="Georgia" w:hAnsi="Georgia"/>
          <w:b/>
          <w:bCs/>
          <w:sz w:val="26"/>
          <w:szCs w:val="26"/>
        </w:rPr>
        <w:t xml:space="preserve">Why Distribution Is Hard to Replicate Quickly</w:t>
      </w:r>
    </w:p>
    <w:p>
      <w:pPr>
        <w:spacing w:after="200"/>
      </w:pPr>
      <w:r>
        <w:rPr>
          <w:rFonts w:ascii="Georgia" w:cs="Georgia" w:eastAsia="Georgia" w:hAnsi="Georgia"/>
          <w:sz w:val="23"/>
          <w:szCs w:val="23"/>
        </w:rPr>
        <w:t xml:space="preserve">Unlike a patent or a brand, which can in theory be built through enough marketing spend, a distribution network requires physical infrastructure, accumulated relationships with retailers and logistics partners, and time. A new entrant can't simply buy its way into decades of retailer trust and delivery route optimization; it has to build both from scratch, which means even a well-funded challenger with a superior product often has to accept years of limited reach while it builds out comparable access, time during which the incumbent keeps its existing customer relationships largely intact.</w:t>
      </w:r>
    </w:p>
    <w:p>
      <w:pPr>
        <w:pStyle w:val="Heading2"/>
        <w:spacing w:after="140" w:before="260"/>
      </w:pPr>
      <w:r>
        <w:rPr>
          <w:rFonts w:ascii="Georgia" w:cs="Georgia" w:eastAsia="Georgia" w:hAnsi="Georgia"/>
          <w:b/>
          <w:bCs/>
          <w:sz w:val="26"/>
          <w:szCs w:val="26"/>
        </w:rPr>
        <w:t xml:space="preserve">Where Distribution Moats Weaken</w:t>
      </w:r>
    </w:p>
    <w:p>
      <w:pPr>
        <w:spacing w:after="200"/>
      </w:pPr>
      <w:r>
        <w:rPr>
          <w:rFonts w:ascii="Georgia" w:cs="Georgia" w:eastAsia="Georgia" w:hAnsi="Georgia"/>
          <w:sz w:val="23"/>
          <w:szCs w:val="23"/>
        </w:rPr>
        <w:t xml:space="preserve">E-commerce has narrowed some distribution advantages that used to depend entirely on physical shelf space, a new brand can now reach customers directly online without needing traditional retail placement. But that shift hasn't eliminated distribution as a moat source so much as changed what it looks like: warehouse and delivery network density, search and marketplace placement, and logistics speed have become the new version of the same underlying advantage, still expensive and slow for a new entrant to replicate quickly.</w:t>
      </w:r>
    </w:p>
    <w:p>
      <w:pPr>
        <w:pStyle w:val="Heading2"/>
        <w:spacing w:after="140" w:before="260"/>
      </w:pPr>
      <w:r>
        <w:rPr>
          <w:rFonts w:ascii="Georgia" w:cs="Georgia" w:eastAsia="Georgia" w:hAnsi="Georgia"/>
          <w:b/>
          <w:bCs/>
          <w:sz w:val="26"/>
          <w:szCs w:val="26"/>
        </w:rPr>
        <w:t xml:space="preserve">Where MPLY's Screen Applies to Distribution</w:t>
      </w:r>
    </w:p>
    <w:p>
      <w:pPr>
        <w:spacing w:after="200"/>
      </w:pPr>
      <w:r>
        <w:rPr>
          <w:rFonts w:ascii="Georgia" w:cs="Georgia" w:eastAsia="Georgia" w:hAnsi="Georgia"/>
          <w:sz w:val="23"/>
          <w:szCs w:val="23"/>
        </w:rPr>
        <w:t xml:space="preserve">Distribution strength isn't named as its own separate line in the Strategy Shares Monopoly ETF's (MPLY) stated criteria, but it overlaps directly with two that are: industry concentration and control of the supply chain. A company with a distribution network competitors can't quickly replicate is, by definition, harder to dislodge from its market position, which is the durable dominance the fund's broader thesis is built around identifying.</w:t>
      </w:r>
    </w:p>
    <w:p>
      <w:pPr>
        <w:spacing w:after="200"/>
      </w:pPr>
      <w:r>
        <w:rPr>
          <w:rFonts w:ascii="Georgia" w:cs="Georgia" w:eastAsia="Georgia" w:hAnsi="Georgia"/>
          <w:sz w:val="23"/>
          <w:szCs w:val="23"/>
        </w:rPr>
        <w:t xml:space="preserve">MPLY's </w:t>
      </w:r>
      <w:hyperlink w:history="1" r:id="rIdycwa_oi_8jdkfzufejexs">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shows how the fund weighs this kind of advantage across its current holdings.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jhmjsvicc57j0_vj8mb6h">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#DistributionMoat #EconomicMoat #CompetitiveAdvantage #SupplyChain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cwa_oi_8jdkfzufejexs" Type="http://schemas.openxmlformats.org/officeDocument/2006/relationships/hyperlink" Target="https://strategysharesetfs.com/mply/" TargetMode="External"/><Relationship Id="rIdjhmjsvicc57j0_vj8mb6h"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2026-09-23T11:05:27.783Z</dcterms:created>
  <dcterms:modified xsi:type="dcterms:W3CDTF">2026-09-23T11:05:27.783Z</dcterms:modified>
</cp:coreProperties>
</file>

<file path=docProps/custom.xml><?xml version="1.0" encoding="utf-8"?>
<Properties xmlns="http://schemas.openxmlformats.org/officeDocument/2006/custom-properties" xmlns:vt="http://schemas.openxmlformats.org/officeDocument/2006/docPropsVTypes"/>
</file>