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What Is a Scale Moat</w:t>
      </w:r>
    </w:p>
    <w:p>
      <w:pPr>
        <w:spacing w:after="200"/>
      </w:pPr>
      <w:r>
        <w:rPr>
          <w:rFonts w:ascii="Georgia" w:cs="Georgia" w:eastAsia="Georgia" w:hAnsi="Georgia"/>
          <w:sz w:val="23"/>
          <w:szCs w:val="23"/>
        </w:rPr>
        <w:t xml:space="preserve">A scale moat is what happens when getting bigger doesn't just lower a company's costs, it makes the company harder to compete with in a way that keeps reinforcing itself. That's a narrower claim than "this company has economies of scale," and the distinction matters: a genuine scale moat is self-reinforcing, not just cost-reducing.</w:t>
      </w:r>
    </w:p>
    <w:p>
      <w:pPr>
        <w:pStyle w:val="Heading2"/>
        <w:spacing w:after="140" w:before="260"/>
      </w:pPr>
      <w:r>
        <w:rPr>
          <w:rFonts w:ascii="Georgia" w:cs="Georgia" w:eastAsia="Georgia" w:hAnsi="Georgia"/>
          <w:b/>
          <w:bCs/>
          <w:sz w:val="26"/>
          <w:szCs w:val="26"/>
        </w:rPr>
        <w:t xml:space="preserve">The Mechanism: A Self-Reinforcing Loop</w:t>
      </w:r>
    </w:p>
    <w:p>
      <w:pPr>
        <w:spacing w:after="200"/>
      </w:pPr>
      <w:r>
        <w:rPr>
          <w:rFonts w:ascii="Georgia" w:cs="Georgia" w:eastAsia="Georgia" w:hAnsi="Georgia"/>
          <w:sz w:val="23"/>
          <w:szCs w:val="23"/>
        </w:rPr>
        <w:t xml:space="preserve">Amazon's own internal description of its business, widely known as the "flywheel," illustrates the mechanism cleanly. Lower costs from greater scale support lower prices. Lower prices and wider selection attract more customers. More customers attract more third-party sellers, widening selection further and generating more data on what customers want. That growth supports further infrastructure investment, which lowers costs again. Each part of the loop feeds the next, which is what separates a scale moat from ordinary economies of scale: the advantage doesn't just sit still once achieved, it keeps compounding as long as the loop keeps turning.</w:t>
      </w:r>
    </w:p>
    <w:p>
      <w:pPr>
        <w:pStyle w:val="Heading2"/>
        <w:spacing w:after="140" w:before="260"/>
      </w:pPr>
      <w:r>
        <w:rPr>
          <w:rFonts w:ascii="Georgia" w:cs="Georgia" w:eastAsia="Georgia" w:hAnsi="Georgia"/>
          <w:b/>
          <w:bCs/>
          <w:sz w:val="26"/>
          <w:szCs w:val="26"/>
        </w:rPr>
        <w:t xml:space="preserve">Why This Differs From a Static Cost Advantage</w:t>
      </w:r>
    </w:p>
    <w:p>
      <w:pPr>
        <w:spacing w:after="200"/>
      </w:pPr>
      <w:r>
        <w:rPr>
          <w:rFonts w:ascii="Georgia" w:cs="Georgia" w:eastAsia="Georgia" w:hAnsi="Georgia"/>
          <w:sz w:val="23"/>
          <w:szCs w:val="23"/>
        </w:rPr>
        <w:t xml:space="preserve">A company with ordinary economies of scale has lower unit costs today because it produces more units today; if a competitor matches that volume, the advantage narrows. A scale moat built on a genuine flywheel is harder to close even at equal volume, because the compounding effects, data, selection, seller network, customer trust, take years of repeated cycles to build, not just capital deployed in one large investment. A well-funded competitor can build an equally large warehouse network faster than it can replicate years of accumulated flywheel momentum.</w:t>
      </w:r>
    </w:p>
    <w:p>
      <w:pPr>
        <w:pStyle w:val="Heading2"/>
        <w:spacing w:after="140" w:before="260"/>
      </w:pPr>
      <w:r>
        <w:rPr>
          <w:rFonts w:ascii="Georgia" w:cs="Georgia" w:eastAsia="Georgia" w:hAnsi="Georgia"/>
          <w:b/>
          <w:bCs/>
          <w:sz w:val="26"/>
          <w:szCs w:val="26"/>
        </w:rPr>
        <w:t xml:space="preserve">Where Scale Moats Break Down</w:t>
      </w:r>
    </w:p>
    <w:p>
      <w:pPr>
        <w:spacing w:after="200"/>
      </w:pPr>
      <w:r>
        <w:rPr>
          <w:rFonts w:ascii="Georgia" w:cs="Georgia" w:eastAsia="Georgia" w:hAnsi="Georgia"/>
          <w:sz w:val="23"/>
          <w:szCs w:val="23"/>
        </w:rPr>
        <w:t xml:space="preserve">The loop only compounds as long as each link actually holds. If lower costs don't translate into genuinely better prices or service, if growth outpaces the company's ability to maintain quality, or if a disruptive new distribution model bypasses the advantage entirely, a scale moat can stop compounding and start behaving like ordinary economies of scale, vulnerable to any competitor willing to match the current size.</w:t>
      </w:r>
    </w:p>
    <w:p>
      <w:pPr>
        <w:pStyle w:val="Heading2"/>
        <w:spacing w:after="140" w:before="260"/>
      </w:pPr>
      <w:r>
        <w:rPr>
          <w:rFonts w:ascii="Georgia" w:cs="Georgia" w:eastAsia="Georgia" w:hAnsi="Georgia"/>
          <w:b/>
          <w:bCs/>
          <w:sz w:val="26"/>
          <w:szCs w:val="26"/>
        </w:rPr>
        <w:t xml:space="preserve">How MPLY's Screen Relates to Scale Moats</w:t>
      </w:r>
    </w:p>
    <w:p>
      <w:pPr>
        <w:spacing w:after="200"/>
      </w:pPr>
      <w:r>
        <w:rPr>
          <w:rFonts w:ascii="Georgia" w:cs="Georgia" w:eastAsia="Georgia" w:hAnsi="Georgia"/>
          <w:sz w:val="23"/>
          <w:szCs w:val="23"/>
        </w:rPr>
        <w:t xml:space="preserve">Scale on its own isn't named in the Strategy Shares Monopoly ETF's (</w:t>
      </w:r>
      <w:r>
        <w:rPr>
          <w:rFonts w:ascii="Georgia" w:cs="Georgia" w:eastAsia="Georgia" w:hAnsi="Georgia"/>
          <w:b/>
          <w:bCs/>
          <w:sz w:val="23"/>
          <w:szCs w:val="23"/>
        </w:rPr>
        <w:t xml:space="preserve">MPLY</w:t>
      </w:r>
      <w:r>
        <w:rPr>
          <w:rFonts w:ascii="Georgia" w:cs="Georgia" w:eastAsia="Georgia" w:hAnsi="Georgia"/>
          <w:sz w:val="23"/>
          <w:szCs w:val="23"/>
        </w:rPr>
        <w:t xml:space="preserve">) stated criteria, but a genuinely self-reinforcing scale advantage is one of the clearer real-world paths to industry concentration and durable market dominance, both of which are. The fund's process would need to distinguish a company still early in a compounding flywheel from one whose scale has plateaued into a simple, matchable cost advantage, the same distinction this article draws between a scale moat and ordinary economies of scale. That distinction is worth checking directly against MPLY's </w:t>
      </w:r>
      <w:hyperlink w:history="1" r:id="rIdndmjxewwrytx3we87vnyf">
        <w:r>
          <w:rPr>
            <w:rFonts w:ascii="Georgia" w:cs="Georgia" w:eastAsia="Georgia" w:hAnsi="Georgia"/>
            <w:color w:val="1155CC"/>
            <w:sz w:val="23"/>
            <w:szCs w:val="23"/>
            <w:u w:val="single"/>
          </w:rPr>
          <w:t xml:space="preserve">current holdings</w:t>
        </w:r>
      </w:hyperlink>
      <w:r>
        <w:rPr>
          <w:rFonts w:ascii="Georgia" w:cs="Georgia" w:eastAsia="Georgia" w:hAnsi="Georgia"/>
          <w:sz w:val="23"/>
          <w:szCs w:val="23"/>
        </w:rPr>
        <w:t xml:space="preserve"> on its official page.</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hj3bhh7zqpeoqccqyfruv">
        <w:r>
          <w:rPr>
            <w:rFonts w:ascii="Georgia" w:cs="Georgia" w:eastAsia="Georgia" w:hAnsi="Georgia"/>
            <w:color w:val="1155CC"/>
            <w:sz w:val="23"/>
            <w:szCs w:val="23"/>
            <w:u w:val="single"/>
          </w:rPr>
          <w:t xml:space="preserve">Strategy Shares Monopoly ETF official fund page (screening criteria)</w:t>
        </w:r>
      </w:hyperlink>
    </w:p>
    <w:p>
      <w:pPr>
        <w:spacing w:after="0" w:before="280"/>
      </w:pPr>
      <w:r>
        <w:rPr>
          <w:rFonts w:ascii="Georgia" w:cs="Georgia" w:eastAsia="Georgia" w:hAnsi="Georgia"/>
          <w:color w:val="1F4E78"/>
          <w:sz w:val="22"/>
          <w:szCs w:val="22"/>
        </w:rPr>
        <w:t xml:space="preserve">#ScaleMoat #EconomicMoat #CompetitiveAdvantage #MPLY #Investing #Fundamentals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dmjxewwrytx3we87vnyf" Type="http://schemas.openxmlformats.org/officeDocument/2006/relationships/hyperlink" Target="https://strategysharesetfs.com/mply/" TargetMode="External"/><Relationship Id="rIdhj3bhh7zqpeoqccqyfruv" Type="http://schemas.openxmlformats.org/officeDocument/2006/relationships/hyperlink" Target="https://strategysharesetfs.com/mply/"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2026-09-23T11:05:27.831Z</dcterms:created>
  <dcterms:modified xsi:type="dcterms:W3CDTF">2026-09-23T11:05:27.831Z</dcterms:modified>
</cp:coreProperties>
</file>

<file path=docProps/custom.xml><?xml version="1.0" encoding="utf-8"?>
<Properties xmlns="http://schemas.openxmlformats.org/officeDocument/2006/custom-properties" xmlns:vt="http://schemas.openxmlformats.org/officeDocument/2006/docPropsVTypes"/>
</file>